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D2640"/>
          <w:sz w:val="56"/>
        </w:rPr>
        <w:t>Pest Control Website Project Blueprint</w:t>
      </w:r>
    </w:p>
    <w:p>
      <w:pPr>
        <w:spacing w:after="280"/>
      </w:pPr>
      <w:r>
        <w:rPr>
          <w:rFonts w:ascii="Calibri" w:hAnsi="Calibri"/>
          <w:color w:val="5B6773"/>
          <w:sz w:val="28"/>
        </w:rPr>
        <w:t>Reference analysis of Terminix.com and a focused, brand-distinct implementation plan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0D2640"/>
            <w:tcMar>
              <w:top w:w="80" w:type="dxa"/>
              <w:start w:w="120" w:type="dxa"/>
              <w:bottom w:w="80" w:type="dxa"/>
              <w:end w:w="120" w:type="dxa"/>
            </w:tcMar>
            <w:vAlign w:val="center"/>
          </w:tcPr>
          <w:p>
            <w:pPr>
              <w:spacing w:after="0"/>
            </w:pPr>
            <w:r>
              <w:rPr>
                <w:rFonts w:ascii="Calibri" w:hAnsi="Calibri"/>
                <w:b/>
                <w:color w:val="FFFFFF"/>
                <w:sz w:val="19"/>
              </w:rPr>
              <w:t>Document</w:t>
            </w:r>
          </w:p>
        </w:tc>
        <w:tc>
          <w:tcPr>
            <w:tcW w:type="dxa" w:w="7560"/>
            <w:shd w:fill="0D2640"/>
            <w:tcMar>
              <w:top w:w="80" w:type="dxa"/>
              <w:start w:w="120" w:type="dxa"/>
              <w:bottom w:w="80" w:type="dxa"/>
              <w:end w:w="120" w:type="dxa"/>
            </w:tcMar>
            <w:vAlign w:val="center"/>
          </w:tcPr>
          <w:p>
            <w:pPr>
              <w:spacing w:after="0"/>
            </w:pPr>
            <w:r>
              <w:rPr>
                <w:rFonts w:ascii="Calibri" w:hAnsi="Calibri"/>
                <w:b/>
                <w:color w:val="FFFFFF"/>
                <w:sz w:val="19"/>
              </w:rPr>
              <w:t>Details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17212B"/>
                <w:sz w:val="18"/>
              </w:rPr>
              <w:t>Status</w:t>
            </w:r>
          </w:p>
        </w:tc>
        <w:tc>
          <w:tcPr>
            <w:tcW w:type="dxa" w:w="7560"/>
            <w:tcMar>
              <w:top w:w="80" w:type="dxa"/>
              <w:start w:w="120" w:type="dxa"/>
              <w:bottom w:w="80" w:type="dxa"/>
              <w:end w:w="120" w:type="dxa"/>
            </w:tcMar>
            <w:vAlign w:val="center"/>
          </w:tcPr>
          <w:p>
            <w:pPr>
              <w:spacing w:after="0" w:line="252" w:lineRule="auto"/>
            </w:pPr>
            <w:r>
              <w:rPr>
                <w:rFonts w:ascii="Calibri" w:hAnsi="Calibri"/>
                <w:color w:val="17212B"/>
                <w:sz w:val="18"/>
              </w:rPr>
              <w:t>Discovery v2.1, one-week production MVP</w:t>
            </w:r>
          </w:p>
        </w:tc>
      </w:tr>
      <w:tr>
        <w:trPr>
          <w:cantSplit w:val="true"/>
        </w:trPr>
        <w:tc>
          <w:tcPr>
            <w:tcW w:type="dxa" w:w="1800"/>
            <w:shd w:fill="F3F6F4"/>
            <w:tcMar>
              <w:top w:w="80" w:type="dxa"/>
              <w:start w:w="120" w:type="dxa"/>
              <w:bottom w:w="80" w:type="dxa"/>
              <w:end w:w="120" w:type="dxa"/>
            </w:tcMar>
            <w:vAlign w:val="center"/>
          </w:tcPr>
          <w:p>
            <w:pPr>
              <w:spacing w:after="0" w:line="252" w:lineRule="auto"/>
            </w:pPr>
            <w:r>
              <w:rPr>
                <w:rFonts w:ascii="Calibri" w:hAnsi="Calibri"/>
                <w:color w:val="17212B"/>
                <w:sz w:val="18"/>
              </w:rPr>
              <w:t>Prepared</w:t>
            </w:r>
          </w:p>
        </w:tc>
        <w:tc>
          <w:tcPr>
            <w:tcW w:type="dxa" w:w="7560"/>
            <w:shd w:fill="F3F6F4"/>
            <w:tcMar>
              <w:top w:w="80" w:type="dxa"/>
              <w:start w:w="120" w:type="dxa"/>
              <w:bottom w:w="80" w:type="dxa"/>
              <w:end w:w="120" w:type="dxa"/>
            </w:tcMar>
            <w:vAlign w:val="center"/>
          </w:tcPr>
          <w:p>
            <w:pPr>
              <w:spacing w:after="0" w:line="252" w:lineRule="auto"/>
            </w:pPr>
            <w:r>
              <w:rPr>
                <w:rFonts w:ascii="Calibri" w:hAnsi="Calibri"/>
                <w:color w:val="17212B"/>
                <w:sz w:val="18"/>
              </w:rPr>
              <w:t>19 July 2026</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17212B"/>
                <w:sz w:val="18"/>
              </w:rPr>
              <w:t>Reference</w:t>
            </w:r>
          </w:p>
        </w:tc>
        <w:tc>
          <w:tcPr>
            <w:tcW w:type="dxa" w:w="7560"/>
            <w:tcMar>
              <w:top w:w="80" w:type="dxa"/>
              <w:start w:w="120" w:type="dxa"/>
              <w:bottom w:w="80" w:type="dxa"/>
              <w:end w:w="120" w:type="dxa"/>
            </w:tcMar>
            <w:vAlign w:val="center"/>
          </w:tcPr>
          <w:p>
            <w:pPr>
              <w:spacing w:after="0" w:line="252" w:lineRule="auto"/>
            </w:pPr>
            <w:r>
              <w:rPr>
                <w:rFonts w:ascii="Calibri" w:hAnsi="Calibri"/>
                <w:color w:val="17212B"/>
                <w:sz w:val="18"/>
              </w:rPr>
              <w:t>Terminix.com public residential experience</w:t>
            </w:r>
          </w:p>
        </w:tc>
      </w:tr>
      <w:tr>
        <w:trPr>
          <w:cantSplit w:val="true"/>
        </w:trPr>
        <w:tc>
          <w:tcPr>
            <w:tcW w:type="dxa" w:w="1800"/>
            <w:shd w:fill="F3F6F4"/>
            <w:tcMar>
              <w:top w:w="80" w:type="dxa"/>
              <w:start w:w="120" w:type="dxa"/>
              <w:bottom w:w="80" w:type="dxa"/>
              <w:end w:w="120" w:type="dxa"/>
            </w:tcMar>
            <w:vAlign w:val="center"/>
          </w:tcPr>
          <w:p>
            <w:pPr>
              <w:spacing w:after="0" w:line="252" w:lineRule="auto"/>
            </w:pPr>
            <w:r>
              <w:rPr>
                <w:rFonts w:ascii="Calibri" w:hAnsi="Calibri"/>
                <w:color w:val="17212B"/>
                <w:sz w:val="18"/>
              </w:rPr>
              <w:t>Release focus</w:t>
            </w:r>
          </w:p>
        </w:tc>
        <w:tc>
          <w:tcPr>
            <w:tcW w:type="dxa" w:w="7560"/>
            <w:shd w:fill="F3F6F4"/>
            <w:tcMar>
              <w:top w:w="80" w:type="dxa"/>
              <w:start w:w="120" w:type="dxa"/>
              <w:bottom w:w="80" w:type="dxa"/>
              <w:end w:w="120" w:type="dxa"/>
            </w:tcMar>
            <w:vAlign w:val="center"/>
          </w:tcPr>
          <w:p>
            <w:pPr>
              <w:spacing w:after="0" w:line="252" w:lineRule="auto"/>
            </w:pPr>
            <w:r>
              <w:rPr>
                <w:rFonts w:ascii="Calibri" w:hAnsi="Calibri"/>
                <w:color w:val="17212B"/>
                <w:sz w:val="18"/>
              </w:rPr>
              <w:t>Residential pest control in New York, United States; USD</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17212B"/>
                <w:sz w:val="18"/>
              </w:rPr>
              <w:t>Primary conversion</w:t>
            </w:r>
          </w:p>
        </w:tc>
        <w:tc>
          <w:tcPr>
            <w:tcW w:type="dxa" w:w="7560"/>
            <w:tcMar>
              <w:top w:w="80" w:type="dxa"/>
              <w:start w:w="120" w:type="dxa"/>
              <w:bottom w:w="80" w:type="dxa"/>
              <w:end w:w="120" w:type="dxa"/>
            </w:tcMar>
            <w:vAlign w:val="center"/>
          </w:tcPr>
          <w:p>
            <w:pPr>
              <w:spacing w:after="0" w:line="252" w:lineRule="auto"/>
            </w:pPr>
            <w:r>
              <w:rPr>
                <w:rFonts w:ascii="Calibri" w:hAnsi="Calibri"/>
                <w:color w:val="17212B"/>
                <w:sz w:val="18"/>
              </w:rPr>
              <w:t>Verify service area, receive an area-specific price, and purchase recurring or one-time service</w:t>
            </w:r>
          </w:p>
        </w:tc>
      </w:tr>
      <w:tr>
        <w:trPr>
          <w:cantSplit w:val="true"/>
        </w:trPr>
        <w:tc>
          <w:tcPr>
            <w:tcW w:type="dxa" w:w="1800"/>
            <w:shd w:fill="F3F6F4"/>
            <w:tcMar>
              <w:top w:w="80" w:type="dxa"/>
              <w:start w:w="120" w:type="dxa"/>
              <w:bottom w:w="80" w:type="dxa"/>
              <w:end w:w="120" w:type="dxa"/>
            </w:tcMar>
            <w:vAlign w:val="center"/>
          </w:tcPr>
          <w:p>
            <w:pPr>
              <w:spacing w:after="0" w:line="252" w:lineRule="auto"/>
            </w:pPr>
            <w:r>
              <w:rPr>
                <w:rFonts w:ascii="Calibri" w:hAnsi="Calibri"/>
                <w:color w:val="17212B"/>
                <w:sz w:val="18"/>
              </w:rPr>
              <w:t>Recommended delivery</w:t>
            </w:r>
          </w:p>
        </w:tc>
        <w:tc>
          <w:tcPr>
            <w:tcW w:type="dxa" w:w="7560"/>
            <w:shd w:fill="F3F6F4"/>
            <w:tcMar>
              <w:top w:w="80" w:type="dxa"/>
              <w:start w:w="120" w:type="dxa"/>
              <w:bottom w:w="80" w:type="dxa"/>
              <w:end w:w="120" w:type="dxa"/>
            </w:tcMar>
            <w:vAlign w:val="center"/>
          </w:tcPr>
          <w:p>
            <w:pPr>
              <w:spacing w:after="0" w:line="252" w:lineRule="auto"/>
            </w:pPr>
            <w:r>
              <w:rPr>
                <w:rFonts w:ascii="Calibri" w:hAnsi="Calibri"/>
                <w:color w:val="17212B"/>
                <w:sz w:val="18"/>
              </w:rPr>
              <w:t>Next.js application, Supabase operations platform, Stripe billing, and replaceable content/media controls</w:t>
            </w:r>
          </w:p>
        </w:tc>
      </w:tr>
    </w:tbl>
    <w:p>
      <w:pPr>
        <w:spacing w:after="40"/>
      </w:pPr>
    </w:p>
    <w:p>
      <w:pPr>
        <w:keepLines/>
        <w:spacing w:before="100" w:after="160"/>
        <w:ind w:left="115" w:right="115"/>
        <w:shd w:fill="E8F4ED"/>
        <w:pBdr>
          <w:left w:val="single" w:sz="18" w:space="6" w:color="2F8F63"/>
        </w:pBdr>
      </w:pPr>
      <w:r>
        <w:rPr>
          <w:rFonts w:ascii="Calibri" w:hAnsi="Calibri"/>
          <w:b/>
          <w:color w:val="2F8F63"/>
        </w:rPr>
        <w:t xml:space="preserve">Executive decision  </w:t>
      </w:r>
      <w:r>
        <w:rPr>
          <w:rFonts w:ascii="Calibri" w:hAnsi="Calibri"/>
          <w:color w:val="17212B"/>
        </w:rPr>
        <w:t>Build a focused pest-control service platform, not a miniature copy of the entire Terminix ecosystem. The product will combine a mature public website, deterministic service-area pricing, recurring and one-time checkout, and a custom internal operations console. A managed payment provider—not our application—will store payment methods and run the billing lifecycle.</w:t>
      </w:r>
    </w:p>
    <w:p>
      <w:pPr>
        <w:pStyle w:val="Heading1"/>
      </w:pPr>
      <w:r>
        <w:t>Project outcome</w:t>
      </w:r>
    </w:p>
    <w:p>
      <w:pPr>
        <w:keepLines w:val="0"/>
      </w:pPr>
      <w:r>
        <w:rPr>
          <w:rFonts w:ascii="Calibri" w:hAnsi="Calibri"/>
          <w:i w:val="0"/>
          <w:color w:val="17212B"/>
        </w:rPr>
        <w:t>The first release should feel like an established service company with a clear operational process. Visitors must be able to understand the service, verify their area, compare locally available recurring and one-time treatment options, see the correct price, complete checkout, and receive a reliable service-onboarding confirmation without encountering unfinished pages.</w:t>
      </w:r>
    </w:p>
    <w:p>
      <w:pPr>
        <w:pStyle w:val="Heading2"/>
      </w:pPr>
      <w:r>
        <w:t>CRM and billing decision — finalized</w:t>
      </w:r>
    </w:p>
    <w:p>
      <w:pPr>
        <w:keepLines w:val="0"/>
      </w:pPr>
      <w:r>
        <w:rPr>
          <w:rFonts w:ascii="Calibri" w:hAnsi="Calibri"/>
          <w:i w:val="0"/>
          <w:color w:val="17212B"/>
        </w:rPr>
        <w:t>Use a hybrid architecture with a custom Pest Operations Console and Stripe as the release-one payment and subscription provider. We will build the pest-control-specific CRM functions ourselves—customers, addresses, plan eligibility, quotes, appointments, jobs, notes, and operational status—because those workflows define the business. Stripe Checkout, Billing, Customer Portal, and verified webhooks will handle card collection, one-time charges, recurring invoices, payment authentication, retries, and subscription status. PayPal is deferred until the Stripe workflow is operating reliably; release one will not maintain two billing catalogs and event models.</w:t>
      </w:r>
    </w:p>
    <w:p>
      <w:pPr>
        <w:pStyle w:val="Heading2"/>
      </w:pPr>
      <w:r>
        <w:t>The most important scope rule</w:t>
      </w:r>
    </w:p>
    <w:p>
      <w:pPr>
        <w:keepLines w:val="0"/>
      </w:pPr>
      <w:r>
        <w:rPr>
          <w:rFonts w:ascii="Calibri" w:hAnsi="Calibri"/>
          <w:i w:val="0"/>
          <w:color w:val="17212B"/>
        </w:rPr>
        <w:t>Do not publish empty versions of Termite Treatment, Home Services, Commercial, Careers, or other excluded sections. Hidden navigation is more professional than empty navigation. Add those areas only when real content, a working user journey, and business ownership exist.</w:t>
      </w:r>
    </w:p>
    <w:p>
      <w:r>
        <w:br w:type="page"/>
      </w:r>
    </w:p>
    <w:p>
      <w:pPr>
        <w:pStyle w:val="Heading1"/>
      </w:pPr>
      <w:r>
        <w:t>1. Research frame and confidence</w:t>
      </w:r>
    </w:p>
    <w:p>
      <w:pPr>
        <w:keepLines w:val="0"/>
      </w:pPr>
      <w:r>
        <w:rPr>
          <w:rFonts w:ascii="Calibri" w:hAnsi="Calibri"/>
          <w:i w:val="0"/>
          <w:color w:val="17212B"/>
        </w:rPr>
        <w:t>This review covered the indexed homepage, the general pest-control conversion page, plan pages, pest-specific service pages, the free-inspection funnel, the pest library, reviews, cost, contact, about, offers, and the official sitemap. Terminix’s security service repeatedly held the live cloud browser on a human-verification screen, so animation timing, hover behavior, exact responsive breakpoints, and current pixel spacing could not be directly tested. Those items are marked as design inferences rather than verified facts.</w:t>
      </w:r>
    </w:p>
    <w:tbl>
      <w:tblPr>
        <w:tblStyle w:val="TableGrid"/>
        <w:tblW w:type="dxa" w:w="9360"/>
        <w:jc w:val="left"/>
        <w:tblLayout w:type="fixed"/>
        <w:tblLook w:firstColumn="1" w:firstRow="1" w:lastColumn="0" w:lastRow="0" w:noHBand="0" w:noVBand="1" w:val="04A0"/>
        <w:tblInd w:w="120" w:type="dxa"/>
      </w:tblPr>
      <w:tblGrid>
        <w:gridCol w:w="1700"/>
        <w:gridCol w:w="5700"/>
        <w:gridCol w:w="1960"/>
      </w:tblGrid>
      <w:tr>
        <w:trPr>
          <w:tblHeader w:val="true"/>
          <w:cantSplit w:val="true"/>
        </w:trPr>
        <w:tc>
          <w:tcPr>
            <w:tcW w:type="dxa" w:w="1700"/>
            <w:shd w:fill="0D2640"/>
            <w:tcMar>
              <w:top w:w="80" w:type="dxa"/>
              <w:start w:w="120" w:type="dxa"/>
              <w:bottom w:w="80" w:type="dxa"/>
              <w:end w:w="120" w:type="dxa"/>
            </w:tcMar>
            <w:vAlign w:val="center"/>
          </w:tcPr>
          <w:p>
            <w:pPr>
              <w:spacing w:after="0"/>
            </w:pPr>
            <w:r>
              <w:rPr>
                <w:rFonts w:ascii="Calibri" w:hAnsi="Calibri"/>
                <w:b/>
                <w:color w:val="FFFFFF"/>
                <w:sz w:val="19"/>
              </w:rPr>
              <w:t>Evidence class</w:t>
            </w:r>
          </w:p>
        </w:tc>
        <w:tc>
          <w:tcPr>
            <w:tcW w:type="dxa" w:w="5700"/>
            <w:shd w:fill="0D2640"/>
            <w:tcMar>
              <w:top w:w="80" w:type="dxa"/>
              <w:start w:w="120" w:type="dxa"/>
              <w:bottom w:w="80" w:type="dxa"/>
              <w:end w:w="120" w:type="dxa"/>
            </w:tcMar>
            <w:vAlign w:val="center"/>
          </w:tcPr>
          <w:p>
            <w:pPr>
              <w:spacing w:after="0"/>
            </w:pPr>
            <w:r>
              <w:rPr>
                <w:rFonts w:ascii="Calibri" w:hAnsi="Calibri"/>
                <w:b/>
                <w:color w:val="FFFFFF"/>
                <w:sz w:val="19"/>
              </w:rPr>
              <w:t>What was reviewed</w:t>
            </w:r>
          </w:p>
        </w:tc>
        <w:tc>
          <w:tcPr>
            <w:tcW w:type="dxa" w:w="1960"/>
            <w:shd w:fill="0D2640"/>
            <w:tcMar>
              <w:top w:w="80" w:type="dxa"/>
              <w:start w:w="120" w:type="dxa"/>
              <w:bottom w:w="80" w:type="dxa"/>
              <w:end w:w="120" w:type="dxa"/>
            </w:tcMar>
            <w:vAlign w:val="center"/>
          </w:tcPr>
          <w:p>
            <w:pPr>
              <w:spacing w:after="0"/>
            </w:pPr>
            <w:r>
              <w:rPr>
                <w:rFonts w:ascii="Calibri" w:hAnsi="Calibri"/>
                <w:b/>
                <w:color w:val="FFFFFF"/>
                <w:sz w:val="19"/>
              </w:rPr>
              <w:t>Confidence</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Verified page content</w:t>
            </w:r>
          </w:p>
        </w:tc>
        <w:tc>
          <w:tcPr>
            <w:tcW w:type="dxa" w:w="5700"/>
            <w:tcMar>
              <w:top w:w="80" w:type="dxa"/>
              <w:start w:w="120" w:type="dxa"/>
              <w:bottom w:w="80" w:type="dxa"/>
              <w:end w:w="120" w:type="dxa"/>
            </w:tcMar>
            <w:vAlign w:val="center"/>
          </w:tcPr>
          <w:p>
            <w:pPr>
              <w:spacing w:after="0" w:line="252" w:lineRule="auto"/>
            </w:pPr>
            <w:r>
              <w:rPr>
                <w:rFonts w:ascii="Calibri" w:hAnsi="Calibri"/>
                <w:color w:val="17212B"/>
                <w:sz w:val="18"/>
              </w:rPr>
              <w:t>Headings, information order, calls to action, plan structure, forms, navigation labels, guarantees, review modules, and page families from indexed Terminix pages.</w:t>
            </w:r>
          </w:p>
        </w:tc>
        <w:tc>
          <w:tcPr>
            <w:tcW w:type="dxa" w:w="1960"/>
            <w:tcMar>
              <w:top w:w="80" w:type="dxa"/>
              <w:start w:w="120" w:type="dxa"/>
              <w:bottom w:w="80" w:type="dxa"/>
              <w:end w:w="120" w:type="dxa"/>
            </w:tcMar>
            <w:vAlign w:val="center"/>
          </w:tcPr>
          <w:p>
            <w:pPr>
              <w:spacing w:after="0" w:line="252" w:lineRule="auto"/>
            </w:pPr>
            <w:r>
              <w:rPr>
                <w:rFonts w:ascii="Calibri" w:hAnsi="Calibri"/>
                <w:color w:val="17212B"/>
                <w:sz w:val="18"/>
              </w:rPr>
              <w:t>High</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Verified brand tokens</w:t>
            </w:r>
          </w:p>
        </w:tc>
        <w:tc>
          <w:tcPr>
            <w:tcW w:type="dxa" w:w="5700"/>
            <w:shd w:fill="F3F6F4"/>
            <w:tcMar>
              <w:top w:w="80" w:type="dxa"/>
              <w:start w:w="120" w:type="dxa"/>
              <w:bottom w:w="80" w:type="dxa"/>
              <w:end w:w="120" w:type="dxa"/>
            </w:tcMar>
            <w:vAlign w:val="center"/>
          </w:tcPr>
          <w:p>
            <w:pPr>
              <w:spacing w:after="0" w:line="252" w:lineRule="auto"/>
            </w:pPr>
            <w:r>
              <w:rPr>
                <w:rFonts w:ascii="Calibri" w:hAnsi="Calibri"/>
                <w:color w:val="17212B"/>
                <w:sz w:val="18"/>
              </w:rPr>
              <w:t>Inline assets expose green #1DAA4C and dark navy #0D2640. Current pages consistently use technician and household photography.</w:t>
            </w:r>
          </w:p>
        </w:tc>
        <w:tc>
          <w:tcPr>
            <w:tcW w:type="dxa" w:w="1960"/>
            <w:shd w:fill="F3F6F4"/>
            <w:tcMar>
              <w:top w:w="80" w:type="dxa"/>
              <w:start w:w="120" w:type="dxa"/>
              <w:bottom w:w="80" w:type="dxa"/>
              <w:end w:w="120" w:type="dxa"/>
            </w:tcMar>
            <w:vAlign w:val="center"/>
          </w:tcPr>
          <w:p>
            <w:pPr>
              <w:spacing w:after="0" w:line="252" w:lineRule="auto"/>
            </w:pPr>
            <w:r>
              <w:rPr>
                <w:rFonts w:ascii="Calibri" w:hAnsi="Calibri"/>
                <w:color w:val="17212B"/>
                <w:sz w:val="18"/>
              </w:rPr>
              <w:t>High</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Visual inference</w:t>
            </w:r>
          </w:p>
        </w:tc>
        <w:tc>
          <w:tcPr>
            <w:tcW w:type="dxa" w:w="5700"/>
            <w:tcMar>
              <w:top w:w="80" w:type="dxa"/>
              <w:start w:w="120" w:type="dxa"/>
              <w:bottom w:w="80" w:type="dxa"/>
              <w:end w:w="120" w:type="dxa"/>
            </w:tcMar>
            <w:vAlign w:val="center"/>
          </w:tcPr>
          <w:p>
            <w:pPr>
              <w:spacing w:after="0" w:line="252" w:lineRule="auto"/>
            </w:pPr>
            <w:r>
              <w:rPr>
                <w:rFonts w:ascii="Calibri" w:hAnsi="Calibri"/>
                <w:color w:val="17212B"/>
                <w:sz w:val="18"/>
              </w:rPr>
              <w:t>Exact font family, grid dimensions, shadows, radius values, micro-animation, and breakpoint behavior inferred from retrievable visual references.</w:t>
            </w:r>
          </w:p>
        </w:tc>
        <w:tc>
          <w:tcPr>
            <w:tcW w:type="dxa" w:w="1960"/>
            <w:tcMar>
              <w:top w:w="80" w:type="dxa"/>
              <w:start w:w="120" w:type="dxa"/>
              <w:bottom w:w="80" w:type="dxa"/>
              <w:end w:w="120" w:type="dxa"/>
            </w:tcMar>
            <w:vAlign w:val="center"/>
          </w:tcPr>
          <w:p>
            <w:pPr>
              <w:spacing w:after="0" w:line="252" w:lineRule="auto"/>
            </w:pPr>
            <w:r>
              <w:rPr>
                <w:rFonts w:ascii="Calibri" w:hAnsi="Calibri"/>
                <w:color w:val="17212B"/>
                <w:sz w:val="18"/>
              </w:rPr>
              <w:t>Medium</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Our recommendation</w:t>
            </w:r>
          </w:p>
        </w:tc>
        <w:tc>
          <w:tcPr>
            <w:tcW w:type="dxa" w:w="5700"/>
            <w:shd w:fill="F3F6F4"/>
            <w:tcMar>
              <w:top w:w="80" w:type="dxa"/>
              <w:start w:w="120" w:type="dxa"/>
              <w:bottom w:w="80" w:type="dxa"/>
              <w:end w:w="120" w:type="dxa"/>
            </w:tcMar>
            <w:vAlign w:val="center"/>
          </w:tcPr>
          <w:p>
            <w:pPr>
              <w:spacing w:after="0" w:line="252" w:lineRule="auto"/>
            </w:pPr>
            <w:r>
              <w:rPr>
                <w:rFonts w:ascii="Calibri" w:hAnsi="Calibri"/>
                <w:color w:val="17212B"/>
                <w:sz w:val="18"/>
              </w:rPr>
              <w:t>Proposed information architecture, component system, technology, data model, delivery phases, and acceptance criteria.</w:t>
            </w:r>
          </w:p>
        </w:tc>
        <w:tc>
          <w:tcPr>
            <w:tcW w:type="dxa" w:w="1960"/>
            <w:shd w:fill="F3F6F4"/>
            <w:tcMar>
              <w:top w:w="80" w:type="dxa"/>
              <w:start w:w="120" w:type="dxa"/>
              <w:bottom w:w="80" w:type="dxa"/>
              <w:end w:w="120" w:type="dxa"/>
            </w:tcMar>
            <w:vAlign w:val="center"/>
          </w:tcPr>
          <w:p>
            <w:pPr>
              <w:spacing w:after="0" w:line="252" w:lineRule="auto"/>
            </w:pPr>
            <w:r>
              <w:rPr>
                <w:rFonts w:ascii="Calibri" w:hAnsi="Calibri"/>
                <w:color w:val="17212B"/>
                <w:sz w:val="18"/>
              </w:rPr>
              <w:t>Design decision</w:t>
            </w:r>
          </w:p>
        </w:tc>
      </w:tr>
    </w:tbl>
    <w:p>
      <w:pPr>
        <w:spacing w:after="40"/>
      </w:pPr>
    </w:p>
    <w:p>
      <w:pPr>
        <w:pStyle w:val="Heading2"/>
      </w:pPr>
      <w:r>
        <w:t>What “similar” should mean</w:t>
      </w:r>
    </w:p>
    <w:p>
      <w:pPr>
        <w:pStyle w:val="ListBullet"/>
        <w:spacing w:after="80" w:line="276" w:lineRule="auto"/>
        <w:ind w:left="720" w:hanging="360"/>
      </w:pPr>
      <w:r>
        <w:rPr>
          <w:rFonts w:ascii="Calibri" w:hAnsi="Calibri"/>
          <w:color w:val="17212B"/>
        </w:rPr>
        <w:t>Similar maturity: disciplined hierarchy, visible trust, helpful service explanations, and strong form usability.</w:t>
      </w:r>
    </w:p>
    <w:p>
      <w:pPr>
        <w:pStyle w:val="ListBullet"/>
        <w:spacing w:after="80" w:line="276" w:lineRule="auto"/>
        <w:ind w:left="720" w:hanging="360"/>
      </w:pPr>
      <w:r>
        <w:rPr>
          <w:rFonts w:ascii="Calibri" w:hAnsi="Calibri"/>
          <w:color w:val="17212B"/>
        </w:rPr>
        <w:t>Similar conversion logic: repeated inspection and pricing calls to action after each major decision point.</w:t>
      </w:r>
    </w:p>
    <w:p>
      <w:pPr>
        <w:pStyle w:val="ListBullet"/>
        <w:spacing w:after="80" w:line="276" w:lineRule="auto"/>
        <w:ind w:left="720" w:hanging="360"/>
      </w:pPr>
      <w:r>
        <w:rPr>
          <w:rFonts w:ascii="Calibri" w:hAnsi="Calibri"/>
          <w:color w:val="17212B"/>
        </w:rPr>
        <w:t>Similar content architecture: a core plan page supported by pest-specific service variants and education.</w:t>
      </w:r>
    </w:p>
    <w:p>
      <w:pPr>
        <w:pStyle w:val="ListBullet"/>
        <w:spacing w:after="80" w:line="276" w:lineRule="auto"/>
        <w:ind w:left="720" w:hanging="360"/>
      </w:pPr>
      <w:r>
        <w:rPr>
          <w:rFonts w:ascii="Calibri" w:hAnsi="Calibri"/>
          <w:color w:val="17212B"/>
        </w:rPr>
        <w:t>Not a clone: no Terminix trademark, copyrighted copy, proprietary product name, review data, promotional offer, photography, or exact visual identity should be reused.</w:t>
      </w:r>
    </w:p>
    <w:p>
      <w:pPr>
        <w:keepLines/>
        <w:spacing w:before="100" w:after="160"/>
        <w:ind w:left="115" w:right="115"/>
        <w:shd w:fill="E8F4ED"/>
        <w:pBdr>
          <w:left w:val="single" w:sz="18" w:space="6" w:color="2F8F63"/>
        </w:pBdr>
      </w:pPr>
      <w:r>
        <w:rPr>
          <w:rFonts w:ascii="Calibri" w:hAnsi="Calibri"/>
          <w:b/>
          <w:color w:val="2F8F63"/>
        </w:rPr>
        <w:t xml:space="preserve">Legal and brand guardrail  </w:t>
      </w:r>
      <w:r>
        <w:rPr>
          <w:rFonts w:ascii="Calibri" w:hAnsi="Calibri"/>
          <w:color w:val="17212B"/>
        </w:rPr>
        <w:t>Use Terminix as a UX reference only. The production site needs its own business name, logo, color calibration, photography rights, guarantees, service claims, and terms.</w:t>
      </w:r>
    </w:p>
    <w:p>
      <w:pPr>
        <w:pStyle w:val="Heading1"/>
      </w:pPr>
      <w:r>
        <w:t>2. Reference site anatomy</w:t>
      </w:r>
    </w:p>
    <w:p>
      <w:pPr>
        <w:keepLines w:val="0"/>
      </w:pPr>
      <w:r>
        <w:rPr>
          <w:rFonts w:ascii="Calibri" w:hAnsi="Calibri"/>
          <w:i w:val="0"/>
          <w:color w:val="17212B"/>
        </w:rPr>
        <w:t>Terminix appears extensive because it contains a very large SEO and location footprint. At product level, the experience is built from a limited number of reusable templates. This is the key to reproducing its maturity efficiently.</w:t>
      </w:r>
    </w:p>
    <w:tbl>
      <w:tblPr>
        <w:tblStyle w:val="TableGrid"/>
        <w:tblW w:type="dxa" w:w="9360"/>
        <w:jc w:val="left"/>
        <w:tblLayout w:type="fixed"/>
        <w:tblLook w:firstColumn="1" w:firstRow="1" w:lastColumn="0" w:lastRow="0" w:noHBand="0" w:noVBand="1" w:val="04A0"/>
        <w:tblInd w:w="120" w:type="dxa"/>
      </w:tblPr>
      <w:tblGrid>
        <w:gridCol w:w="1600"/>
        <w:gridCol w:w="3200"/>
        <w:gridCol w:w="4560"/>
      </w:tblGrid>
      <w:tr>
        <w:trPr>
          <w:tblHeader w:val="true"/>
          <w:cantSplit w:val="true"/>
        </w:trPr>
        <w:tc>
          <w:tcPr>
            <w:tcW w:type="dxa" w:w="1600"/>
            <w:shd w:fill="0D2640"/>
            <w:tcMar>
              <w:top w:w="80" w:type="dxa"/>
              <w:start w:w="120" w:type="dxa"/>
              <w:bottom w:w="80" w:type="dxa"/>
              <w:end w:w="120" w:type="dxa"/>
            </w:tcMar>
            <w:vAlign w:val="center"/>
          </w:tcPr>
          <w:p>
            <w:pPr>
              <w:spacing w:after="0"/>
            </w:pPr>
            <w:r>
              <w:rPr>
                <w:rFonts w:ascii="Calibri" w:hAnsi="Calibri"/>
                <w:b/>
                <w:color w:val="FFFFFF"/>
                <w:sz w:val="19"/>
              </w:rPr>
              <w:t>Page family</w:t>
            </w:r>
          </w:p>
        </w:tc>
        <w:tc>
          <w:tcPr>
            <w:tcW w:type="dxa" w:w="3200"/>
            <w:shd w:fill="0D2640"/>
            <w:tcMar>
              <w:top w:w="80" w:type="dxa"/>
              <w:start w:w="120" w:type="dxa"/>
              <w:bottom w:w="80" w:type="dxa"/>
              <w:end w:w="120" w:type="dxa"/>
            </w:tcMar>
            <w:vAlign w:val="center"/>
          </w:tcPr>
          <w:p>
            <w:pPr>
              <w:spacing w:after="0"/>
            </w:pPr>
            <w:r>
              <w:rPr>
                <w:rFonts w:ascii="Calibri" w:hAnsi="Calibri"/>
                <w:b/>
                <w:color w:val="FFFFFF"/>
                <w:sz w:val="19"/>
              </w:rPr>
              <w:t>Reference role</w:t>
            </w:r>
          </w:p>
        </w:tc>
        <w:tc>
          <w:tcPr>
            <w:tcW w:type="dxa" w:w="4560"/>
            <w:shd w:fill="0D2640"/>
            <w:tcMar>
              <w:top w:w="80" w:type="dxa"/>
              <w:start w:w="120" w:type="dxa"/>
              <w:bottom w:w="80" w:type="dxa"/>
              <w:end w:w="120" w:type="dxa"/>
            </w:tcMar>
            <w:vAlign w:val="center"/>
          </w:tcPr>
          <w:p>
            <w:pPr>
              <w:spacing w:after="0"/>
            </w:pPr>
            <w:r>
              <w:rPr>
                <w:rFonts w:ascii="Calibri" w:hAnsi="Calibri"/>
                <w:b/>
                <w:color w:val="FFFFFF"/>
                <w:sz w:val="19"/>
              </w:rPr>
              <w:t>Pattern worth retaining</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Calibri" w:hAnsi="Calibri"/>
                <w:color w:val="17212B"/>
                <w:sz w:val="18"/>
              </w:rPr>
              <w:t>Homepage</w:t>
            </w:r>
          </w:p>
        </w:tc>
        <w:tc>
          <w:tcPr>
            <w:tcW w:type="dxa" w:w="3200"/>
            <w:tcMar>
              <w:top w:w="80" w:type="dxa"/>
              <w:start w:w="120" w:type="dxa"/>
              <w:bottom w:w="80" w:type="dxa"/>
              <w:end w:w="120" w:type="dxa"/>
            </w:tcMar>
            <w:vAlign w:val="center"/>
          </w:tcPr>
          <w:p>
            <w:pPr>
              <w:spacing w:after="0" w:line="252" w:lineRule="auto"/>
            </w:pPr>
            <w:r>
              <w:rPr>
                <w:rFonts w:ascii="Calibri" w:hAnsi="Calibri"/>
                <w:color w:val="17212B"/>
                <w:sz w:val="18"/>
              </w:rPr>
              <w:t>Broad service orientation and trust-building entry point.</w:t>
            </w:r>
          </w:p>
        </w:tc>
        <w:tc>
          <w:tcPr>
            <w:tcW w:type="dxa" w:w="4560"/>
            <w:tcMar>
              <w:top w:w="80" w:type="dxa"/>
              <w:start w:w="120" w:type="dxa"/>
              <w:bottom w:w="80" w:type="dxa"/>
              <w:end w:w="120" w:type="dxa"/>
            </w:tcMar>
            <w:vAlign w:val="center"/>
          </w:tcPr>
          <w:p>
            <w:pPr>
              <w:spacing w:after="0" w:line="252" w:lineRule="auto"/>
            </w:pPr>
            <w:r>
              <w:rPr>
                <w:rFonts w:ascii="Calibri" w:hAnsi="Calibri"/>
                <w:color w:val="17212B"/>
                <w:sz w:val="18"/>
              </w:rPr>
              <w:t>Hero, service shortcuts, offer, guarantee, pest carousel, process, reviews, final CTA.</w:t>
            </w:r>
          </w:p>
        </w:tc>
      </w:tr>
      <w:tr>
        <w:trPr>
          <w:cantSplit w:val="true"/>
        </w:trPr>
        <w:tc>
          <w:tcPr>
            <w:tcW w:type="dxa" w:w="1600"/>
            <w:shd w:fill="F3F6F4"/>
            <w:tcMar>
              <w:top w:w="80" w:type="dxa"/>
              <w:start w:w="120" w:type="dxa"/>
              <w:bottom w:w="80" w:type="dxa"/>
              <w:end w:w="120" w:type="dxa"/>
            </w:tcMar>
            <w:vAlign w:val="center"/>
          </w:tcPr>
          <w:p>
            <w:pPr>
              <w:spacing w:after="0" w:line="252" w:lineRule="auto"/>
            </w:pPr>
            <w:r>
              <w:rPr>
                <w:rFonts w:ascii="Calibri" w:hAnsi="Calibri"/>
                <w:color w:val="17212B"/>
                <w:sz w:val="18"/>
              </w:rPr>
              <w:t>Pest Control</w:t>
            </w:r>
          </w:p>
        </w:tc>
        <w:tc>
          <w:tcPr>
            <w:tcW w:type="dxa" w:w="3200"/>
            <w:shd w:fill="F3F6F4"/>
            <w:tcMar>
              <w:top w:w="80" w:type="dxa"/>
              <w:start w:w="120" w:type="dxa"/>
              <w:bottom w:w="80" w:type="dxa"/>
              <w:end w:w="120" w:type="dxa"/>
            </w:tcMar>
            <w:vAlign w:val="center"/>
          </w:tcPr>
          <w:p>
            <w:pPr>
              <w:spacing w:after="0" w:line="252" w:lineRule="auto"/>
            </w:pPr>
            <w:r>
              <w:rPr>
                <w:rFonts w:ascii="Calibri" w:hAnsi="Calibri"/>
                <w:color w:val="17212B"/>
                <w:sz w:val="18"/>
              </w:rPr>
              <w:t>Primary commercial decision page.</w:t>
            </w:r>
          </w:p>
        </w:tc>
        <w:tc>
          <w:tcPr>
            <w:tcW w:type="dxa" w:w="4560"/>
            <w:shd w:fill="F3F6F4"/>
            <w:tcMar>
              <w:top w:w="80" w:type="dxa"/>
              <w:start w:w="120" w:type="dxa"/>
              <w:bottom w:w="80" w:type="dxa"/>
              <w:end w:w="120" w:type="dxa"/>
            </w:tcMar>
            <w:vAlign w:val="center"/>
          </w:tcPr>
          <w:p>
            <w:pPr>
              <w:spacing w:after="0" w:line="252" w:lineRule="auto"/>
            </w:pPr>
            <w:r>
              <w:rPr>
                <w:rFonts w:ascii="Calibri" w:hAnsi="Calibri"/>
                <w:color w:val="17212B"/>
                <w:sz w:val="18"/>
              </w:rPr>
              <w:t>Plan choice, 25 versus 39 pest coverage, one-time option, address-based pricing, process, FAQs.</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Calibri" w:hAnsi="Calibri"/>
                <w:color w:val="17212B"/>
                <w:sz w:val="18"/>
              </w:rPr>
              <w:t>Pest-specific service</w:t>
            </w:r>
          </w:p>
        </w:tc>
        <w:tc>
          <w:tcPr>
            <w:tcW w:type="dxa" w:w="3200"/>
            <w:tcMar>
              <w:top w:w="80" w:type="dxa"/>
              <w:start w:w="120" w:type="dxa"/>
              <w:bottom w:w="80" w:type="dxa"/>
              <w:end w:w="120" w:type="dxa"/>
            </w:tcMar>
            <w:vAlign w:val="center"/>
          </w:tcPr>
          <w:p>
            <w:pPr>
              <w:spacing w:after="0" w:line="252" w:lineRule="auto"/>
            </w:pPr>
            <w:r>
              <w:rPr>
                <w:rFonts w:ascii="Calibri" w:hAnsi="Calibri"/>
                <w:color w:val="17212B"/>
                <w:sz w:val="18"/>
              </w:rPr>
              <w:t>Problem-aware landing pages such as ants, bed bugs, mosquitoes, cockroaches, rodents, and spiders.</w:t>
            </w:r>
          </w:p>
        </w:tc>
        <w:tc>
          <w:tcPr>
            <w:tcW w:type="dxa" w:w="4560"/>
            <w:tcMar>
              <w:top w:w="80" w:type="dxa"/>
              <w:start w:w="120" w:type="dxa"/>
              <w:bottom w:w="80" w:type="dxa"/>
              <w:end w:w="120" w:type="dxa"/>
            </w:tcMar>
            <w:vAlign w:val="center"/>
          </w:tcPr>
          <w:p>
            <w:pPr>
              <w:spacing w:after="0" w:line="252" w:lineRule="auto"/>
            </w:pPr>
            <w:r>
              <w:rPr>
                <w:rFonts w:ascii="Calibri" w:hAnsi="Calibri"/>
                <w:color w:val="17212B"/>
                <w:sz w:val="18"/>
              </w:rPr>
              <w:t>Problem framing, treatment methods, applicable plans, guarantee, reviews, three-step process, FAQs, related resources.</w:t>
            </w:r>
          </w:p>
        </w:tc>
      </w:tr>
      <w:tr>
        <w:trPr>
          <w:cantSplit w:val="true"/>
        </w:trPr>
        <w:tc>
          <w:tcPr>
            <w:tcW w:type="dxa" w:w="1600"/>
            <w:shd w:fill="F3F6F4"/>
            <w:tcMar>
              <w:top w:w="80" w:type="dxa"/>
              <w:start w:w="120" w:type="dxa"/>
              <w:bottom w:w="80" w:type="dxa"/>
              <w:end w:w="120" w:type="dxa"/>
            </w:tcMar>
            <w:vAlign w:val="center"/>
          </w:tcPr>
          <w:p>
            <w:pPr>
              <w:spacing w:after="0" w:line="252" w:lineRule="auto"/>
            </w:pPr>
            <w:r>
              <w:rPr>
                <w:rFonts w:ascii="Calibri" w:hAnsi="Calibri"/>
                <w:color w:val="17212B"/>
                <w:sz w:val="18"/>
              </w:rPr>
              <w:t>Plan detail</w:t>
            </w:r>
          </w:p>
        </w:tc>
        <w:tc>
          <w:tcPr>
            <w:tcW w:type="dxa" w:w="3200"/>
            <w:shd w:fill="F3F6F4"/>
            <w:tcMar>
              <w:top w:w="80" w:type="dxa"/>
              <w:start w:w="120" w:type="dxa"/>
              <w:bottom w:w="80" w:type="dxa"/>
              <w:end w:w="120" w:type="dxa"/>
            </w:tcMar>
            <w:vAlign w:val="center"/>
          </w:tcPr>
          <w:p>
            <w:pPr>
              <w:spacing w:after="0" w:line="252" w:lineRule="auto"/>
            </w:pPr>
            <w:r>
              <w:rPr>
                <w:rFonts w:ascii="Calibri" w:hAnsi="Calibri"/>
                <w:color w:val="17212B"/>
                <w:sz w:val="18"/>
              </w:rPr>
              <w:t>Explains recurring protection and covered pests.</w:t>
            </w:r>
          </w:p>
        </w:tc>
        <w:tc>
          <w:tcPr>
            <w:tcW w:type="dxa" w:w="4560"/>
            <w:shd w:fill="F3F6F4"/>
            <w:tcMar>
              <w:top w:w="80" w:type="dxa"/>
              <w:start w:w="120" w:type="dxa"/>
              <w:bottom w:w="80" w:type="dxa"/>
              <w:end w:w="120" w:type="dxa"/>
            </w:tcMar>
            <w:vAlign w:val="center"/>
          </w:tcPr>
          <w:p>
            <w:pPr>
              <w:spacing w:after="0" w:line="252" w:lineRule="auto"/>
            </w:pPr>
            <w:r>
              <w:rPr>
                <w:rFonts w:ascii="Calibri" w:hAnsi="Calibri"/>
                <w:color w:val="17212B"/>
                <w:sz w:val="18"/>
              </w:rPr>
              <w:t>Benefits, coverage list, how it works, guarantee, cross-sell, pricing CTA.</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Calibri" w:hAnsi="Calibri"/>
                <w:color w:val="17212B"/>
                <w:sz w:val="18"/>
              </w:rPr>
              <w:t>Inspection funnel</w:t>
            </w:r>
          </w:p>
        </w:tc>
        <w:tc>
          <w:tcPr>
            <w:tcW w:type="dxa" w:w="3200"/>
            <w:tcMar>
              <w:top w:w="80" w:type="dxa"/>
              <w:start w:w="120" w:type="dxa"/>
              <w:bottom w:w="80" w:type="dxa"/>
              <w:end w:w="120" w:type="dxa"/>
            </w:tcMar>
            <w:vAlign w:val="center"/>
          </w:tcPr>
          <w:p>
            <w:pPr>
              <w:spacing w:after="0" w:line="252" w:lineRule="auto"/>
            </w:pPr>
            <w:r>
              <w:rPr>
                <w:rFonts w:ascii="Calibri" w:hAnsi="Calibri"/>
                <w:color w:val="17212B"/>
                <w:sz w:val="18"/>
              </w:rPr>
              <w:t>Lead capture and scheduling.</w:t>
            </w:r>
          </w:p>
        </w:tc>
        <w:tc>
          <w:tcPr>
            <w:tcW w:type="dxa" w:w="4560"/>
            <w:tcMar>
              <w:top w:w="80" w:type="dxa"/>
              <w:start w:w="120" w:type="dxa"/>
              <w:bottom w:w="80" w:type="dxa"/>
              <w:end w:w="120" w:type="dxa"/>
            </w:tcMar>
            <w:vAlign w:val="center"/>
          </w:tcPr>
          <w:p>
            <w:pPr>
              <w:spacing w:after="0" w:line="252" w:lineRule="auto"/>
            </w:pPr>
            <w:r>
              <w:rPr>
                <w:rFonts w:ascii="Calibri" w:hAnsi="Calibri"/>
                <w:color w:val="17212B"/>
                <w:sz w:val="18"/>
              </w:rPr>
              <w:t>Three visible stages: address, contact details, schedule.</w:t>
            </w:r>
          </w:p>
        </w:tc>
      </w:tr>
      <w:tr>
        <w:trPr>
          <w:cantSplit w:val="true"/>
        </w:trPr>
        <w:tc>
          <w:tcPr>
            <w:tcW w:type="dxa" w:w="1600"/>
            <w:shd w:fill="F3F6F4"/>
            <w:tcMar>
              <w:top w:w="80" w:type="dxa"/>
              <w:start w:w="120" w:type="dxa"/>
              <w:bottom w:w="80" w:type="dxa"/>
              <w:end w:w="120" w:type="dxa"/>
            </w:tcMar>
            <w:vAlign w:val="center"/>
          </w:tcPr>
          <w:p>
            <w:pPr>
              <w:spacing w:after="0" w:line="252" w:lineRule="auto"/>
            </w:pPr>
            <w:r>
              <w:rPr>
                <w:rFonts w:ascii="Calibri" w:hAnsi="Calibri"/>
                <w:color w:val="17212B"/>
                <w:sz w:val="18"/>
              </w:rPr>
              <w:t>Pest library</w:t>
            </w:r>
          </w:p>
        </w:tc>
        <w:tc>
          <w:tcPr>
            <w:tcW w:type="dxa" w:w="3200"/>
            <w:shd w:fill="F3F6F4"/>
            <w:tcMar>
              <w:top w:w="80" w:type="dxa"/>
              <w:start w:w="120" w:type="dxa"/>
              <w:bottom w:w="80" w:type="dxa"/>
              <w:end w:w="120" w:type="dxa"/>
            </w:tcMar>
            <w:vAlign w:val="center"/>
          </w:tcPr>
          <w:p>
            <w:pPr>
              <w:spacing w:after="0" w:line="252" w:lineRule="auto"/>
            </w:pPr>
            <w:r>
              <w:rPr>
                <w:rFonts w:ascii="Calibri" w:hAnsi="Calibri"/>
                <w:color w:val="17212B"/>
                <w:sz w:val="18"/>
              </w:rPr>
              <w:t>Education and search discovery.</w:t>
            </w:r>
          </w:p>
        </w:tc>
        <w:tc>
          <w:tcPr>
            <w:tcW w:type="dxa" w:w="4560"/>
            <w:shd w:fill="F3F6F4"/>
            <w:tcMar>
              <w:top w:w="80" w:type="dxa"/>
              <w:start w:w="120" w:type="dxa"/>
              <w:bottom w:w="80" w:type="dxa"/>
              <w:end w:w="120" w:type="dxa"/>
            </w:tcMar>
            <w:vAlign w:val="center"/>
          </w:tcPr>
          <w:p>
            <w:pPr>
              <w:spacing w:after="0" w:line="252" w:lineRule="auto"/>
            </w:pPr>
            <w:r>
              <w:rPr>
                <w:rFonts w:ascii="Calibri" w:hAnsi="Calibri"/>
                <w:color w:val="17212B"/>
                <w:sz w:val="18"/>
              </w:rPr>
              <w:t>Image-led pest index and taxonomy-driven detail pages.</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Calibri" w:hAnsi="Calibri"/>
                <w:color w:val="17212B"/>
                <w:sz w:val="18"/>
              </w:rPr>
              <w:t>Trust pages</w:t>
            </w:r>
          </w:p>
        </w:tc>
        <w:tc>
          <w:tcPr>
            <w:tcW w:type="dxa" w:w="3200"/>
            <w:tcMar>
              <w:top w:w="80" w:type="dxa"/>
              <w:start w:w="120" w:type="dxa"/>
              <w:bottom w:w="80" w:type="dxa"/>
              <w:end w:w="120" w:type="dxa"/>
            </w:tcMar>
            <w:vAlign w:val="center"/>
          </w:tcPr>
          <w:p>
            <w:pPr>
              <w:spacing w:after="0" w:line="252" w:lineRule="auto"/>
            </w:pPr>
            <w:r>
              <w:rPr>
                <w:rFonts w:ascii="Calibri" w:hAnsi="Calibri"/>
                <w:color w:val="17212B"/>
                <w:sz w:val="18"/>
              </w:rPr>
              <w:t>About, reviews, contact, guarantees, and local branches.</w:t>
            </w:r>
          </w:p>
        </w:tc>
        <w:tc>
          <w:tcPr>
            <w:tcW w:type="dxa" w:w="4560"/>
            <w:tcMar>
              <w:top w:w="80" w:type="dxa"/>
              <w:start w:w="120" w:type="dxa"/>
              <w:bottom w:w="80" w:type="dxa"/>
              <w:end w:w="120" w:type="dxa"/>
            </w:tcMar>
            <w:vAlign w:val="center"/>
          </w:tcPr>
          <w:p>
            <w:pPr>
              <w:spacing w:after="0" w:line="252" w:lineRule="auto"/>
            </w:pPr>
            <w:r>
              <w:rPr>
                <w:rFonts w:ascii="Calibri" w:hAnsi="Calibri"/>
                <w:color w:val="17212B"/>
                <w:sz w:val="18"/>
              </w:rPr>
              <w:t>Proof, access to support, operating history, and locality.</w:t>
            </w:r>
          </w:p>
        </w:tc>
      </w:tr>
      <w:tr>
        <w:trPr>
          <w:cantSplit w:val="true"/>
        </w:trPr>
        <w:tc>
          <w:tcPr>
            <w:tcW w:type="dxa" w:w="1600"/>
            <w:shd w:fill="F3F6F4"/>
            <w:tcMar>
              <w:top w:w="80" w:type="dxa"/>
              <w:start w:w="120" w:type="dxa"/>
              <w:bottom w:w="80" w:type="dxa"/>
              <w:end w:w="120" w:type="dxa"/>
            </w:tcMar>
            <w:vAlign w:val="center"/>
          </w:tcPr>
          <w:p>
            <w:pPr>
              <w:spacing w:after="0" w:line="252" w:lineRule="auto"/>
            </w:pPr>
            <w:r>
              <w:rPr>
                <w:rFonts w:ascii="Calibri" w:hAnsi="Calibri"/>
                <w:color w:val="17212B"/>
                <w:sz w:val="18"/>
              </w:rPr>
              <w:t>Location pages</w:t>
            </w:r>
          </w:p>
        </w:tc>
        <w:tc>
          <w:tcPr>
            <w:tcW w:type="dxa" w:w="3200"/>
            <w:shd w:fill="F3F6F4"/>
            <w:tcMar>
              <w:top w:w="80" w:type="dxa"/>
              <w:start w:w="120" w:type="dxa"/>
              <w:bottom w:w="80" w:type="dxa"/>
              <w:end w:w="120" w:type="dxa"/>
            </w:tcMar>
            <w:vAlign w:val="center"/>
          </w:tcPr>
          <w:p>
            <w:pPr>
              <w:spacing w:after="0" w:line="252" w:lineRule="auto"/>
            </w:pPr>
            <w:r>
              <w:rPr>
                <w:rFonts w:ascii="Calibri" w:hAnsi="Calibri"/>
                <w:color w:val="17212B"/>
                <w:sz w:val="18"/>
              </w:rPr>
              <w:t>Local SEO and branch conversion.</w:t>
            </w:r>
          </w:p>
        </w:tc>
        <w:tc>
          <w:tcPr>
            <w:tcW w:type="dxa" w:w="4560"/>
            <w:shd w:fill="F3F6F4"/>
            <w:tcMar>
              <w:top w:w="80" w:type="dxa"/>
              <w:start w:w="120" w:type="dxa"/>
              <w:bottom w:w="80" w:type="dxa"/>
              <w:end w:w="120" w:type="dxa"/>
            </w:tcMar>
            <w:vAlign w:val="center"/>
          </w:tcPr>
          <w:p>
            <w:pPr>
              <w:spacing w:after="0" w:line="252" w:lineRule="auto"/>
            </w:pPr>
            <w:r>
              <w:rPr>
                <w:rFonts w:ascii="Calibri" w:hAnsi="Calibri"/>
                <w:color w:val="17212B"/>
                <w:sz w:val="18"/>
              </w:rPr>
              <w:t>Localized service information, service area, local reviews, and contact path.</w:t>
            </w:r>
          </w:p>
        </w:tc>
      </w:tr>
    </w:tbl>
    <w:p>
      <w:pPr>
        <w:spacing w:after="40"/>
      </w:pPr>
    </w:p>
    <w:p>
      <w:pPr>
        <w:pStyle w:val="Heading2"/>
      </w:pPr>
      <w:r>
        <w:t>Observed conversion rhythm</w:t>
      </w:r>
    </w:p>
    <w:p>
      <w:pPr>
        <w:pStyle w:val="ListBullet"/>
        <w:spacing w:after="80" w:line="276" w:lineRule="auto"/>
        <w:ind w:left="720" w:hanging="360"/>
      </w:pPr>
      <w:r>
        <w:rPr>
          <w:rFonts w:ascii="Calibri" w:hAnsi="Calibri"/>
          <w:color w:val="17212B"/>
        </w:rPr>
        <w:t>The top utility area keeps help, location, account, and commercial links visible without competing with the main navigation.</w:t>
      </w:r>
    </w:p>
    <w:p>
      <w:pPr>
        <w:pStyle w:val="ListBullet"/>
        <w:spacing w:after="80" w:line="276" w:lineRule="auto"/>
        <w:ind w:left="720" w:hanging="360"/>
      </w:pPr>
      <w:r>
        <w:rPr>
          <w:rFonts w:ascii="Calibri" w:hAnsi="Calibri"/>
          <w:color w:val="17212B"/>
        </w:rPr>
        <w:t>The hero states a benefit first, then presents one dominant action such as viewing plans or scheduling a free inspection.</w:t>
      </w:r>
    </w:p>
    <w:p>
      <w:pPr>
        <w:pStyle w:val="ListBullet"/>
        <w:spacing w:after="80" w:line="276" w:lineRule="auto"/>
        <w:ind w:left="720" w:hanging="360"/>
      </w:pPr>
      <w:r>
        <w:rPr>
          <w:rFonts w:ascii="Calibri" w:hAnsi="Calibri"/>
          <w:color w:val="17212B"/>
        </w:rPr>
        <w:t>Trust appears early through review volume, rating, guarantees, and technician imagery.</w:t>
      </w:r>
    </w:p>
    <w:p>
      <w:pPr>
        <w:pStyle w:val="ListBullet"/>
        <w:spacing w:after="80" w:line="276" w:lineRule="auto"/>
        <w:ind w:left="720" w:hanging="360"/>
      </w:pPr>
      <w:r>
        <w:rPr>
          <w:rFonts w:ascii="Calibri" w:hAnsi="Calibri"/>
          <w:color w:val="17212B"/>
        </w:rPr>
        <w:t>Offer modules reappear between dense sections and re-anchor the visitor to a commercial next step.</w:t>
      </w:r>
    </w:p>
    <w:p>
      <w:pPr>
        <w:pStyle w:val="ListBullet"/>
        <w:spacing w:after="80" w:line="276" w:lineRule="auto"/>
        <w:ind w:left="720" w:hanging="360"/>
      </w:pPr>
      <w:r>
        <w:rPr>
          <w:rFonts w:ascii="Calibri" w:hAnsi="Calibri"/>
          <w:color w:val="17212B"/>
        </w:rPr>
        <w:t>Long pages alternate content forms: hero, cards, comparison, icon benefits, photography, reviews, process, FAQs, and final CTA.</w:t>
      </w:r>
    </w:p>
    <w:p>
      <w:pPr>
        <w:pStyle w:val="ListBullet"/>
        <w:spacing w:after="80" w:line="276" w:lineRule="auto"/>
        <w:ind w:left="720" w:hanging="360"/>
      </w:pPr>
      <w:r>
        <w:rPr>
          <w:rFonts w:ascii="Calibri" w:hAnsi="Calibri"/>
          <w:color w:val="17212B"/>
        </w:rPr>
        <w:t>Address or ZIP context is collected before location-specific pricing and service availability are shown.</w:t>
      </w:r>
    </w:p>
    <w:p>
      <w:r>
        <w:br w:type="page"/>
      </w:r>
    </w:p>
    <w:p>
      <w:pPr>
        <w:pStyle w:val="Heading1"/>
      </w:pPr>
      <w:r>
        <w:t>3. Visual and UI system analysis</w:t>
      </w:r>
    </w:p>
    <w:p>
      <w:pPr>
        <w:keepLines w:val="0"/>
      </w:pPr>
      <w:r>
        <w:rPr>
          <w:rFonts w:ascii="Calibri" w:hAnsi="Calibri"/>
          <w:i w:val="0"/>
          <w:color w:val="17212B"/>
        </w:rPr>
        <w:t>The reference feels mature because the visual system is restrained and repetitive. It relies on a small brand palette, clear heading contrast, real service photography, consistent card patterns, and generous section spacing. It does not depend on decorative gradients, glass effects, or novelty motion.</w:t>
      </w:r>
    </w:p>
    <w:tbl>
      <w:tblPr>
        <w:tblStyle w:val="TableGrid"/>
        <w:tblW w:type="dxa" w:w="9360"/>
        <w:jc w:val="left"/>
        <w:tblLayout w:type="fixed"/>
        <w:tblLook w:firstColumn="1" w:firstRow="1" w:lastColumn="0" w:lastRow="0" w:noHBand="0" w:noVBand="1" w:val="04A0"/>
        <w:tblInd w:w="120" w:type="dxa"/>
      </w:tblPr>
      <w:tblGrid>
        <w:gridCol w:w="1250"/>
        <w:gridCol w:w="3930"/>
        <w:gridCol w:w="4180"/>
      </w:tblGrid>
      <w:tr>
        <w:trPr>
          <w:tblHeader w:val="true"/>
          <w:cantSplit w:val="true"/>
        </w:trPr>
        <w:tc>
          <w:tcPr>
            <w:tcW w:type="dxa" w:w="1250"/>
            <w:shd w:fill="0D2640"/>
            <w:tcMar>
              <w:top w:w="80" w:type="dxa"/>
              <w:start w:w="120" w:type="dxa"/>
              <w:bottom w:w="80" w:type="dxa"/>
              <w:end w:w="120" w:type="dxa"/>
            </w:tcMar>
            <w:vAlign w:val="center"/>
          </w:tcPr>
          <w:p>
            <w:pPr>
              <w:spacing w:after="0"/>
            </w:pPr>
            <w:r>
              <w:rPr>
                <w:rFonts w:ascii="Calibri" w:hAnsi="Calibri"/>
                <w:b/>
                <w:color w:val="FFFFFF"/>
                <w:sz w:val="19"/>
              </w:rPr>
              <w:t>Layer</w:t>
            </w:r>
          </w:p>
        </w:tc>
        <w:tc>
          <w:tcPr>
            <w:tcW w:type="dxa" w:w="3930"/>
            <w:shd w:fill="0D2640"/>
            <w:tcMar>
              <w:top w:w="80" w:type="dxa"/>
              <w:start w:w="120" w:type="dxa"/>
              <w:bottom w:w="80" w:type="dxa"/>
              <w:end w:w="120" w:type="dxa"/>
            </w:tcMar>
            <w:vAlign w:val="center"/>
          </w:tcPr>
          <w:p>
            <w:pPr>
              <w:spacing w:after="0"/>
            </w:pPr>
            <w:r>
              <w:rPr>
                <w:rFonts w:ascii="Calibri" w:hAnsi="Calibri"/>
                <w:b/>
                <w:color w:val="FFFFFF"/>
                <w:sz w:val="19"/>
              </w:rPr>
              <w:t>Reference observation</w:t>
            </w:r>
          </w:p>
        </w:tc>
        <w:tc>
          <w:tcPr>
            <w:tcW w:type="dxa" w:w="4180"/>
            <w:shd w:fill="0D2640"/>
            <w:tcMar>
              <w:top w:w="80" w:type="dxa"/>
              <w:start w:w="120" w:type="dxa"/>
              <w:bottom w:w="80" w:type="dxa"/>
              <w:end w:w="120" w:type="dxa"/>
            </w:tcMar>
            <w:vAlign w:val="center"/>
          </w:tcPr>
          <w:p>
            <w:pPr>
              <w:spacing w:after="0"/>
            </w:pPr>
            <w:r>
              <w:rPr>
                <w:rFonts w:ascii="Calibri" w:hAnsi="Calibri"/>
                <w:b/>
                <w:color w:val="FFFFFF"/>
                <w:sz w:val="19"/>
              </w:rPr>
              <w:t>Recommendation for our site</w:t>
            </w:r>
          </w:p>
        </w:tc>
      </w:tr>
      <w:tr>
        <w:trPr>
          <w:cantSplit w:val="true"/>
        </w:trPr>
        <w:tc>
          <w:tcPr>
            <w:tcW w:type="dxa" w:w="1250"/>
            <w:tcMar>
              <w:top w:w="80" w:type="dxa"/>
              <w:start w:w="120" w:type="dxa"/>
              <w:bottom w:w="80" w:type="dxa"/>
              <w:end w:w="120" w:type="dxa"/>
            </w:tcMar>
            <w:vAlign w:val="center"/>
          </w:tcPr>
          <w:p>
            <w:pPr>
              <w:spacing w:after="0" w:line="252" w:lineRule="auto"/>
            </w:pPr>
            <w:r>
              <w:rPr>
                <w:rFonts w:ascii="Calibri" w:hAnsi="Calibri"/>
                <w:color w:val="17212B"/>
                <w:sz w:val="18"/>
              </w:rPr>
              <w:t>Color</w:t>
            </w:r>
          </w:p>
        </w:tc>
        <w:tc>
          <w:tcPr>
            <w:tcW w:type="dxa" w:w="3930"/>
            <w:tcMar>
              <w:top w:w="80" w:type="dxa"/>
              <w:start w:w="120" w:type="dxa"/>
              <w:bottom w:w="80" w:type="dxa"/>
              <w:end w:w="120" w:type="dxa"/>
            </w:tcMar>
            <w:vAlign w:val="center"/>
          </w:tcPr>
          <w:p>
            <w:pPr>
              <w:spacing w:after="0" w:line="252" w:lineRule="auto"/>
            </w:pPr>
            <w:r>
              <w:rPr>
                <w:rFonts w:ascii="Calibri" w:hAnsi="Calibri"/>
                <w:color w:val="17212B"/>
                <w:sz w:val="18"/>
              </w:rPr>
              <w:t>Dark navy text and icons, bright green brand/CTA, white and pale neutral section fields.</w:t>
            </w:r>
          </w:p>
        </w:tc>
        <w:tc>
          <w:tcPr>
            <w:tcW w:type="dxa" w:w="4180"/>
            <w:tcMar>
              <w:top w:w="80" w:type="dxa"/>
              <w:start w:w="120" w:type="dxa"/>
              <w:bottom w:w="80" w:type="dxa"/>
              <w:end w:w="120" w:type="dxa"/>
            </w:tcMar>
            <w:vAlign w:val="center"/>
          </w:tcPr>
          <w:p>
            <w:pPr>
              <w:spacing w:after="0" w:line="252" w:lineRule="auto"/>
            </w:pPr>
            <w:r>
              <w:rPr>
                <w:rFonts w:ascii="Calibri" w:hAnsi="Calibri"/>
                <w:color w:val="17212B"/>
                <w:sz w:val="18"/>
              </w:rPr>
              <w:t>Use a distinct forest and green system: #183C35 primary, #2F8F63 action, #F5F4EE warm surface, #17212B ink. Keep reference colors only in the audit.</w:t>
            </w:r>
          </w:p>
        </w:tc>
      </w:tr>
      <w:tr>
        <w:trPr>
          <w:cantSplit w:val="true"/>
        </w:trPr>
        <w:tc>
          <w:tcPr>
            <w:tcW w:type="dxa" w:w="1250"/>
            <w:shd w:fill="F3F6F4"/>
            <w:tcMar>
              <w:top w:w="80" w:type="dxa"/>
              <w:start w:w="120" w:type="dxa"/>
              <w:bottom w:w="80" w:type="dxa"/>
              <w:end w:w="120" w:type="dxa"/>
            </w:tcMar>
            <w:vAlign w:val="center"/>
          </w:tcPr>
          <w:p>
            <w:pPr>
              <w:spacing w:after="0" w:line="252" w:lineRule="auto"/>
            </w:pPr>
            <w:r>
              <w:rPr>
                <w:rFonts w:ascii="Calibri" w:hAnsi="Calibri"/>
                <w:color w:val="17212B"/>
                <w:sz w:val="18"/>
              </w:rPr>
              <w:t>Typography</w:t>
            </w:r>
          </w:p>
        </w:tc>
        <w:tc>
          <w:tcPr>
            <w:tcW w:type="dxa" w:w="3930"/>
            <w:shd w:fill="F3F6F4"/>
            <w:tcMar>
              <w:top w:w="80" w:type="dxa"/>
              <w:start w:w="120" w:type="dxa"/>
              <w:bottom w:w="80" w:type="dxa"/>
              <w:end w:w="120" w:type="dxa"/>
            </w:tcMar>
            <w:vAlign w:val="center"/>
          </w:tcPr>
          <w:p>
            <w:pPr>
              <w:spacing w:after="0" w:line="252" w:lineRule="auto"/>
            </w:pPr>
            <w:r>
              <w:rPr>
                <w:rFonts w:ascii="Calibri" w:hAnsi="Calibri"/>
                <w:color w:val="17212B"/>
                <w:sz w:val="18"/>
              </w:rPr>
              <w:t>Large direct headings, compact utility copy, strong contrast, and short line lengths.</w:t>
            </w:r>
          </w:p>
        </w:tc>
        <w:tc>
          <w:tcPr>
            <w:tcW w:type="dxa" w:w="4180"/>
            <w:shd w:fill="F3F6F4"/>
            <w:tcMar>
              <w:top w:w="80" w:type="dxa"/>
              <w:start w:w="120" w:type="dxa"/>
              <w:bottom w:w="80" w:type="dxa"/>
              <w:end w:w="120" w:type="dxa"/>
            </w:tcMar>
            <w:vAlign w:val="center"/>
          </w:tcPr>
          <w:p>
            <w:pPr>
              <w:spacing w:after="0" w:line="252" w:lineRule="auto"/>
            </w:pPr>
            <w:r>
              <w:rPr>
                <w:rFonts w:ascii="Calibri" w:hAnsi="Calibri"/>
                <w:color w:val="17212B"/>
                <w:sz w:val="18"/>
              </w:rPr>
              <w:t>Use a professional grotesk or humanist sans. Suggested pairing: Manrope for display and Inter for UI/body, or one carefully configured family for speed.</w:t>
            </w:r>
          </w:p>
        </w:tc>
      </w:tr>
      <w:tr>
        <w:trPr>
          <w:cantSplit w:val="true"/>
        </w:trPr>
        <w:tc>
          <w:tcPr>
            <w:tcW w:type="dxa" w:w="1250"/>
            <w:tcMar>
              <w:top w:w="80" w:type="dxa"/>
              <w:start w:w="120" w:type="dxa"/>
              <w:bottom w:w="80" w:type="dxa"/>
              <w:end w:w="120" w:type="dxa"/>
            </w:tcMar>
            <w:vAlign w:val="center"/>
          </w:tcPr>
          <w:p>
            <w:pPr>
              <w:spacing w:after="0" w:line="252" w:lineRule="auto"/>
            </w:pPr>
            <w:r>
              <w:rPr>
                <w:rFonts w:ascii="Calibri" w:hAnsi="Calibri"/>
                <w:color w:val="17212B"/>
                <w:sz w:val="18"/>
              </w:rPr>
              <w:t>Photography</w:t>
            </w:r>
          </w:p>
        </w:tc>
        <w:tc>
          <w:tcPr>
            <w:tcW w:type="dxa" w:w="3930"/>
            <w:tcMar>
              <w:top w:w="80" w:type="dxa"/>
              <w:start w:w="120" w:type="dxa"/>
              <w:bottom w:w="80" w:type="dxa"/>
              <w:end w:w="120" w:type="dxa"/>
            </w:tcMar>
            <w:vAlign w:val="center"/>
          </w:tcPr>
          <w:p>
            <w:pPr>
              <w:spacing w:after="0" w:line="252" w:lineRule="auto"/>
            </w:pPr>
            <w:r>
              <w:rPr>
                <w:rFonts w:ascii="Calibri" w:hAnsi="Calibri"/>
                <w:color w:val="17212B"/>
                <w:sz w:val="18"/>
              </w:rPr>
              <w:t>Uniformed technicians at real homes, pest macro shots, homeowners, equipment, and treatment action.</w:t>
            </w:r>
          </w:p>
        </w:tc>
        <w:tc>
          <w:tcPr>
            <w:tcW w:type="dxa" w:w="4180"/>
            <w:tcMar>
              <w:top w:w="80" w:type="dxa"/>
              <w:start w:w="120" w:type="dxa"/>
              <w:bottom w:w="80" w:type="dxa"/>
              <w:end w:w="120" w:type="dxa"/>
            </w:tcMar>
            <w:vAlign w:val="center"/>
          </w:tcPr>
          <w:p>
            <w:pPr>
              <w:spacing w:after="0" w:line="252" w:lineRule="auto"/>
            </w:pPr>
            <w:r>
              <w:rPr>
                <w:rFonts w:ascii="Calibri" w:hAnsi="Calibri"/>
                <w:color w:val="17212B"/>
                <w:sz w:val="18"/>
              </w:rPr>
              <w:t>Commission or license authentic local photography. Avoid generic smiling teams, overprocessed AI imagery, and inconsistent lighting.</w:t>
            </w:r>
          </w:p>
        </w:tc>
      </w:tr>
      <w:tr>
        <w:trPr>
          <w:cantSplit w:val="true"/>
        </w:trPr>
        <w:tc>
          <w:tcPr>
            <w:tcW w:type="dxa" w:w="1250"/>
            <w:shd w:fill="F3F6F4"/>
            <w:tcMar>
              <w:top w:w="80" w:type="dxa"/>
              <w:start w:w="120" w:type="dxa"/>
              <w:bottom w:w="80" w:type="dxa"/>
              <w:end w:w="120" w:type="dxa"/>
            </w:tcMar>
            <w:vAlign w:val="center"/>
          </w:tcPr>
          <w:p>
            <w:pPr>
              <w:spacing w:after="0" w:line="252" w:lineRule="auto"/>
            </w:pPr>
            <w:r>
              <w:rPr>
                <w:rFonts w:ascii="Calibri" w:hAnsi="Calibri"/>
                <w:color w:val="17212B"/>
                <w:sz w:val="18"/>
              </w:rPr>
              <w:t>Icons</w:t>
            </w:r>
          </w:p>
        </w:tc>
        <w:tc>
          <w:tcPr>
            <w:tcW w:type="dxa" w:w="3930"/>
            <w:shd w:fill="F3F6F4"/>
            <w:tcMar>
              <w:top w:w="80" w:type="dxa"/>
              <w:start w:w="120" w:type="dxa"/>
              <w:bottom w:w="80" w:type="dxa"/>
              <w:end w:w="120" w:type="dxa"/>
            </w:tcMar>
            <w:vAlign w:val="center"/>
          </w:tcPr>
          <w:p>
            <w:pPr>
              <w:spacing w:after="0" w:line="252" w:lineRule="auto"/>
            </w:pPr>
            <w:r>
              <w:rPr>
                <w:rFonts w:ascii="Calibri" w:hAnsi="Calibri"/>
                <w:color w:val="17212B"/>
                <w:sz w:val="18"/>
              </w:rPr>
              <w:t>Simple line or filled pest/service icons in a consistent family.</w:t>
            </w:r>
          </w:p>
        </w:tc>
        <w:tc>
          <w:tcPr>
            <w:tcW w:type="dxa" w:w="4180"/>
            <w:shd w:fill="F3F6F4"/>
            <w:tcMar>
              <w:top w:w="80" w:type="dxa"/>
              <w:start w:w="120" w:type="dxa"/>
              <w:bottom w:w="80" w:type="dxa"/>
              <w:end w:w="120" w:type="dxa"/>
            </w:tcMar>
            <w:vAlign w:val="center"/>
          </w:tcPr>
          <w:p>
            <w:pPr>
              <w:spacing w:after="0" w:line="252" w:lineRule="auto"/>
            </w:pPr>
            <w:r>
              <w:rPr>
                <w:rFonts w:ascii="Calibri" w:hAnsi="Calibri"/>
                <w:color w:val="17212B"/>
                <w:sz w:val="18"/>
              </w:rPr>
              <w:t>Create one 24 px and 32 px icon set with uniform stroke, optical weight, and corner treatment.</w:t>
            </w:r>
          </w:p>
        </w:tc>
      </w:tr>
      <w:tr>
        <w:trPr>
          <w:cantSplit w:val="true"/>
        </w:trPr>
        <w:tc>
          <w:tcPr>
            <w:tcW w:type="dxa" w:w="1250"/>
            <w:tcMar>
              <w:top w:w="80" w:type="dxa"/>
              <w:start w:w="120" w:type="dxa"/>
              <w:bottom w:w="80" w:type="dxa"/>
              <w:end w:w="120" w:type="dxa"/>
            </w:tcMar>
            <w:vAlign w:val="center"/>
          </w:tcPr>
          <w:p>
            <w:pPr>
              <w:spacing w:after="0" w:line="252" w:lineRule="auto"/>
            </w:pPr>
            <w:r>
              <w:rPr>
                <w:rFonts w:ascii="Calibri" w:hAnsi="Calibri"/>
                <w:color w:val="17212B"/>
                <w:sz w:val="18"/>
              </w:rPr>
              <w:t>Cards</w:t>
            </w:r>
          </w:p>
        </w:tc>
        <w:tc>
          <w:tcPr>
            <w:tcW w:type="dxa" w:w="3930"/>
            <w:tcMar>
              <w:top w:w="80" w:type="dxa"/>
              <w:start w:w="120" w:type="dxa"/>
              <w:bottom w:w="80" w:type="dxa"/>
              <w:end w:w="120" w:type="dxa"/>
            </w:tcMar>
            <w:vAlign w:val="center"/>
          </w:tcPr>
          <w:p>
            <w:pPr>
              <w:spacing w:after="0" w:line="252" w:lineRule="auto"/>
            </w:pPr>
            <w:r>
              <w:rPr>
                <w:rFonts w:ascii="Calibri" w:hAnsi="Calibri"/>
                <w:color w:val="17212B"/>
                <w:sz w:val="18"/>
              </w:rPr>
              <w:t>Plan, benefit, pest, offer, and review cards share consistent padding and hierarchy.</w:t>
            </w:r>
          </w:p>
        </w:tc>
        <w:tc>
          <w:tcPr>
            <w:tcW w:type="dxa" w:w="4180"/>
            <w:tcMar>
              <w:top w:w="80" w:type="dxa"/>
              <w:start w:w="120" w:type="dxa"/>
              <w:bottom w:w="80" w:type="dxa"/>
              <w:end w:w="120" w:type="dxa"/>
            </w:tcMar>
            <w:vAlign w:val="center"/>
          </w:tcPr>
          <w:p>
            <w:pPr>
              <w:spacing w:after="0" w:line="252" w:lineRule="auto"/>
            </w:pPr>
            <w:r>
              <w:rPr>
                <w:rFonts w:ascii="Calibri" w:hAnsi="Calibri"/>
                <w:color w:val="17212B"/>
                <w:sz w:val="18"/>
              </w:rPr>
              <w:t>Use 12 to 16 px radius, 1 px border, restrained shadows, and content-specific card variants rather than one universal “AI card.”</w:t>
            </w:r>
          </w:p>
        </w:tc>
      </w:tr>
      <w:tr>
        <w:trPr>
          <w:cantSplit w:val="true"/>
        </w:trPr>
        <w:tc>
          <w:tcPr>
            <w:tcW w:type="dxa" w:w="1250"/>
            <w:shd w:fill="F3F6F4"/>
            <w:tcMar>
              <w:top w:w="80" w:type="dxa"/>
              <w:start w:w="120" w:type="dxa"/>
              <w:bottom w:w="80" w:type="dxa"/>
              <w:end w:w="120" w:type="dxa"/>
            </w:tcMar>
            <w:vAlign w:val="center"/>
          </w:tcPr>
          <w:p>
            <w:pPr>
              <w:spacing w:after="0" w:line="252" w:lineRule="auto"/>
            </w:pPr>
            <w:r>
              <w:rPr>
                <w:rFonts w:ascii="Calibri" w:hAnsi="Calibri"/>
                <w:color w:val="17212B"/>
                <w:sz w:val="18"/>
              </w:rPr>
              <w:t>Spacing</w:t>
            </w:r>
          </w:p>
        </w:tc>
        <w:tc>
          <w:tcPr>
            <w:tcW w:type="dxa" w:w="3930"/>
            <w:shd w:fill="F3F6F4"/>
            <w:tcMar>
              <w:top w:w="80" w:type="dxa"/>
              <w:start w:w="120" w:type="dxa"/>
              <w:bottom w:w="80" w:type="dxa"/>
              <w:end w:w="120" w:type="dxa"/>
            </w:tcMar>
            <w:vAlign w:val="center"/>
          </w:tcPr>
          <w:p>
            <w:pPr>
              <w:spacing w:after="0" w:line="252" w:lineRule="auto"/>
            </w:pPr>
            <w:r>
              <w:rPr>
                <w:rFonts w:ascii="Calibri" w:hAnsi="Calibri"/>
                <w:color w:val="17212B"/>
                <w:sz w:val="18"/>
              </w:rPr>
              <w:t>Sections are visually separated and text is not crammed against imagery.</w:t>
            </w:r>
          </w:p>
        </w:tc>
        <w:tc>
          <w:tcPr>
            <w:tcW w:type="dxa" w:w="4180"/>
            <w:shd w:fill="F3F6F4"/>
            <w:tcMar>
              <w:top w:w="80" w:type="dxa"/>
              <w:start w:w="120" w:type="dxa"/>
              <w:bottom w:w="80" w:type="dxa"/>
              <w:end w:w="120" w:type="dxa"/>
            </w:tcMar>
            <w:vAlign w:val="center"/>
          </w:tcPr>
          <w:p>
            <w:pPr>
              <w:spacing w:after="0" w:line="252" w:lineRule="auto"/>
            </w:pPr>
            <w:r>
              <w:rPr>
                <w:rFonts w:ascii="Calibri" w:hAnsi="Calibri"/>
                <w:color w:val="17212B"/>
                <w:sz w:val="18"/>
              </w:rPr>
              <w:t>Adopt an 8 px base scale. Desktop section spacing 72 to 96 px; mobile 48 to 64 px; content max width near 1200 px.</w:t>
            </w:r>
          </w:p>
        </w:tc>
      </w:tr>
      <w:tr>
        <w:trPr>
          <w:cantSplit w:val="true"/>
        </w:trPr>
        <w:tc>
          <w:tcPr>
            <w:tcW w:type="dxa" w:w="1250"/>
            <w:tcMar>
              <w:top w:w="80" w:type="dxa"/>
              <w:start w:w="120" w:type="dxa"/>
              <w:bottom w:w="80" w:type="dxa"/>
              <w:end w:w="120" w:type="dxa"/>
            </w:tcMar>
            <w:vAlign w:val="center"/>
          </w:tcPr>
          <w:p>
            <w:pPr>
              <w:spacing w:after="0" w:line="252" w:lineRule="auto"/>
            </w:pPr>
            <w:r>
              <w:rPr>
                <w:rFonts w:ascii="Calibri" w:hAnsi="Calibri"/>
                <w:color w:val="17212B"/>
                <w:sz w:val="18"/>
              </w:rPr>
              <w:t>Motion</w:t>
            </w:r>
          </w:p>
        </w:tc>
        <w:tc>
          <w:tcPr>
            <w:tcW w:type="dxa" w:w="3930"/>
            <w:tcMar>
              <w:top w:w="80" w:type="dxa"/>
              <w:start w:w="120" w:type="dxa"/>
              <w:bottom w:w="80" w:type="dxa"/>
              <w:end w:w="120" w:type="dxa"/>
            </w:tcMar>
            <w:vAlign w:val="center"/>
          </w:tcPr>
          <w:p>
            <w:pPr>
              <w:spacing w:after="0" w:line="252" w:lineRule="auto"/>
            </w:pPr>
            <w:r>
              <w:rPr>
                <w:rFonts w:ascii="Calibri" w:hAnsi="Calibri"/>
                <w:color w:val="17212B"/>
                <w:sz w:val="18"/>
              </w:rPr>
              <w:t>Likely functional carousels, accordions, and state transitions rather than decorative animation.</w:t>
            </w:r>
          </w:p>
        </w:tc>
        <w:tc>
          <w:tcPr>
            <w:tcW w:type="dxa" w:w="4180"/>
            <w:tcMar>
              <w:top w:w="80" w:type="dxa"/>
              <w:start w:w="120" w:type="dxa"/>
              <w:bottom w:w="80" w:type="dxa"/>
              <w:end w:w="120" w:type="dxa"/>
            </w:tcMar>
            <w:vAlign w:val="center"/>
          </w:tcPr>
          <w:p>
            <w:pPr>
              <w:spacing w:after="0" w:line="252" w:lineRule="auto"/>
            </w:pPr>
            <w:r>
              <w:rPr>
                <w:rFonts w:ascii="Calibri" w:hAnsi="Calibri"/>
                <w:color w:val="17212B"/>
                <w:sz w:val="18"/>
              </w:rPr>
              <w:t>Use 150 to 220 ms transitions, reduced-motion support, and no scroll-jacking or continuous floating effects.</w:t>
            </w:r>
          </w:p>
        </w:tc>
      </w:tr>
    </w:tbl>
    <w:p>
      <w:pPr>
        <w:spacing w:after="40"/>
      </w:pPr>
    </w:p>
    <w:p>
      <w:pPr>
        <w:pStyle w:val="Heading2"/>
      </w:pPr>
      <w:r>
        <w:t>Proposed design tokens</w:t>
      </w:r>
    </w:p>
    <w:tbl>
      <w:tblPr>
        <w:tblStyle w:val="TableGrid"/>
        <w:tblW w:type="dxa" w:w="9360"/>
        <w:jc w:val="left"/>
        <w:tblLayout w:type="fixed"/>
        <w:tblLook w:firstColumn="1" w:firstRow="1" w:lastColumn="0" w:lastRow="0" w:noHBand="0" w:noVBand="1" w:val="04A0"/>
        <w:tblInd w:w="120" w:type="dxa"/>
      </w:tblPr>
      <w:tblGrid>
        <w:gridCol w:w="1700"/>
        <w:gridCol w:w="1900"/>
        <w:gridCol w:w="5760"/>
      </w:tblGrid>
      <w:tr>
        <w:trPr>
          <w:tblHeader w:val="true"/>
          <w:cantSplit w:val="true"/>
        </w:trPr>
        <w:tc>
          <w:tcPr>
            <w:tcW w:type="dxa" w:w="1700"/>
            <w:shd w:fill="0D2640"/>
            <w:tcMar>
              <w:top w:w="80" w:type="dxa"/>
              <w:start w:w="120" w:type="dxa"/>
              <w:bottom w:w="80" w:type="dxa"/>
              <w:end w:w="120" w:type="dxa"/>
            </w:tcMar>
            <w:vAlign w:val="center"/>
          </w:tcPr>
          <w:p>
            <w:pPr>
              <w:spacing w:after="0"/>
            </w:pPr>
            <w:r>
              <w:rPr>
                <w:rFonts w:ascii="Calibri" w:hAnsi="Calibri"/>
                <w:b/>
                <w:color w:val="FFFFFF"/>
                <w:sz w:val="19"/>
              </w:rPr>
              <w:t>Token</w:t>
            </w:r>
          </w:p>
        </w:tc>
        <w:tc>
          <w:tcPr>
            <w:tcW w:type="dxa" w:w="1900"/>
            <w:shd w:fill="0D2640"/>
            <w:tcMar>
              <w:top w:w="80" w:type="dxa"/>
              <w:start w:w="120" w:type="dxa"/>
              <w:bottom w:w="80" w:type="dxa"/>
              <w:end w:w="120" w:type="dxa"/>
            </w:tcMar>
            <w:vAlign w:val="center"/>
          </w:tcPr>
          <w:p>
            <w:pPr>
              <w:spacing w:after="0"/>
            </w:pPr>
            <w:r>
              <w:rPr>
                <w:rFonts w:ascii="Calibri" w:hAnsi="Calibri"/>
                <w:b/>
                <w:color w:val="FFFFFF"/>
                <w:sz w:val="19"/>
              </w:rPr>
              <w:t>Value</w:t>
            </w:r>
          </w:p>
        </w:tc>
        <w:tc>
          <w:tcPr>
            <w:tcW w:type="dxa" w:w="5760"/>
            <w:shd w:fill="0D2640"/>
            <w:tcMar>
              <w:top w:w="80" w:type="dxa"/>
              <w:start w:w="120" w:type="dxa"/>
              <w:bottom w:w="80" w:type="dxa"/>
              <w:end w:w="120" w:type="dxa"/>
            </w:tcMar>
            <w:vAlign w:val="center"/>
          </w:tcPr>
          <w:p>
            <w:pPr>
              <w:spacing w:after="0"/>
            </w:pPr>
            <w:r>
              <w:rPr>
                <w:rFonts w:ascii="Calibri" w:hAnsi="Calibri"/>
                <w:b/>
                <w:color w:val="FFFFFF"/>
                <w:sz w:val="19"/>
              </w:rPr>
              <w:t>Use</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Primary 900</w:t>
            </w:r>
          </w:p>
        </w:tc>
        <w:tc>
          <w:tcPr>
            <w:tcW w:type="dxa" w:w="1900"/>
            <w:tcMar>
              <w:top w:w="80" w:type="dxa"/>
              <w:start w:w="120" w:type="dxa"/>
              <w:bottom w:w="80" w:type="dxa"/>
              <w:end w:w="120" w:type="dxa"/>
            </w:tcMar>
            <w:vAlign w:val="center"/>
          </w:tcPr>
          <w:p>
            <w:pPr>
              <w:spacing w:after="0" w:line="252" w:lineRule="auto"/>
            </w:pPr>
            <w:r>
              <w:rPr>
                <w:rFonts w:ascii="Calibri" w:hAnsi="Calibri"/>
                <w:color w:val="17212B"/>
                <w:sz w:val="18"/>
              </w:rPr>
              <w:t>#183C35</w:t>
            </w:r>
          </w:p>
        </w:tc>
        <w:tc>
          <w:tcPr>
            <w:tcW w:type="dxa" w:w="5760"/>
            <w:tcMar>
              <w:top w:w="80" w:type="dxa"/>
              <w:start w:w="120" w:type="dxa"/>
              <w:bottom w:w="80" w:type="dxa"/>
              <w:end w:w="120" w:type="dxa"/>
            </w:tcMar>
            <w:vAlign w:val="center"/>
          </w:tcPr>
          <w:p>
            <w:pPr>
              <w:spacing w:after="0" w:line="252" w:lineRule="auto"/>
            </w:pPr>
            <w:r>
              <w:rPr>
                <w:rFonts w:ascii="Calibri" w:hAnsi="Calibri"/>
                <w:color w:val="17212B"/>
                <w:sz w:val="18"/>
              </w:rPr>
              <w:t>Header, headings, dark sections, footer</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Action 600</w:t>
            </w:r>
          </w:p>
        </w:tc>
        <w:tc>
          <w:tcPr>
            <w:tcW w:type="dxa" w:w="1900"/>
            <w:shd w:fill="F3F6F4"/>
            <w:tcMar>
              <w:top w:w="80" w:type="dxa"/>
              <w:start w:w="120" w:type="dxa"/>
              <w:bottom w:w="80" w:type="dxa"/>
              <w:end w:w="120" w:type="dxa"/>
            </w:tcMar>
            <w:vAlign w:val="center"/>
          </w:tcPr>
          <w:p>
            <w:pPr>
              <w:spacing w:after="0" w:line="252" w:lineRule="auto"/>
            </w:pPr>
            <w:r>
              <w:rPr>
                <w:rFonts w:ascii="Calibri" w:hAnsi="Calibri"/>
                <w:color w:val="17212B"/>
                <w:sz w:val="18"/>
              </w:rPr>
              <w:t>#2F8F63</w:t>
            </w:r>
          </w:p>
        </w:tc>
        <w:tc>
          <w:tcPr>
            <w:tcW w:type="dxa" w:w="5760"/>
            <w:shd w:fill="F3F6F4"/>
            <w:tcMar>
              <w:top w:w="80" w:type="dxa"/>
              <w:start w:w="120" w:type="dxa"/>
              <w:bottom w:w="80" w:type="dxa"/>
              <w:end w:w="120" w:type="dxa"/>
            </w:tcMar>
            <w:vAlign w:val="center"/>
          </w:tcPr>
          <w:p>
            <w:pPr>
              <w:spacing w:after="0" w:line="252" w:lineRule="auto"/>
            </w:pPr>
            <w:r>
              <w:rPr>
                <w:rFonts w:ascii="Calibri" w:hAnsi="Calibri"/>
                <w:color w:val="17212B"/>
                <w:sz w:val="18"/>
              </w:rPr>
              <w:t>Primary buttons, links, active states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Action 100</w:t>
            </w:r>
          </w:p>
        </w:tc>
        <w:tc>
          <w:tcPr>
            <w:tcW w:type="dxa" w:w="1900"/>
            <w:tcMar>
              <w:top w:w="80" w:type="dxa"/>
              <w:start w:w="120" w:type="dxa"/>
              <w:bottom w:w="80" w:type="dxa"/>
              <w:end w:w="120" w:type="dxa"/>
            </w:tcMar>
            <w:vAlign w:val="center"/>
          </w:tcPr>
          <w:p>
            <w:pPr>
              <w:spacing w:after="0" w:line="252" w:lineRule="auto"/>
            </w:pPr>
            <w:r>
              <w:rPr>
                <w:rFonts w:ascii="Calibri" w:hAnsi="Calibri"/>
                <w:color w:val="17212B"/>
                <w:sz w:val="18"/>
              </w:rPr>
              <w:t>#E8F4ED</w:t>
            </w:r>
          </w:p>
        </w:tc>
        <w:tc>
          <w:tcPr>
            <w:tcW w:type="dxa" w:w="5760"/>
            <w:tcMar>
              <w:top w:w="80" w:type="dxa"/>
              <w:start w:w="120" w:type="dxa"/>
              <w:bottom w:w="80" w:type="dxa"/>
              <w:end w:w="120" w:type="dxa"/>
            </w:tcMar>
            <w:vAlign w:val="center"/>
          </w:tcPr>
          <w:p>
            <w:pPr>
              <w:spacing w:after="0" w:line="252" w:lineRule="auto"/>
            </w:pPr>
            <w:r>
              <w:rPr>
                <w:rFonts w:ascii="Calibri" w:hAnsi="Calibri"/>
                <w:color w:val="17212B"/>
                <w:sz w:val="18"/>
              </w:rPr>
              <w:t>Benefit panels, selected cards, success feedback</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Ink 900</w:t>
            </w:r>
          </w:p>
        </w:tc>
        <w:tc>
          <w:tcPr>
            <w:tcW w:type="dxa" w:w="1900"/>
            <w:shd w:fill="F3F6F4"/>
            <w:tcMar>
              <w:top w:w="80" w:type="dxa"/>
              <w:start w:w="120" w:type="dxa"/>
              <w:bottom w:w="80" w:type="dxa"/>
              <w:end w:w="120" w:type="dxa"/>
            </w:tcMar>
            <w:vAlign w:val="center"/>
          </w:tcPr>
          <w:p>
            <w:pPr>
              <w:spacing w:after="0" w:line="252" w:lineRule="auto"/>
            </w:pPr>
            <w:r>
              <w:rPr>
                <w:rFonts w:ascii="Calibri" w:hAnsi="Calibri"/>
                <w:color w:val="17212B"/>
                <w:sz w:val="18"/>
              </w:rPr>
              <w:t>#17212B</w:t>
            </w:r>
          </w:p>
        </w:tc>
        <w:tc>
          <w:tcPr>
            <w:tcW w:type="dxa" w:w="5760"/>
            <w:shd w:fill="F3F6F4"/>
            <w:tcMar>
              <w:top w:w="80" w:type="dxa"/>
              <w:start w:w="120" w:type="dxa"/>
              <w:bottom w:w="80" w:type="dxa"/>
              <w:end w:w="120" w:type="dxa"/>
            </w:tcMar>
            <w:vAlign w:val="center"/>
          </w:tcPr>
          <w:p>
            <w:pPr>
              <w:spacing w:after="0" w:line="252" w:lineRule="auto"/>
            </w:pPr>
            <w:r>
              <w:rPr>
                <w:rFonts w:ascii="Calibri" w:hAnsi="Calibri"/>
                <w:color w:val="17212B"/>
                <w:sz w:val="18"/>
              </w:rPr>
              <w:t>Body copy and labels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Muted 600</w:t>
            </w:r>
          </w:p>
        </w:tc>
        <w:tc>
          <w:tcPr>
            <w:tcW w:type="dxa" w:w="1900"/>
            <w:tcMar>
              <w:top w:w="80" w:type="dxa"/>
              <w:start w:w="120" w:type="dxa"/>
              <w:bottom w:w="80" w:type="dxa"/>
              <w:end w:w="120" w:type="dxa"/>
            </w:tcMar>
            <w:vAlign w:val="center"/>
          </w:tcPr>
          <w:p>
            <w:pPr>
              <w:spacing w:after="0" w:line="252" w:lineRule="auto"/>
            </w:pPr>
            <w:r>
              <w:rPr>
                <w:rFonts w:ascii="Calibri" w:hAnsi="Calibri"/>
                <w:color w:val="17212B"/>
                <w:sz w:val="18"/>
              </w:rPr>
              <w:t>#5B6773</w:t>
            </w:r>
          </w:p>
        </w:tc>
        <w:tc>
          <w:tcPr>
            <w:tcW w:type="dxa" w:w="5760"/>
            <w:tcMar>
              <w:top w:w="80" w:type="dxa"/>
              <w:start w:w="120" w:type="dxa"/>
              <w:bottom w:w="80" w:type="dxa"/>
              <w:end w:w="120" w:type="dxa"/>
            </w:tcMar>
            <w:vAlign w:val="center"/>
          </w:tcPr>
          <w:p>
            <w:pPr>
              <w:spacing w:after="0" w:line="252" w:lineRule="auto"/>
            </w:pPr>
            <w:r>
              <w:rPr>
                <w:rFonts w:ascii="Calibri" w:hAnsi="Calibri"/>
                <w:color w:val="17212B"/>
                <w:sz w:val="18"/>
              </w:rPr>
              <w:t>Secondary copy and metadata</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Surface warm</w:t>
            </w:r>
          </w:p>
        </w:tc>
        <w:tc>
          <w:tcPr>
            <w:tcW w:type="dxa" w:w="1900"/>
            <w:shd w:fill="F3F6F4"/>
            <w:tcMar>
              <w:top w:w="80" w:type="dxa"/>
              <w:start w:w="120" w:type="dxa"/>
              <w:bottom w:w="80" w:type="dxa"/>
              <w:end w:w="120" w:type="dxa"/>
            </w:tcMar>
            <w:vAlign w:val="center"/>
          </w:tcPr>
          <w:p>
            <w:pPr>
              <w:spacing w:after="0" w:line="252" w:lineRule="auto"/>
            </w:pPr>
            <w:r>
              <w:rPr>
                <w:rFonts w:ascii="Calibri" w:hAnsi="Calibri"/>
                <w:color w:val="17212B"/>
                <w:sz w:val="18"/>
              </w:rPr>
              <w:t>#F5F4EE</w:t>
            </w:r>
          </w:p>
        </w:tc>
        <w:tc>
          <w:tcPr>
            <w:tcW w:type="dxa" w:w="5760"/>
            <w:shd w:fill="F3F6F4"/>
            <w:tcMar>
              <w:top w:w="80" w:type="dxa"/>
              <w:start w:w="120" w:type="dxa"/>
              <w:bottom w:w="80" w:type="dxa"/>
              <w:end w:w="120" w:type="dxa"/>
            </w:tcMar>
            <w:vAlign w:val="center"/>
          </w:tcPr>
          <w:p>
            <w:pPr>
              <w:spacing w:after="0" w:line="252" w:lineRule="auto"/>
            </w:pPr>
            <w:r>
              <w:rPr>
                <w:rFonts w:ascii="Calibri" w:hAnsi="Calibri"/>
                <w:color w:val="17212B"/>
                <w:sz w:val="18"/>
              </w:rPr>
              <w:t>Alternating editorial sections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Border</w:t>
            </w:r>
          </w:p>
        </w:tc>
        <w:tc>
          <w:tcPr>
            <w:tcW w:type="dxa" w:w="1900"/>
            <w:tcMar>
              <w:top w:w="80" w:type="dxa"/>
              <w:start w:w="120" w:type="dxa"/>
              <w:bottom w:w="80" w:type="dxa"/>
              <w:end w:w="120" w:type="dxa"/>
            </w:tcMar>
            <w:vAlign w:val="center"/>
          </w:tcPr>
          <w:p>
            <w:pPr>
              <w:spacing w:after="0" w:line="252" w:lineRule="auto"/>
            </w:pPr>
            <w:r>
              <w:rPr>
                <w:rFonts w:ascii="Calibri" w:hAnsi="Calibri"/>
                <w:color w:val="17212B"/>
                <w:sz w:val="18"/>
              </w:rPr>
              <w:t>#DCE4DF</w:t>
            </w:r>
          </w:p>
        </w:tc>
        <w:tc>
          <w:tcPr>
            <w:tcW w:type="dxa" w:w="5760"/>
            <w:tcMar>
              <w:top w:w="80" w:type="dxa"/>
              <w:start w:w="120" w:type="dxa"/>
              <w:bottom w:w="80" w:type="dxa"/>
              <w:end w:w="120" w:type="dxa"/>
            </w:tcMar>
            <w:vAlign w:val="center"/>
          </w:tcPr>
          <w:p>
            <w:pPr>
              <w:spacing w:after="0" w:line="252" w:lineRule="auto"/>
            </w:pPr>
            <w:r>
              <w:rPr>
                <w:rFonts w:ascii="Calibri" w:hAnsi="Calibri"/>
                <w:color w:val="17212B"/>
                <w:sz w:val="18"/>
              </w:rPr>
              <w:t>Cards, inputs, dividers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Offer accent</w:t>
            </w:r>
          </w:p>
        </w:tc>
        <w:tc>
          <w:tcPr>
            <w:tcW w:type="dxa" w:w="1900"/>
            <w:shd w:fill="F3F6F4"/>
            <w:tcMar>
              <w:top w:w="80" w:type="dxa"/>
              <w:start w:w="120" w:type="dxa"/>
              <w:bottom w:w="80" w:type="dxa"/>
              <w:end w:w="120" w:type="dxa"/>
            </w:tcMar>
            <w:vAlign w:val="center"/>
          </w:tcPr>
          <w:p>
            <w:pPr>
              <w:spacing w:after="0" w:line="252" w:lineRule="auto"/>
            </w:pPr>
            <w:r>
              <w:rPr>
                <w:rFonts w:ascii="Calibri" w:hAnsi="Calibri"/>
                <w:color w:val="17212B"/>
                <w:sz w:val="18"/>
              </w:rPr>
              <w:t>#C97A27</w:t>
            </w:r>
          </w:p>
        </w:tc>
        <w:tc>
          <w:tcPr>
            <w:tcW w:type="dxa" w:w="5760"/>
            <w:shd w:fill="F3F6F4"/>
            <w:tcMar>
              <w:top w:w="80" w:type="dxa"/>
              <w:start w:w="120" w:type="dxa"/>
              <w:bottom w:w="80" w:type="dxa"/>
              <w:end w:w="120" w:type="dxa"/>
            </w:tcMar>
            <w:vAlign w:val="center"/>
          </w:tcPr>
          <w:p>
            <w:pPr>
              <w:spacing w:after="0" w:line="252" w:lineRule="auto"/>
            </w:pPr>
            <w:r>
              <w:rPr>
                <w:rFonts w:ascii="Calibri" w:hAnsi="Calibri"/>
                <w:color w:val="17212B"/>
                <w:sz w:val="18"/>
              </w:rPr>
              <w:t>Limited promotional emphasis only</w:t>
            </w:r>
          </w:p>
        </w:tc>
      </w:tr>
    </w:tbl>
    <w:p>
      <w:pPr>
        <w:spacing w:after="40"/>
      </w:pPr>
    </w:p>
    <w:p>
      <w:pPr>
        <w:pStyle w:val="Heading2"/>
      </w:pPr>
      <w:r>
        <w:t>Quality rules that prevent an AI-generated look</w:t>
      </w:r>
    </w:p>
    <w:p>
      <w:pPr>
        <w:pStyle w:val="ListBullet"/>
        <w:spacing w:after="80" w:line="276" w:lineRule="auto"/>
        <w:ind w:left="720" w:hanging="360"/>
      </w:pPr>
      <w:r>
        <w:rPr>
          <w:rFonts w:ascii="Calibri" w:hAnsi="Calibri"/>
          <w:color w:val="17212B"/>
        </w:rPr>
        <w:t>Avoid a giant rounded hero container with a gradient background and floating statistic pills.</w:t>
      </w:r>
    </w:p>
    <w:p>
      <w:pPr>
        <w:pStyle w:val="ListBullet"/>
        <w:spacing w:after="80" w:line="276" w:lineRule="auto"/>
        <w:ind w:left="720" w:hanging="360"/>
      </w:pPr>
      <w:r>
        <w:rPr>
          <w:rFonts w:ascii="Calibri" w:hAnsi="Calibri"/>
          <w:color w:val="17212B"/>
        </w:rPr>
        <w:t>Do not place every section inside identical three-column cards.</w:t>
      </w:r>
    </w:p>
    <w:p>
      <w:pPr>
        <w:pStyle w:val="ListBullet"/>
        <w:spacing w:after="80" w:line="276" w:lineRule="auto"/>
        <w:ind w:left="720" w:hanging="360"/>
      </w:pPr>
      <w:r>
        <w:rPr>
          <w:rFonts w:ascii="Calibri" w:hAnsi="Calibri"/>
          <w:color w:val="17212B"/>
        </w:rPr>
        <w:t>Use specific service photography and concrete operational copy instead of vague claims such as “innovative solutions.”</w:t>
      </w:r>
    </w:p>
    <w:p>
      <w:pPr>
        <w:pStyle w:val="ListBullet"/>
        <w:spacing w:after="80" w:line="276" w:lineRule="auto"/>
        <w:ind w:left="720" w:hanging="360"/>
      </w:pPr>
      <w:r>
        <w:rPr>
          <w:rFonts w:ascii="Calibri" w:hAnsi="Calibri"/>
          <w:color w:val="17212B"/>
        </w:rPr>
        <w:t>Make the navigation, form states, error messages, pricing logic, and service-area behavior fully intentional.</w:t>
      </w:r>
    </w:p>
    <w:p>
      <w:pPr>
        <w:pStyle w:val="ListBullet"/>
        <w:spacing w:after="80" w:line="276" w:lineRule="auto"/>
        <w:ind w:left="720" w:hanging="360"/>
      </w:pPr>
      <w:r>
        <w:rPr>
          <w:rFonts w:ascii="Calibri" w:hAnsi="Calibri"/>
          <w:color w:val="17212B"/>
        </w:rPr>
        <w:t>Use asymmetry sparingly: editorial image-and-copy sections may alternate, while transactional sections should remain stable.</w:t>
      </w:r>
    </w:p>
    <w:p>
      <w:pPr>
        <w:pStyle w:val="ListBullet"/>
        <w:spacing w:after="80" w:line="276" w:lineRule="auto"/>
        <w:ind w:left="720" w:hanging="360"/>
      </w:pPr>
      <w:r>
        <w:rPr>
          <w:rFonts w:ascii="Calibri" w:hAnsi="Calibri"/>
          <w:color w:val="17212B"/>
        </w:rPr>
        <w:t>Keep icons, border radius, shadows, buttons, and heading widths consistent across all templates.</w:t>
      </w:r>
    </w:p>
    <w:p>
      <w:pPr>
        <w:pStyle w:val="Heading1"/>
      </w:pPr>
      <w:r>
        <w:t>4. Recommended first-release scope</w:t>
      </w:r>
    </w:p>
    <w:p>
      <w:pPr>
        <w:keepLines/>
        <w:spacing w:before="100" w:after="160"/>
        <w:ind w:left="115" w:right="115"/>
        <w:shd w:fill="E8F4ED"/>
        <w:pBdr>
          <w:left w:val="single" w:sz="18" w:space="6" w:color="2F8F63"/>
        </w:pBdr>
      </w:pPr>
      <w:r>
        <w:rPr>
          <w:rFonts w:ascii="Calibri" w:hAnsi="Calibri"/>
          <w:b/>
          <w:color w:val="2F8F63"/>
        </w:rPr>
        <w:t xml:space="preserve">Release definition  </w:t>
      </w:r>
      <w:r>
        <w:rPr>
          <w:rFonts w:ascii="Calibri" w:hAnsi="Calibri"/>
          <w:color w:val="17212B"/>
        </w:rPr>
        <w:t>A residential pest-control service platform with two commercial modes, locked demo service areas, area-specific pricing, checkout, subscription synchronization, customer confirmation, and a usable internal operations console. Everything outside pest control remains excluded from navigation and routing.</w:t>
      </w:r>
    </w:p>
    <w:tbl>
      <w:tblPr>
        <w:tblStyle w:val="TableGrid"/>
        <w:tblW w:type="dxa" w:w="9360"/>
        <w:jc w:val="left"/>
        <w:tblLayout w:type="fixed"/>
        <w:tblLook w:firstColumn="1" w:firstRow="1" w:lastColumn="0" w:lastRow="0" w:noHBand="0" w:noVBand="1" w:val="04A0"/>
        <w:tblInd w:w="120" w:type="dxa"/>
      </w:tblPr>
      <w:tblGrid>
        <w:gridCol w:w="1100"/>
        <w:gridCol w:w="3100"/>
        <w:gridCol w:w="5160"/>
      </w:tblGrid>
      <w:tr>
        <w:trPr>
          <w:tblHeader w:val="true"/>
          <w:cantSplit w:val="true"/>
        </w:trPr>
        <w:tc>
          <w:tcPr>
            <w:tcW w:type="dxa" w:w="1100"/>
            <w:shd w:fill="0D2640"/>
            <w:tcMar>
              <w:top w:w="80" w:type="dxa"/>
              <w:start w:w="120" w:type="dxa"/>
              <w:bottom w:w="80" w:type="dxa"/>
              <w:end w:w="120" w:type="dxa"/>
            </w:tcMar>
            <w:vAlign w:val="center"/>
          </w:tcPr>
          <w:p>
            <w:pPr>
              <w:spacing w:after="0"/>
            </w:pPr>
            <w:r>
              <w:rPr>
                <w:rFonts w:ascii="Calibri" w:hAnsi="Calibri"/>
                <w:b/>
                <w:color w:val="FFFFFF"/>
                <w:sz w:val="19"/>
              </w:rPr>
              <w:t>Priority</w:t>
            </w:r>
          </w:p>
        </w:tc>
        <w:tc>
          <w:tcPr>
            <w:tcW w:type="dxa" w:w="3100"/>
            <w:shd w:fill="0D2640"/>
            <w:tcMar>
              <w:top w:w="80" w:type="dxa"/>
              <w:start w:w="120" w:type="dxa"/>
              <w:bottom w:w="80" w:type="dxa"/>
              <w:end w:w="120" w:type="dxa"/>
            </w:tcMar>
            <w:vAlign w:val="center"/>
          </w:tcPr>
          <w:p>
            <w:pPr>
              <w:spacing w:after="0"/>
            </w:pPr>
            <w:r>
              <w:rPr>
                <w:rFonts w:ascii="Calibri" w:hAnsi="Calibri"/>
                <w:b/>
                <w:color w:val="FFFFFF"/>
                <w:sz w:val="19"/>
              </w:rPr>
              <w:t>Included</w:t>
            </w:r>
          </w:p>
        </w:tc>
        <w:tc>
          <w:tcPr>
            <w:tcW w:type="dxa" w:w="5160"/>
            <w:shd w:fill="0D2640"/>
            <w:tcMar>
              <w:top w:w="80" w:type="dxa"/>
              <w:start w:w="120" w:type="dxa"/>
              <w:bottom w:w="80" w:type="dxa"/>
              <w:end w:w="120" w:type="dxa"/>
            </w:tcMar>
            <w:vAlign w:val="center"/>
          </w:tcPr>
          <w:p>
            <w:pPr>
              <w:spacing w:after="0"/>
            </w:pPr>
            <w:r>
              <w:rPr>
                <w:rFonts w:ascii="Calibri" w:hAnsi="Calibri"/>
                <w:b/>
                <w:color w:val="FFFFFF"/>
                <w:sz w:val="19"/>
              </w:rPr>
              <w:t>Notes</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Homepage</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Pest control only. No termite, home services, or commercial branches.</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shd w:fill="F3F6F4"/>
            <w:tcMar>
              <w:top w:w="80" w:type="dxa"/>
              <w:start w:w="120" w:type="dxa"/>
              <w:bottom w:w="80" w:type="dxa"/>
              <w:end w:w="120" w:type="dxa"/>
            </w:tcMar>
            <w:vAlign w:val="center"/>
          </w:tcPr>
          <w:p>
            <w:pPr>
              <w:spacing w:after="0" w:line="252" w:lineRule="auto"/>
            </w:pPr>
            <w:r>
              <w:rPr>
                <w:rFonts w:ascii="Calibri" w:hAnsi="Calibri"/>
                <w:color w:val="17212B"/>
                <w:sz w:val="18"/>
              </w:rPr>
              <w:t>Pest Control and Plans page</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Compare Continuous Protection and One-Time Treatment. Display only plans and prices configured for the searched service area.</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Pest service template</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Launch with Ants, Cockroaches, Bed Bugs, Rodents, Spiders, and Mosquitoes. Add more using the same CMS template.</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shd w:fill="F3F6F4"/>
            <w:tcMar>
              <w:top w:w="80" w:type="dxa"/>
              <w:start w:w="120" w:type="dxa"/>
              <w:bottom w:w="80" w:type="dxa"/>
              <w:end w:w="120" w:type="dxa"/>
            </w:tcMar>
            <w:vAlign w:val="center"/>
          </w:tcPr>
          <w:p>
            <w:pPr>
              <w:spacing w:after="0" w:line="252" w:lineRule="auto"/>
            </w:pPr>
            <w:r>
              <w:rPr>
                <w:rFonts w:ascii="Calibri" w:hAnsi="Calibri"/>
                <w:color w:val="17212B"/>
                <w:sz w:val="18"/>
              </w:rPr>
              <w:t>Eligibility, quote, and checkout funnel</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Area lookup, available plans, server-generated quote, customer details, managed checkout, confirmation.</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Recurring and one-time billing</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Managed billing provider, verified webhooks, payment status mirror, invoices, retries, and customer billing portal.</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shd w:fill="F3F6F4"/>
            <w:tcMar>
              <w:top w:w="80" w:type="dxa"/>
              <w:start w:w="120" w:type="dxa"/>
              <w:bottom w:w="80" w:type="dxa"/>
              <w:end w:w="120" w:type="dxa"/>
            </w:tcMar>
            <w:vAlign w:val="center"/>
          </w:tcPr>
          <w:p>
            <w:pPr>
              <w:spacing w:after="0" w:line="252" w:lineRule="auto"/>
            </w:pPr>
            <w:r>
              <w:rPr>
                <w:rFonts w:ascii="Calibri" w:hAnsi="Calibri"/>
                <w:color w:val="17212B"/>
                <w:sz w:val="18"/>
              </w:rPr>
              <w:t>Pest Operations Console</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address, quote, subscription, payment status, appointment, job, note, and audit views.</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Appointment onboarding</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Preferred visit date or confirmed slot according to the approved scheduling model.</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P0</w:t>
            </w:r>
          </w:p>
        </w:tc>
        <w:tc>
          <w:tcPr>
            <w:tcW w:type="dxa" w:w="3100"/>
            <w:shd w:fill="F3F6F4"/>
            <w:tcMar>
              <w:top w:w="80" w:type="dxa"/>
              <w:start w:w="120" w:type="dxa"/>
              <w:bottom w:w="80" w:type="dxa"/>
              <w:end w:w="120" w:type="dxa"/>
            </w:tcMar>
            <w:vAlign w:val="center"/>
          </w:tcPr>
          <w:p>
            <w:pPr>
              <w:spacing w:after="0" w:line="252" w:lineRule="auto"/>
            </w:pPr>
            <w:r>
              <w:rPr>
                <w:rFonts w:ascii="Calibri" w:hAnsi="Calibri"/>
                <w:color w:val="17212B"/>
                <w:sz w:val="18"/>
              </w:rPr>
              <w:t>How It Works, Reviews, About, Contact, FAQs</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Can be sections or compact supporting pages depending on final content volume.</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P1</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Pest library index</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Useful for SEO and education after service content is approved.</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P1</w:t>
            </w:r>
          </w:p>
        </w:tc>
        <w:tc>
          <w:tcPr>
            <w:tcW w:type="dxa" w:w="310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account</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Order and plan summary, appointment history, service documents, and billing-portal link.</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Later</w:t>
            </w:r>
          </w:p>
        </w:tc>
        <w:tc>
          <w:tcPr>
            <w:tcW w:type="dxa" w:w="3100"/>
            <w:tcMar>
              <w:top w:w="80" w:type="dxa"/>
              <w:start w:w="120" w:type="dxa"/>
              <w:bottom w:w="80" w:type="dxa"/>
              <w:end w:w="120" w:type="dxa"/>
            </w:tcMar>
            <w:vAlign w:val="center"/>
          </w:tcPr>
          <w:p>
            <w:pPr>
              <w:spacing w:after="0" w:line="252" w:lineRule="auto"/>
            </w:pPr>
            <w:r>
              <w:rPr>
                <w:rFonts w:ascii="Calibri" w:hAnsi="Calibri"/>
                <w:color w:val="17212B"/>
                <w:sz w:val="18"/>
              </w:rPr>
              <w:t>Technician mobile dispatch and route optimization</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Add after real field operations, capacity rules, and technician roles are known.</w:t>
            </w:r>
          </w:p>
        </w:tc>
      </w:tr>
    </w:tbl>
    <w:p>
      <w:pPr>
        <w:spacing w:after="40"/>
      </w:pPr>
    </w:p>
    <w:p>
      <w:pPr>
        <w:pStyle w:val="Heading2"/>
      </w:pPr>
      <w:r>
        <w:t>Two commercial modes for release 1</w:t>
      </w:r>
    </w:p>
    <w:tbl>
      <w:tblPr>
        <w:tblStyle w:val="TableGrid"/>
        <w:tblW w:type="dxa" w:w="9360"/>
        <w:jc w:val="left"/>
        <w:tblLayout w:type="fixed"/>
        <w:tblLook w:firstColumn="1" w:firstRow="1" w:lastColumn="0" w:lastRow="0" w:noHBand="0" w:noVBand="1" w:val="04A0"/>
        <w:tblInd w:w="120" w:type="dxa"/>
      </w:tblPr>
      <w:tblGrid>
        <w:gridCol w:w="1850"/>
        <w:gridCol w:w="2550"/>
        <w:gridCol w:w="3400"/>
        <w:gridCol w:w="1560"/>
      </w:tblGrid>
      <w:tr>
        <w:trPr>
          <w:tblHeader w:val="true"/>
          <w:cantSplit w:val="true"/>
        </w:trPr>
        <w:tc>
          <w:tcPr>
            <w:tcW w:type="dxa" w:w="1850"/>
            <w:shd w:fill="0D2640"/>
            <w:tcMar>
              <w:top w:w="80" w:type="dxa"/>
              <w:start w:w="120" w:type="dxa"/>
              <w:bottom w:w="80" w:type="dxa"/>
              <w:end w:w="120" w:type="dxa"/>
            </w:tcMar>
            <w:vAlign w:val="center"/>
          </w:tcPr>
          <w:p>
            <w:pPr>
              <w:spacing w:after="0"/>
            </w:pPr>
            <w:r>
              <w:rPr>
                <w:rFonts w:ascii="Calibri" w:hAnsi="Calibri"/>
                <w:b/>
                <w:color w:val="FFFFFF"/>
                <w:sz w:val="19"/>
              </w:rPr>
              <w:t>Mode</w:t>
            </w:r>
          </w:p>
        </w:tc>
        <w:tc>
          <w:tcPr>
            <w:tcW w:type="dxa" w:w="2550"/>
            <w:shd w:fill="0D2640"/>
            <w:tcMar>
              <w:top w:w="80" w:type="dxa"/>
              <w:start w:w="120" w:type="dxa"/>
              <w:bottom w:w="80" w:type="dxa"/>
              <w:end w:w="120" w:type="dxa"/>
            </w:tcMar>
            <w:vAlign w:val="center"/>
          </w:tcPr>
          <w:p>
            <w:pPr>
              <w:spacing w:after="0"/>
            </w:pPr>
            <w:r>
              <w:rPr>
                <w:rFonts w:ascii="Calibri" w:hAnsi="Calibri"/>
                <w:b/>
                <w:color w:val="FFFFFF"/>
                <w:sz w:val="19"/>
              </w:rPr>
              <w:t>Best for</w:t>
            </w:r>
          </w:p>
        </w:tc>
        <w:tc>
          <w:tcPr>
            <w:tcW w:type="dxa" w:w="3400"/>
            <w:shd w:fill="0D2640"/>
            <w:tcMar>
              <w:top w:w="80" w:type="dxa"/>
              <w:start w:w="120" w:type="dxa"/>
              <w:bottom w:w="80" w:type="dxa"/>
              <w:end w:w="120" w:type="dxa"/>
            </w:tcMar>
            <w:vAlign w:val="center"/>
          </w:tcPr>
          <w:p>
            <w:pPr>
              <w:spacing w:after="0"/>
            </w:pPr>
            <w:r>
              <w:rPr>
                <w:rFonts w:ascii="Calibri" w:hAnsi="Calibri"/>
                <w:b/>
                <w:color w:val="FFFFFF"/>
                <w:sz w:val="19"/>
              </w:rPr>
              <w:t>Core promise</w:t>
            </w:r>
          </w:p>
        </w:tc>
        <w:tc>
          <w:tcPr>
            <w:tcW w:type="dxa" w:w="1560"/>
            <w:shd w:fill="0D2640"/>
            <w:tcMar>
              <w:top w:w="80" w:type="dxa"/>
              <w:start w:w="120" w:type="dxa"/>
              <w:bottom w:w="80" w:type="dxa"/>
              <w:end w:w="120" w:type="dxa"/>
            </w:tcMar>
            <w:vAlign w:val="center"/>
          </w:tcPr>
          <w:p>
            <w:pPr>
              <w:spacing w:after="0"/>
            </w:pPr>
            <w:r>
              <w:rPr>
                <w:rFonts w:ascii="Calibri" w:hAnsi="Calibri"/>
                <w:b/>
                <w:color w:val="FFFFFF"/>
                <w:sz w:val="19"/>
              </w:rPr>
              <w:t>CTA</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17212B"/>
                <w:sz w:val="18"/>
              </w:rPr>
              <w:t>Continuous Protection</w:t>
            </w:r>
          </w:p>
        </w:tc>
        <w:tc>
          <w:tcPr>
            <w:tcW w:type="dxa" w:w="2550"/>
            <w:tcMar>
              <w:top w:w="80" w:type="dxa"/>
              <w:start w:w="120" w:type="dxa"/>
              <w:bottom w:w="80" w:type="dxa"/>
              <w:end w:w="120" w:type="dxa"/>
            </w:tcMar>
            <w:vAlign w:val="center"/>
          </w:tcPr>
          <w:p>
            <w:pPr>
              <w:spacing w:after="0" w:line="252" w:lineRule="auto"/>
            </w:pPr>
            <w:r>
              <w:rPr>
                <w:rFonts w:ascii="Calibri" w:hAnsi="Calibri"/>
                <w:color w:val="17212B"/>
                <w:sz w:val="18"/>
              </w:rPr>
              <w:t>Customers who want preventive, recurring coverage.</w:t>
            </w:r>
          </w:p>
        </w:tc>
        <w:tc>
          <w:tcPr>
            <w:tcW w:type="dxa" w:w="3400"/>
            <w:tcMar>
              <w:top w:w="80" w:type="dxa"/>
              <w:start w:w="120" w:type="dxa"/>
              <w:bottom w:w="80" w:type="dxa"/>
              <w:end w:w="120" w:type="dxa"/>
            </w:tcMar>
            <w:vAlign w:val="center"/>
          </w:tcPr>
          <w:p>
            <w:pPr>
              <w:spacing w:after="0" w:line="252" w:lineRule="auto"/>
            </w:pPr>
            <w:r>
              <w:rPr>
                <w:rFonts w:ascii="Calibri" w:hAnsi="Calibri"/>
                <w:color w:val="17212B"/>
                <w:sz w:val="18"/>
              </w:rPr>
              <w:t>Initial interior and exterior inspection, scheduled treatments, documented follow-up, and return-service terms defined by the business.</w:t>
            </w:r>
          </w:p>
        </w:tc>
        <w:tc>
          <w:tcPr>
            <w:tcW w:type="dxa" w:w="1560"/>
            <w:tcMar>
              <w:top w:w="80" w:type="dxa"/>
              <w:start w:w="120" w:type="dxa"/>
              <w:bottom w:w="80" w:type="dxa"/>
              <w:end w:w="120" w:type="dxa"/>
            </w:tcMar>
            <w:vAlign w:val="center"/>
          </w:tcPr>
          <w:p>
            <w:pPr>
              <w:spacing w:after="0" w:line="252" w:lineRule="auto"/>
            </w:pPr>
            <w:r>
              <w:rPr>
                <w:rFonts w:ascii="Calibri" w:hAnsi="Calibri"/>
                <w:color w:val="17212B"/>
                <w:sz w:val="18"/>
              </w:rPr>
              <w:t>Check price</w:t>
            </w:r>
          </w:p>
        </w:tc>
      </w:tr>
      <w:tr>
        <w:trPr>
          <w:cantSplit w:val="true"/>
        </w:trPr>
        <w:tc>
          <w:tcPr>
            <w:tcW w:type="dxa" w:w="1850"/>
            <w:shd w:fill="F3F6F4"/>
            <w:tcMar>
              <w:top w:w="80" w:type="dxa"/>
              <w:start w:w="120" w:type="dxa"/>
              <w:bottom w:w="80" w:type="dxa"/>
              <w:end w:w="120" w:type="dxa"/>
            </w:tcMar>
            <w:vAlign w:val="center"/>
          </w:tcPr>
          <w:p>
            <w:pPr>
              <w:spacing w:after="0" w:line="252" w:lineRule="auto"/>
            </w:pPr>
            <w:r>
              <w:rPr>
                <w:rFonts w:ascii="Calibri" w:hAnsi="Calibri"/>
                <w:color w:val="17212B"/>
                <w:sz w:val="18"/>
              </w:rPr>
              <w:t>One-Time Treatment</w:t>
            </w:r>
          </w:p>
        </w:tc>
        <w:tc>
          <w:tcPr>
            <w:tcW w:type="dxa" w:w="2550"/>
            <w:shd w:fill="F3F6F4"/>
            <w:tcMar>
              <w:top w:w="80" w:type="dxa"/>
              <w:start w:w="120" w:type="dxa"/>
              <w:bottom w:w="80" w:type="dxa"/>
              <w:end w:w="120" w:type="dxa"/>
            </w:tcMar>
            <w:vAlign w:val="center"/>
          </w:tcPr>
          <w:p>
            <w:pPr>
              <w:spacing w:after="0" w:line="252" w:lineRule="auto"/>
            </w:pPr>
            <w:r>
              <w:rPr>
                <w:rFonts w:ascii="Calibri" w:hAnsi="Calibri"/>
                <w:color w:val="17212B"/>
                <w:sz w:val="18"/>
              </w:rPr>
              <w:t>A defined pest issue or a customer not ready for an ongoing plan.</w:t>
            </w:r>
          </w:p>
        </w:tc>
        <w:tc>
          <w:tcPr>
            <w:tcW w:type="dxa" w:w="3400"/>
            <w:shd w:fill="F3F6F4"/>
            <w:tcMar>
              <w:top w:w="80" w:type="dxa"/>
              <w:start w:w="120" w:type="dxa"/>
              <w:bottom w:w="80" w:type="dxa"/>
              <w:end w:w="120" w:type="dxa"/>
            </w:tcMar>
            <w:vAlign w:val="center"/>
          </w:tcPr>
          <w:p>
            <w:pPr>
              <w:spacing w:after="0" w:line="252" w:lineRule="auto"/>
            </w:pPr>
            <w:r>
              <w:rPr>
                <w:rFonts w:ascii="Calibri" w:hAnsi="Calibri"/>
                <w:color w:val="17212B"/>
                <w:sz w:val="18"/>
              </w:rPr>
              <w:t>One inspection and treatment with a clearly stated follow-up window.</w:t>
            </w:r>
          </w:p>
        </w:tc>
        <w:tc>
          <w:tcPr>
            <w:tcW w:type="dxa" w:w="1560"/>
            <w:shd w:fill="F3F6F4"/>
            <w:tcMar>
              <w:top w:w="80" w:type="dxa"/>
              <w:start w:w="120" w:type="dxa"/>
              <w:bottom w:w="80" w:type="dxa"/>
              <w:end w:w="120" w:type="dxa"/>
            </w:tcMar>
            <w:vAlign w:val="center"/>
          </w:tcPr>
          <w:p>
            <w:pPr>
              <w:spacing w:after="0" w:line="252" w:lineRule="auto"/>
            </w:pPr>
            <w:r>
              <w:rPr>
                <w:rFonts w:ascii="Calibri" w:hAnsi="Calibri"/>
                <w:color w:val="17212B"/>
                <w:sz w:val="18"/>
              </w:rPr>
              <w:t>See local price</w:t>
            </w:r>
          </w:p>
        </w:tc>
      </w:tr>
    </w:tbl>
    <w:p>
      <w:pPr>
        <w:spacing w:after="40"/>
      </w:pPr>
    </w:p>
    <w:p>
      <w:pPr>
        <w:keepLines w:val="0"/>
      </w:pPr>
      <w:r>
        <w:rPr>
          <w:rFonts w:ascii="Calibri" w:hAnsi="Calibri"/>
          <w:i w:val="0"/>
          <w:color w:val="17212B"/>
        </w:rPr>
        <w:t>Do not copy the PestFree365 name, covered-pest counts, unlimited-cost language, or Terminix guarantee. Those are brand-specific commercial claims. The structure can inspire our comparison, but the facts must come from the client’s actual service policy.</w:t>
      </w:r>
    </w:p>
    <w:p>
      <w:pPr>
        <w:pStyle w:val="Heading1"/>
      </w:pPr>
      <w:r>
        <w:t>5. Proposed information architecture</w:t>
      </w:r>
    </w:p>
    <w:tbl>
      <w:tblPr>
        <w:tblStyle w:val="TableGrid"/>
        <w:tblW w:type="dxa" w:w="9360"/>
        <w:jc w:val="left"/>
        <w:tblLayout w:type="fixed"/>
        <w:tblLook w:firstColumn="1" w:firstRow="1" w:lastColumn="0" w:lastRow="0" w:noHBand="0" w:noVBand="1" w:val="04A0"/>
        <w:tblInd w:w="120" w:type="dxa"/>
      </w:tblPr>
      <w:tblGrid>
        <w:gridCol w:w="2100"/>
        <w:gridCol w:w="5100"/>
        <w:gridCol w:w="2160"/>
      </w:tblGrid>
      <w:tr>
        <w:trPr>
          <w:tblHeader w:val="true"/>
          <w:cantSplit w:val="true"/>
        </w:trPr>
        <w:tc>
          <w:tcPr>
            <w:tcW w:type="dxa" w:w="2100"/>
            <w:shd w:fill="0D2640"/>
            <w:tcMar>
              <w:top w:w="80" w:type="dxa"/>
              <w:start w:w="120" w:type="dxa"/>
              <w:bottom w:w="80" w:type="dxa"/>
              <w:end w:w="120" w:type="dxa"/>
            </w:tcMar>
            <w:vAlign w:val="center"/>
          </w:tcPr>
          <w:p>
            <w:pPr>
              <w:spacing w:after="0"/>
            </w:pPr>
            <w:r>
              <w:rPr>
                <w:rFonts w:ascii="Calibri" w:hAnsi="Calibri"/>
                <w:b/>
                <w:color w:val="FFFFFF"/>
                <w:sz w:val="19"/>
              </w:rPr>
              <w:t>Route</w:t>
            </w:r>
          </w:p>
        </w:tc>
        <w:tc>
          <w:tcPr>
            <w:tcW w:type="dxa" w:w="5100"/>
            <w:shd w:fill="0D2640"/>
            <w:tcMar>
              <w:top w:w="80" w:type="dxa"/>
              <w:start w:w="120" w:type="dxa"/>
              <w:bottom w:w="80" w:type="dxa"/>
              <w:end w:w="120" w:type="dxa"/>
            </w:tcMar>
            <w:vAlign w:val="center"/>
          </w:tcPr>
          <w:p>
            <w:pPr>
              <w:spacing w:after="0"/>
            </w:pPr>
            <w:r>
              <w:rPr>
                <w:rFonts w:ascii="Calibri" w:hAnsi="Calibri"/>
                <w:b/>
                <w:color w:val="FFFFFF"/>
                <w:sz w:val="19"/>
              </w:rPr>
              <w:t>Purpose</w:t>
            </w:r>
          </w:p>
        </w:tc>
        <w:tc>
          <w:tcPr>
            <w:tcW w:type="dxa" w:w="2160"/>
            <w:shd w:fill="0D2640"/>
            <w:tcMar>
              <w:top w:w="80" w:type="dxa"/>
              <w:start w:w="120" w:type="dxa"/>
              <w:bottom w:w="80" w:type="dxa"/>
              <w:end w:w="120" w:type="dxa"/>
            </w:tcMar>
            <w:vAlign w:val="center"/>
          </w:tcPr>
          <w:p>
            <w:pPr>
              <w:spacing w:after="0"/>
            </w:pPr>
            <w:r>
              <w:rPr>
                <w:rFonts w:ascii="Calibri" w:hAnsi="Calibri"/>
                <w:b/>
                <w:color w:val="FFFFFF"/>
                <w:sz w:val="19"/>
              </w:rPr>
              <w:t>Primary CTA</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Pest-control homepage and trust overview.</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Get an inspection</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/pest-control</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Plans, coverage, comparison, process, and FAQs.</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Check availability</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/pests</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Index of pests treated.</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Choose a pest</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/pests/[slug]</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Reusable pest service/detail template.</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Request treatment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/how-it-works</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Inspection, treatment, prevention, and follow-up.</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Schedule inspection</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/reviews</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Verified customer proof and rating methodology.</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Get protected</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/about</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Company, technicians, licensing, and service standards.</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Meet the team / contact</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/contact</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Phone, email, hours, service inquiry.</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Submit inquiry</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/service-area</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Check city, district, or postal eligibility.</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See plans and prices</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/checkout/quote</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Select an area-valid plan from a server-generated quote.</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Continue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/checkout/details</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Customer, service address, consent, and visit preferences.</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Continue to payment</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/checkout/payment</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Redirect or embed the managed provider checkout.</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Subscribe / pay once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/checkout/confirmation</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Payment-aware receipt, plan summary, and service onboarding.</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View next steps</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/account</w:t>
            </w:r>
          </w:p>
        </w:tc>
        <w:tc>
          <w:tcPr>
            <w:tcW w:type="dxa" w:w="510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plan, visits, documents, and billing portal access.</w:t>
            </w:r>
          </w:p>
        </w:tc>
        <w:tc>
          <w:tcPr>
            <w:tcW w:type="dxa" w:w="2160"/>
            <w:shd w:fill="F3F6F4"/>
            <w:tcMar>
              <w:top w:w="80" w:type="dxa"/>
              <w:start w:w="120" w:type="dxa"/>
              <w:bottom w:w="80" w:type="dxa"/>
              <w:end w:w="120" w:type="dxa"/>
            </w:tcMar>
            <w:vAlign w:val="center"/>
          </w:tcPr>
          <w:p>
            <w:pPr>
              <w:spacing w:after="0" w:line="252" w:lineRule="auto"/>
            </w:pPr>
            <w:r>
              <w:rPr>
                <w:rFonts w:ascii="Calibri" w:hAnsi="Calibri"/>
                <w:color w:val="17212B"/>
                <w:sz w:val="18"/>
              </w:rPr>
              <w:t>Manage service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/admin</w:t>
            </w:r>
          </w:p>
        </w:tc>
        <w:tc>
          <w:tcPr>
            <w:tcW w:type="dxa" w:w="5100"/>
            <w:tcMar>
              <w:top w:w="80" w:type="dxa"/>
              <w:start w:w="120" w:type="dxa"/>
              <w:bottom w:w="80" w:type="dxa"/>
              <w:end w:w="120" w:type="dxa"/>
            </w:tcMar>
            <w:vAlign w:val="center"/>
          </w:tcPr>
          <w:p>
            <w:pPr>
              <w:spacing w:after="0" w:line="252" w:lineRule="auto"/>
            </w:pPr>
            <w:r>
              <w:rPr>
                <w:rFonts w:ascii="Calibri" w:hAnsi="Calibri"/>
                <w:color w:val="17212B"/>
                <w:sz w:val="18"/>
              </w:rPr>
              <w:t>Authenticated Pest Operations Console.</w:t>
            </w:r>
          </w:p>
        </w:tc>
        <w:tc>
          <w:tcPr>
            <w:tcW w:type="dxa" w:w="2160"/>
            <w:tcMar>
              <w:top w:w="80" w:type="dxa"/>
              <w:start w:w="120" w:type="dxa"/>
              <w:bottom w:w="80" w:type="dxa"/>
              <w:end w:w="120" w:type="dxa"/>
            </w:tcMar>
            <w:vAlign w:val="center"/>
          </w:tcPr>
          <w:p>
            <w:pPr>
              <w:spacing w:after="0" w:line="252" w:lineRule="auto"/>
            </w:pPr>
            <w:r>
              <w:rPr>
                <w:rFonts w:ascii="Calibri" w:hAnsi="Calibri"/>
                <w:color w:val="17212B"/>
                <w:sz w:val="18"/>
              </w:rPr>
              <w:t>Internal only</w:t>
            </w:r>
          </w:p>
        </w:tc>
      </w:tr>
    </w:tbl>
    <w:p>
      <w:pPr>
        <w:spacing w:after="40"/>
      </w:pPr>
    </w:p>
    <w:p>
      <w:pPr>
        <w:pStyle w:val="Heading2"/>
      </w:pPr>
      <w:r>
        <w:t>Recommended global navigation</w:t>
      </w:r>
    </w:p>
    <w:p>
      <w:pPr>
        <w:keepLines w:val="0"/>
      </w:pPr>
      <w:r>
        <w:rPr>
          <w:rFonts w:ascii="Calibri" w:hAnsi="Calibri"/>
          <w:i w:val="0"/>
          <w:color w:val="17212B"/>
        </w:rPr>
        <w:t>Desktop: logo | Pest Control | Pests We Treat | How It Works | Reviews | About | phone/help | Check My Area. Mobile: logo, call shortcut, menu, and a persistent bottom action bar with Call and Check My Area.</w:t>
      </w:r>
    </w:p>
    <w:p>
      <w:pPr>
        <w:pStyle w:val="Heading2"/>
      </w:pPr>
      <w:r>
        <w:t>Homepage section order</w:t>
      </w:r>
    </w:p>
    <w:p>
      <w:pPr>
        <w:numPr>
          <w:ilvl w:val="0"/>
          <w:numId w:val="10"/>
        </w:numPr>
        <w:spacing w:after="100"/>
        <w:ind w:left="720" w:hanging="360"/>
      </w:pPr>
      <w:r>
        <w:rPr>
          <w:rFonts w:ascii="Calibri" w:hAnsi="Calibri"/>
          <w:color w:val="17212B"/>
        </w:rPr>
        <w:t>Hero: specific protection outcome, local service cue, area-search input, optional phone action, authentic technician photography.</w:t>
      </w:r>
    </w:p>
    <w:p>
      <w:pPr>
        <w:numPr>
          <w:ilvl w:val="0"/>
          <w:numId w:val="10"/>
        </w:numPr>
        <w:spacing w:after="100"/>
        <w:ind w:left="720" w:hanging="360"/>
      </w:pPr>
      <w:r>
        <w:rPr>
          <w:rFonts w:ascii="Calibri" w:hAnsi="Calibri"/>
          <w:color w:val="17212B"/>
        </w:rPr>
        <w:t>Trust strip: verified rating, years of operation, licensed or trained technicians, and guarantee only if legally approved.</w:t>
      </w:r>
    </w:p>
    <w:p>
      <w:pPr>
        <w:numPr>
          <w:ilvl w:val="0"/>
          <w:numId w:val="10"/>
        </w:numPr>
        <w:spacing w:after="100"/>
        <w:ind w:left="720" w:hanging="360"/>
      </w:pPr>
      <w:r>
        <w:rPr>
          <w:rFonts w:ascii="Calibri" w:hAnsi="Calibri"/>
          <w:color w:val="17212B"/>
        </w:rPr>
        <w:t>Service mode selector: Continuous Protection versus One-Time Treatment.</w:t>
      </w:r>
    </w:p>
    <w:p>
      <w:pPr>
        <w:numPr>
          <w:ilvl w:val="0"/>
          <w:numId w:val="10"/>
        </w:numPr>
        <w:spacing w:after="100"/>
        <w:ind w:left="720" w:hanging="360"/>
      </w:pPr>
      <w:r>
        <w:rPr>
          <w:rFonts w:ascii="Calibri" w:hAnsi="Calibri"/>
          <w:color w:val="17212B"/>
        </w:rPr>
        <w:t>Common pests: six to eight priority pest shortcuts with consistent icons or photography.</w:t>
      </w:r>
    </w:p>
    <w:p>
      <w:pPr>
        <w:numPr>
          <w:ilvl w:val="0"/>
          <w:numId w:val="10"/>
        </w:numPr>
        <w:spacing w:after="100"/>
        <w:ind w:left="720" w:hanging="360"/>
      </w:pPr>
      <w:r>
        <w:rPr>
          <w:rFonts w:ascii="Calibri" w:hAnsi="Calibri"/>
          <w:color w:val="17212B"/>
        </w:rPr>
        <w:t>Why choose us: inspection quality, tailored treatment, prevention, and support.</w:t>
      </w:r>
    </w:p>
    <w:p>
      <w:pPr>
        <w:numPr>
          <w:ilvl w:val="0"/>
          <w:numId w:val="10"/>
        </w:numPr>
        <w:spacing w:after="100"/>
        <w:ind w:left="720" w:hanging="360"/>
      </w:pPr>
      <w:r>
        <w:rPr>
          <w:rFonts w:ascii="Calibri" w:hAnsi="Calibri"/>
          <w:color w:val="17212B"/>
        </w:rPr>
        <w:t>How it works: inspect, treat, prevent, follow up.</w:t>
      </w:r>
    </w:p>
    <w:p>
      <w:pPr>
        <w:numPr>
          <w:ilvl w:val="0"/>
          <w:numId w:val="10"/>
        </w:numPr>
        <w:spacing w:after="100"/>
        <w:ind w:left="720" w:hanging="360"/>
      </w:pPr>
      <w:r>
        <w:rPr>
          <w:rFonts w:ascii="Calibri" w:hAnsi="Calibri"/>
          <w:color w:val="17212B"/>
        </w:rPr>
        <w:t>Proof: verified reviews tied to locations and dates, with a review-source explanation.</w:t>
      </w:r>
    </w:p>
    <w:p>
      <w:pPr>
        <w:numPr>
          <w:ilvl w:val="0"/>
          <w:numId w:val="10"/>
        </w:numPr>
        <w:spacing w:after="100"/>
        <w:ind w:left="720" w:hanging="360"/>
      </w:pPr>
      <w:r>
        <w:rPr>
          <w:rFonts w:ascii="Calibri" w:hAnsi="Calibri"/>
          <w:color w:val="17212B"/>
        </w:rPr>
        <w:t>FAQ: price factors, preparation, safety, timing, return visits, and service area.</w:t>
      </w:r>
    </w:p>
    <w:p>
      <w:pPr>
        <w:numPr>
          <w:ilvl w:val="0"/>
          <w:numId w:val="10"/>
        </w:numPr>
        <w:spacing w:after="100"/>
        <w:ind w:left="720" w:hanging="360"/>
      </w:pPr>
      <w:r>
        <w:rPr>
          <w:rFonts w:ascii="Calibri" w:hAnsi="Calibri"/>
          <w:color w:val="17212B"/>
        </w:rPr>
        <w:t>Final CTA: concise reassurance plus inspection request.</w:t>
      </w:r>
    </w:p>
    <w:p>
      <w:pPr>
        <w:pStyle w:val="Heading2"/>
      </w:pPr>
      <w:r>
        <w:t>Pest service template</w:t>
      </w:r>
    </w:p>
    <w:p>
      <w:pPr>
        <w:pStyle w:val="ListBullet"/>
        <w:spacing w:after="80" w:line="276" w:lineRule="auto"/>
        <w:ind w:left="720" w:hanging="360"/>
      </w:pPr>
      <w:r>
        <w:rPr>
          <w:rFonts w:ascii="Calibri" w:hAnsi="Calibri"/>
          <w:color w:val="17212B"/>
        </w:rPr>
        <w:t>Breadcrumb and pest-specific hero.</w:t>
      </w:r>
    </w:p>
    <w:p>
      <w:pPr>
        <w:pStyle w:val="ListBullet"/>
        <w:spacing w:after="80" w:line="276" w:lineRule="auto"/>
        <w:ind w:left="720" w:hanging="360"/>
      </w:pPr>
      <w:r>
        <w:rPr>
          <w:rFonts w:ascii="Calibri" w:hAnsi="Calibri"/>
          <w:color w:val="17212B"/>
        </w:rPr>
        <w:t>Problem recognition: signs, risks, and why professional treatment may be needed.</w:t>
      </w:r>
    </w:p>
    <w:p>
      <w:pPr>
        <w:pStyle w:val="ListBullet"/>
        <w:spacing w:after="80" w:line="276" w:lineRule="auto"/>
        <w:ind w:left="720" w:hanging="360"/>
      </w:pPr>
      <w:r>
        <w:rPr>
          <w:rFonts w:ascii="Calibri" w:hAnsi="Calibri"/>
          <w:color w:val="17212B"/>
        </w:rPr>
        <w:t>Treatment options: only methods the company actually uses.</w:t>
      </w:r>
    </w:p>
    <w:p>
      <w:pPr>
        <w:pStyle w:val="ListBullet"/>
        <w:spacing w:after="80" w:line="276" w:lineRule="auto"/>
        <w:ind w:left="720" w:hanging="360"/>
      </w:pPr>
      <w:r>
        <w:rPr>
          <w:rFonts w:ascii="Calibri" w:hAnsi="Calibri"/>
          <w:color w:val="17212B"/>
        </w:rPr>
        <w:t>Applicable service modes and what is included.</w:t>
      </w:r>
    </w:p>
    <w:p>
      <w:pPr>
        <w:pStyle w:val="ListBullet"/>
        <w:spacing w:after="80" w:line="276" w:lineRule="auto"/>
        <w:ind w:left="720" w:hanging="360"/>
      </w:pPr>
      <w:r>
        <w:rPr>
          <w:rFonts w:ascii="Calibri" w:hAnsi="Calibri"/>
          <w:color w:val="17212B"/>
        </w:rPr>
        <w:t>Safety and environmental handling commitments.</w:t>
      </w:r>
    </w:p>
    <w:p>
      <w:pPr>
        <w:pStyle w:val="ListBullet"/>
        <w:spacing w:after="80" w:line="276" w:lineRule="auto"/>
        <w:ind w:left="720" w:hanging="360"/>
      </w:pPr>
      <w:r>
        <w:rPr>
          <w:rFonts w:ascii="Calibri" w:hAnsi="Calibri"/>
          <w:color w:val="17212B"/>
        </w:rPr>
        <w:t>Species or issue variants relevant to the market.</w:t>
      </w:r>
    </w:p>
    <w:p>
      <w:pPr>
        <w:pStyle w:val="ListBullet"/>
        <w:spacing w:after="80" w:line="276" w:lineRule="auto"/>
        <w:ind w:left="720" w:hanging="360"/>
      </w:pPr>
      <w:r>
        <w:rPr>
          <w:rFonts w:ascii="Calibri" w:hAnsi="Calibri"/>
          <w:color w:val="17212B"/>
        </w:rPr>
        <w:t>Verified reviews filtered to the service when possible.</w:t>
      </w:r>
    </w:p>
    <w:p>
      <w:pPr>
        <w:pStyle w:val="ListBullet"/>
        <w:spacing w:after="80" w:line="276" w:lineRule="auto"/>
        <w:ind w:left="720" w:hanging="360"/>
      </w:pPr>
      <w:r>
        <w:rPr>
          <w:rFonts w:ascii="Calibri" w:hAnsi="Calibri"/>
          <w:color w:val="17212B"/>
        </w:rPr>
        <w:t>Inspection, treatment, prevention, and follow-up process.</w:t>
      </w:r>
    </w:p>
    <w:p>
      <w:pPr>
        <w:pStyle w:val="ListBullet"/>
        <w:spacing w:after="80" w:line="276" w:lineRule="auto"/>
        <w:ind w:left="720" w:hanging="360"/>
      </w:pPr>
      <w:r>
        <w:rPr>
          <w:rFonts w:ascii="Calibri" w:hAnsi="Calibri"/>
          <w:color w:val="17212B"/>
        </w:rPr>
        <w:t>Pest-specific FAQs and related articles.</w:t>
      </w:r>
    </w:p>
    <w:p>
      <w:pPr>
        <w:pStyle w:val="ListBullet"/>
        <w:spacing w:after="80" w:line="276" w:lineRule="auto"/>
        <w:ind w:left="720" w:hanging="360"/>
      </w:pPr>
      <w:r>
        <w:rPr>
          <w:rFonts w:ascii="Calibri" w:hAnsi="Calibri"/>
          <w:color w:val="17212B"/>
        </w:rPr>
        <w:t>Final inspection CTA.</w:t>
      </w:r>
    </w:p>
    <w:p>
      <w:pPr>
        <w:pStyle w:val="Heading1"/>
      </w:pPr>
      <w:r>
        <w:t>6. Key page specifications</w:t>
      </w:r>
    </w:p>
    <w:p>
      <w:pPr>
        <w:pStyle w:val="Heading2"/>
      </w:pPr>
      <w:r>
        <w:t>6.1 Pest Control and Plans</w:t>
      </w:r>
    </w:p>
    <w:p>
      <w:pPr>
        <w:keepLines w:val="0"/>
      </w:pPr>
      <w:r>
        <w:rPr>
          <w:rFonts w:ascii="Calibri" w:hAnsi="Calibri"/>
          <w:i w:val="0"/>
          <w:color w:val="17212B"/>
        </w:rPr>
        <w:t>This is the commercial center of the site. It should answer what the customer receives, whether service is recurring or one-time, what pests are eligible, how follow-up works, and what happens after the visitor shares an address. The page must not hide important exclusions behind decorative cards.</w:t>
      </w:r>
    </w:p>
    <w:p>
      <w:pPr>
        <w:pStyle w:val="ListBullet"/>
        <w:spacing w:after="80" w:line="276" w:lineRule="auto"/>
        <w:ind w:left="720" w:hanging="360"/>
      </w:pPr>
      <w:r>
        <w:rPr>
          <w:rFonts w:ascii="Calibri" w:hAnsi="Calibri"/>
          <w:color w:val="17212B"/>
        </w:rPr>
        <w:t>Hero with benefit, review proof, and location-aware CTA.</w:t>
      </w:r>
    </w:p>
    <w:p>
      <w:pPr>
        <w:pStyle w:val="ListBullet"/>
        <w:spacing w:after="80" w:line="276" w:lineRule="auto"/>
        <w:ind w:left="720" w:hanging="360"/>
      </w:pPr>
      <w:r>
        <w:rPr>
          <w:rFonts w:ascii="Calibri" w:hAnsi="Calibri"/>
          <w:color w:val="17212B"/>
        </w:rPr>
        <w:t>Two plan cards followed by a feature comparison that remains readable on mobile.</w:t>
      </w:r>
    </w:p>
    <w:p>
      <w:pPr>
        <w:pStyle w:val="ListBullet"/>
        <w:spacing w:after="80" w:line="276" w:lineRule="auto"/>
        <w:ind w:left="720" w:hanging="360"/>
      </w:pPr>
      <w:r>
        <w:rPr>
          <w:rFonts w:ascii="Calibri" w:hAnsi="Calibri"/>
          <w:color w:val="17212B"/>
        </w:rPr>
        <w:t>Expandable list of covered pests and explicit exclusions.</w:t>
      </w:r>
    </w:p>
    <w:p>
      <w:pPr>
        <w:pStyle w:val="ListBullet"/>
        <w:spacing w:after="80" w:line="276" w:lineRule="auto"/>
        <w:ind w:left="720" w:hanging="360"/>
      </w:pPr>
      <w:r>
        <w:rPr>
          <w:rFonts w:ascii="Calibri" w:hAnsi="Calibri"/>
          <w:color w:val="17212B"/>
        </w:rPr>
        <w:t>Address or service-area capture before any location-dependent price is promised.</w:t>
      </w:r>
    </w:p>
    <w:p>
      <w:pPr>
        <w:pStyle w:val="ListBullet"/>
        <w:spacing w:after="80" w:line="276" w:lineRule="auto"/>
        <w:ind w:left="720" w:hanging="360"/>
      </w:pPr>
      <w:r>
        <w:rPr>
          <w:rFonts w:ascii="Calibri" w:hAnsi="Calibri"/>
          <w:color w:val="17212B"/>
        </w:rPr>
        <w:t>Process, safety, preparation, guarantee terms, FAQs, and final CTA.</w:t>
      </w:r>
    </w:p>
    <w:p>
      <w:pPr>
        <w:pStyle w:val="Heading2"/>
      </w:pPr>
      <w:r>
        <w:t>6.2 Eligibility, quote, and checkout funnel</w:t>
      </w:r>
    </w:p>
    <w:p>
      <w:pPr>
        <w:keepLines w:val="0"/>
      </w:pPr>
      <w:r>
        <w:rPr>
          <w:rFonts w:ascii="Calibri" w:hAnsi="Calibri"/>
          <w:i w:val="0"/>
          <w:color w:val="17212B"/>
        </w:rPr>
        <w:t>The Terminix reference exposes a clear staged funnel. Our version keeps that clarity but completes the commercial journey. Eligibility and pricing are calculated from controlled server data before customer details or payment are collected.</w:t>
      </w:r>
    </w:p>
    <w:tbl>
      <w:tblPr>
        <w:tblStyle w:val="TableGrid"/>
        <w:tblW w:type="dxa" w:w="9360"/>
        <w:jc w:val="left"/>
        <w:tblLayout w:type="fixed"/>
        <w:tblLook w:firstColumn="1" w:firstRow="1" w:lastColumn="0" w:lastRow="0" w:noHBand="0" w:noVBand="1" w:val="04A0"/>
        <w:tblInd w:w="120" w:type="dxa"/>
      </w:tblPr>
      <w:tblGrid>
        <w:gridCol w:w="1550"/>
        <w:gridCol w:w="3300"/>
        <w:gridCol w:w="4510"/>
      </w:tblGrid>
      <w:tr>
        <w:trPr>
          <w:tblHeader w:val="true"/>
          <w:cantSplit w:val="true"/>
        </w:trPr>
        <w:tc>
          <w:tcPr>
            <w:tcW w:type="dxa" w:w="1550"/>
            <w:shd w:fill="0D2640"/>
            <w:tcMar>
              <w:top w:w="80" w:type="dxa"/>
              <w:start w:w="120" w:type="dxa"/>
              <w:bottom w:w="80" w:type="dxa"/>
              <w:end w:w="120" w:type="dxa"/>
            </w:tcMar>
            <w:vAlign w:val="center"/>
          </w:tcPr>
          <w:p>
            <w:pPr>
              <w:spacing w:after="0"/>
            </w:pPr>
            <w:r>
              <w:rPr>
                <w:rFonts w:ascii="Calibri" w:hAnsi="Calibri"/>
                <w:b/>
                <w:color w:val="FFFFFF"/>
                <w:sz w:val="19"/>
              </w:rPr>
              <w:t>Step</w:t>
            </w:r>
          </w:p>
        </w:tc>
        <w:tc>
          <w:tcPr>
            <w:tcW w:type="dxa" w:w="3300"/>
            <w:shd w:fill="0D2640"/>
            <w:tcMar>
              <w:top w:w="80" w:type="dxa"/>
              <w:start w:w="120" w:type="dxa"/>
              <w:bottom w:w="80" w:type="dxa"/>
              <w:end w:w="120" w:type="dxa"/>
            </w:tcMar>
            <w:vAlign w:val="center"/>
          </w:tcPr>
          <w:p>
            <w:pPr>
              <w:spacing w:after="0"/>
            </w:pPr>
            <w:r>
              <w:rPr>
                <w:rFonts w:ascii="Calibri" w:hAnsi="Calibri"/>
                <w:b/>
                <w:color w:val="FFFFFF"/>
                <w:sz w:val="19"/>
              </w:rPr>
              <w:t>Fields</w:t>
            </w:r>
          </w:p>
        </w:tc>
        <w:tc>
          <w:tcPr>
            <w:tcW w:type="dxa" w:w="4510"/>
            <w:shd w:fill="0D2640"/>
            <w:tcMar>
              <w:top w:w="80" w:type="dxa"/>
              <w:start w:w="120" w:type="dxa"/>
              <w:bottom w:w="80" w:type="dxa"/>
              <w:end w:w="120" w:type="dxa"/>
            </w:tcMar>
            <w:vAlign w:val="center"/>
          </w:tcPr>
          <w:p>
            <w:pPr>
              <w:spacing w:after="0"/>
            </w:pPr>
            <w:r>
              <w:rPr>
                <w:rFonts w:ascii="Calibri" w:hAnsi="Calibri"/>
                <w:b/>
                <w:color w:val="FFFFFF"/>
                <w:sz w:val="19"/>
              </w:rPr>
              <w:t>Validation and UX</w:t>
            </w:r>
          </w:p>
        </w:tc>
      </w:tr>
      <w:tr>
        <w:trPr>
          <w:cantSplit w:val="true"/>
        </w:trPr>
        <w:tc>
          <w:tcPr>
            <w:tcW w:type="dxa" w:w="1550"/>
            <w:tcMar>
              <w:top w:w="80" w:type="dxa"/>
              <w:start w:w="120" w:type="dxa"/>
              <w:bottom w:w="80" w:type="dxa"/>
              <w:end w:w="120" w:type="dxa"/>
            </w:tcMar>
            <w:vAlign w:val="center"/>
          </w:tcPr>
          <w:p>
            <w:pPr>
              <w:spacing w:after="0" w:line="252" w:lineRule="auto"/>
            </w:pPr>
            <w:r>
              <w:rPr>
                <w:rFonts w:ascii="Calibri" w:hAnsi="Calibri"/>
                <w:color w:val="17212B"/>
                <w:sz w:val="18"/>
              </w:rPr>
              <w:t>1. Service area</w:t>
            </w:r>
          </w:p>
        </w:tc>
        <w:tc>
          <w:tcPr>
            <w:tcW w:type="dxa" w:w="3300"/>
            <w:tcMar>
              <w:top w:w="80" w:type="dxa"/>
              <w:start w:w="120" w:type="dxa"/>
              <w:bottom w:w="80" w:type="dxa"/>
              <w:end w:w="120" w:type="dxa"/>
            </w:tcMar>
            <w:vAlign w:val="center"/>
          </w:tcPr>
          <w:p>
            <w:pPr>
              <w:spacing w:after="0" w:line="252" w:lineRule="auto"/>
            </w:pPr>
            <w:r>
              <w:rPr>
                <w:rFonts w:ascii="Calibri" w:hAnsi="Calibri"/>
                <w:color w:val="17212B"/>
                <w:sz w:val="18"/>
              </w:rPr>
              <w:t>City, district, or postal code; pest concern.</w:t>
            </w:r>
          </w:p>
        </w:tc>
        <w:tc>
          <w:tcPr>
            <w:tcW w:type="dxa" w:w="4510"/>
            <w:tcMar>
              <w:top w:w="80" w:type="dxa"/>
              <w:start w:w="120" w:type="dxa"/>
              <w:bottom w:w="80" w:type="dxa"/>
              <w:end w:w="120" w:type="dxa"/>
            </w:tcMar>
            <w:vAlign w:val="center"/>
          </w:tcPr>
          <w:p>
            <w:pPr>
              <w:spacing w:after="0" w:line="252" w:lineRule="auto"/>
            </w:pPr>
            <w:r>
              <w:rPr>
                <w:rFonts w:ascii="Calibri" w:hAnsi="Calibri"/>
                <w:color w:val="17212B"/>
                <w:sz w:val="18"/>
              </w:rPr>
              <w:t>Normalize the entry and match an active area record. Show plans and exact configured prices only after a match. Preserve inputs if the user goes back.</w:t>
            </w:r>
          </w:p>
        </w:tc>
      </w:tr>
      <w:tr>
        <w:trPr>
          <w:cantSplit w:val="true"/>
        </w:trPr>
        <w:tc>
          <w:tcPr>
            <w:tcW w:type="dxa" w:w="1550"/>
            <w:shd w:fill="F3F6F4"/>
            <w:tcMar>
              <w:top w:w="80" w:type="dxa"/>
              <w:start w:w="120" w:type="dxa"/>
              <w:bottom w:w="80" w:type="dxa"/>
              <w:end w:w="120" w:type="dxa"/>
            </w:tcMar>
            <w:vAlign w:val="center"/>
          </w:tcPr>
          <w:p>
            <w:pPr>
              <w:spacing w:after="0" w:line="252" w:lineRule="auto"/>
            </w:pPr>
            <w:r>
              <w:rPr>
                <w:rFonts w:ascii="Calibri" w:hAnsi="Calibri"/>
                <w:color w:val="17212B"/>
                <w:sz w:val="18"/>
              </w:rPr>
              <w:t>2. Quote</w:t>
            </w:r>
          </w:p>
        </w:tc>
        <w:tc>
          <w:tcPr>
            <w:tcW w:type="dxa" w:w="3300"/>
            <w:shd w:fill="F3F6F4"/>
            <w:tcMar>
              <w:top w:w="80" w:type="dxa"/>
              <w:start w:w="120" w:type="dxa"/>
              <w:bottom w:w="80" w:type="dxa"/>
              <w:end w:w="120" w:type="dxa"/>
            </w:tcMar>
            <w:vAlign w:val="center"/>
          </w:tcPr>
          <w:p>
            <w:pPr>
              <w:spacing w:after="0" w:line="252" w:lineRule="auto"/>
            </w:pPr>
            <w:r>
              <w:rPr>
                <w:rFonts w:ascii="Calibri" w:hAnsi="Calibri"/>
                <w:color w:val="17212B"/>
                <w:sz w:val="18"/>
              </w:rPr>
              <w:t>Plan, cadence, initial fee, recurring or one-time amount, currency.</w:t>
            </w:r>
          </w:p>
        </w:tc>
        <w:tc>
          <w:tcPr>
            <w:tcW w:type="dxa" w:w="4510"/>
            <w:shd w:fill="F3F6F4"/>
            <w:tcMar>
              <w:top w:w="80" w:type="dxa"/>
              <w:start w:w="120" w:type="dxa"/>
              <w:bottom w:w="80" w:type="dxa"/>
              <w:end w:w="120" w:type="dxa"/>
            </w:tcMar>
            <w:vAlign w:val="center"/>
          </w:tcPr>
          <w:p>
            <w:pPr>
              <w:spacing w:after="0" w:line="252" w:lineRule="auto"/>
            </w:pPr>
            <w:r>
              <w:rPr>
                <w:rFonts w:ascii="Calibri" w:hAnsi="Calibri"/>
                <w:color w:val="17212B"/>
                <w:sz w:val="18"/>
              </w:rPr>
              <w:t>Create a short-lived server-side quote with a reference ID. Never accept a price posted by the browser.</w:t>
            </w:r>
          </w:p>
        </w:tc>
      </w:tr>
      <w:tr>
        <w:trPr>
          <w:cantSplit w:val="true"/>
        </w:trPr>
        <w:tc>
          <w:tcPr>
            <w:tcW w:type="dxa" w:w="1550"/>
            <w:tcMar>
              <w:top w:w="80" w:type="dxa"/>
              <w:start w:w="120" w:type="dxa"/>
              <w:bottom w:w="80" w:type="dxa"/>
              <w:end w:w="120" w:type="dxa"/>
            </w:tcMar>
            <w:vAlign w:val="center"/>
          </w:tcPr>
          <w:p>
            <w:pPr>
              <w:spacing w:after="0" w:line="252" w:lineRule="auto"/>
            </w:pPr>
            <w:r>
              <w:rPr>
                <w:rFonts w:ascii="Calibri" w:hAnsi="Calibri"/>
                <w:color w:val="17212B"/>
                <w:sz w:val="18"/>
              </w:rPr>
              <w:t>3. Customer details</w:t>
            </w:r>
          </w:p>
        </w:tc>
        <w:tc>
          <w:tcPr>
            <w:tcW w:type="dxa" w:w="3300"/>
            <w:tcMar>
              <w:top w:w="80" w:type="dxa"/>
              <w:start w:w="120" w:type="dxa"/>
              <w:bottom w:w="80" w:type="dxa"/>
              <w:end w:w="120" w:type="dxa"/>
            </w:tcMar>
            <w:vAlign w:val="center"/>
          </w:tcPr>
          <w:p>
            <w:pPr>
              <w:spacing w:after="0" w:line="252" w:lineRule="auto"/>
            </w:pPr>
            <w:r>
              <w:rPr>
                <w:rFonts w:ascii="Calibri" w:hAnsi="Calibri"/>
                <w:color w:val="17212B"/>
                <w:sz w:val="18"/>
              </w:rPr>
              <w:t>Name, phone, email, service address, contact preference, explicit consent.</w:t>
            </w:r>
          </w:p>
        </w:tc>
        <w:tc>
          <w:tcPr>
            <w:tcW w:type="dxa" w:w="4510"/>
            <w:tcMar>
              <w:top w:w="80" w:type="dxa"/>
              <w:start w:w="120" w:type="dxa"/>
              <w:bottom w:w="80" w:type="dxa"/>
              <w:end w:w="120" w:type="dxa"/>
            </w:tcMar>
            <w:vAlign w:val="center"/>
          </w:tcPr>
          <w:p>
            <w:pPr>
              <w:spacing w:after="0" w:line="252" w:lineRule="auto"/>
            </w:pPr>
            <w:r>
              <w:rPr>
                <w:rFonts w:ascii="Calibri" w:hAnsi="Calibri"/>
                <w:color w:val="17212B"/>
                <w:sz w:val="18"/>
              </w:rPr>
              <w:t>Separate required service communication from optional marketing consent. Revalidate address against the quoted area.</w:t>
            </w:r>
          </w:p>
        </w:tc>
      </w:tr>
      <w:tr>
        <w:trPr>
          <w:cantSplit w:val="true"/>
        </w:trPr>
        <w:tc>
          <w:tcPr>
            <w:tcW w:type="dxa" w:w="1550"/>
            <w:shd w:fill="F3F6F4"/>
            <w:tcMar>
              <w:top w:w="80" w:type="dxa"/>
              <w:start w:w="120" w:type="dxa"/>
              <w:bottom w:w="80" w:type="dxa"/>
              <w:end w:w="120" w:type="dxa"/>
            </w:tcMar>
            <w:vAlign w:val="center"/>
          </w:tcPr>
          <w:p>
            <w:pPr>
              <w:spacing w:after="0" w:line="252" w:lineRule="auto"/>
            </w:pPr>
            <w:r>
              <w:rPr>
                <w:rFonts w:ascii="Calibri" w:hAnsi="Calibri"/>
                <w:color w:val="17212B"/>
                <w:sz w:val="18"/>
              </w:rPr>
              <w:t>4. Payment</w:t>
            </w:r>
          </w:p>
        </w:tc>
        <w:tc>
          <w:tcPr>
            <w:tcW w:type="dxa" w:w="3300"/>
            <w:shd w:fill="F3F6F4"/>
            <w:tcMar>
              <w:top w:w="80" w:type="dxa"/>
              <w:start w:w="120" w:type="dxa"/>
              <w:bottom w:w="80" w:type="dxa"/>
              <w:end w:w="120" w:type="dxa"/>
            </w:tcMar>
            <w:vAlign w:val="center"/>
          </w:tcPr>
          <w:p>
            <w:pPr>
              <w:spacing w:after="0" w:line="252" w:lineRule="auto"/>
            </w:pPr>
            <w:r>
              <w:rPr>
                <w:rFonts w:ascii="Calibri" w:hAnsi="Calibri"/>
                <w:color w:val="17212B"/>
                <w:sz w:val="18"/>
              </w:rPr>
              <w:t>Provider-hosted payment details and required authentication.</w:t>
            </w:r>
          </w:p>
        </w:tc>
        <w:tc>
          <w:tcPr>
            <w:tcW w:type="dxa" w:w="4510"/>
            <w:shd w:fill="F3F6F4"/>
            <w:tcMar>
              <w:top w:w="80" w:type="dxa"/>
              <w:start w:w="120" w:type="dxa"/>
              <w:bottom w:w="80" w:type="dxa"/>
              <w:end w:w="120" w:type="dxa"/>
            </w:tcMar>
            <w:vAlign w:val="center"/>
          </w:tcPr>
          <w:p>
            <w:pPr>
              <w:spacing w:after="0" w:line="252" w:lineRule="auto"/>
            </w:pPr>
            <w:r>
              <w:rPr>
                <w:rFonts w:ascii="Calibri" w:hAnsi="Calibri"/>
                <w:color w:val="17212B"/>
                <w:sz w:val="18"/>
              </w:rPr>
              <w:t>Our application never stores raw card data. Show recurring terms, today’s charge, cadence, taxes, and cancellation policy before confirmation.</w:t>
            </w:r>
          </w:p>
        </w:tc>
      </w:tr>
      <w:tr>
        <w:trPr>
          <w:cantSplit w:val="true"/>
        </w:trPr>
        <w:tc>
          <w:tcPr>
            <w:tcW w:type="dxa" w:w="1550"/>
            <w:tcMar>
              <w:top w:w="80" w:type="dxa"/>
              <w:start w:w="120" w:type="dxa"/>
              <w:bottom w:w="80" w:type="dxa"/>
              <w:end w:w="120" w:type="dxa"/>
            </w:tcMar>
            <w:vAlign w:val="center"/>
          </w:tcPr>
          <w:p>
            <w:pPr>
              <w:spacing w:after="0" w:line="252" w:lineRule="auto"/>
            </w:pPr>
            <w:r>
              <w:rPr>
                <w:rFonts w:ascii="Calibri" w:hAnsi="Calibri"/>
                <w:color w:val="17212B"/>
                <w:sz w:val="18"/>
              </w:rPr>
              <w:t>5. Visit onboarding</w:t>
            </w:r>
          </w:p>
        </w:tc>
        <w:tc>
          <w:tcPr>
            <w:tcW w:type="dxa" w:w="3300"/>
            <w:tcMar>
              <w:top w:w="80" w:type="dxa"/>
              <w:start w:w="120" w:type="dxa"/>
              <w:bottom w:w="80" w:type="dxa"/>
              <w:end w:w="120" w:type="dxa"/>
            </w:tcMar>
            <w:vAlign w:val="center"/>
          </w:tcPr>
          <w:p>
            <w:pPr>
              <w:spacing w:after="0" w:line="252" w:lineRule="auto"/>
            </w:pPr>
            <w:r>
              <w:rPr>
                <w:rFonts w:ascii="Calibri" w:hAnsi="Calibri"/>
                <w:color w:val="17212B"/>
                <w:sz w:val="18"/>
              </w:rPr>
              <w:t>Preferred date and time window, access and pest notes.</w:t>
            </w:r>
          </w:p>
        </w:tc>
        <w:tc>
          <w:tcPr>
            <w:tcW w:type="dxa" w:w="4510"/>
            <w:tcMar>
              <w:top w:w="80" w:type="dxa"/>
              <w:start w:w="120" w:type="dxa"/>
              <w:bottom w:w="80" w:type="dxa"/>
              <w:end w:w="120" w:type="dxa"/>
            </w:tcMar>
            <w:vAlign w:val="center"/>
          </w:tcPr>
          <w:p>
            <w:pPr>
              <w:spacing w:after="0" w:line="252" w:lineRule="auto"/>
            </w:pPr>
            <w:r>
              <w:rPr>
                <w:rFonts w:ascii="Calibri" w:hAnsi="Calibri"/>
                <w:color w:val="17212B"/>
                <w:sz w:val="18"/>
              </w:rPr>
              <w:t>If live capacity is unavailable, label selections as preferences rather than confirmed appointments.</w:t>
            </w:r>
          </w:p>
        </w:tc>
      </w:tr>
      <w:tr>
        <w:trPr>
          <w:cantSplit w:val="true"/>
        </w:trPr>
        <w:tc>
          <w:tcPr>
            <w:tcW w:type="dxa" w:w="1550"/>
            <w:shd w:fill="F3F6F4"/>
            <w:tcMar>
              <w:top w:w="80" w:type="dxa"/>
              <w:start w:w="120" w:type="dxa"/>
              <w:bottom w:w="80" w:type="dxa"/>
              <w:end w:w="120" w:type="dxa"/>
            </w:tcMar>
            <w:vAlign w:val="center"/>
          </w:tcPr>
          <w:p>
            <w:pPr>
              <w:spacing w:after="0" w:line="252" w:lineRule="auto"/>
            </w:pPr>
            <w:r>
              <w:rPr>
                <w:rFonts w:ascii="Calibri" w:hAnsi="Calibri"/>
                <w:color w:val="17212B"/>
                <w:sz w:val="18"/>
              </w:rPr>
              <w:t>Confirmation</w:t>
            </w:r>
          </w:p>
        </w:tc>
        <w:tc>
          <w:tcPr>
            <w:tcW w:type="dxa" w:w="3300"/>
            <w:shd w:fill="F3F6F4"/>
            <w:tcMar>
              <w:top w:w="80" w:type="dxa"/>
              <w:start w:w="120" w:type="dxa"/>
              <w:bottom w:w="80" w:type="dxa"/>
              <w:end w:w="120" w:type="dxa"/>
            </w:tcMar>
            <w:vAlign w:val="center"/>
          </w:tcPr>
          <w:p>
            <w:pPr>
              <w:spacing w:after="0" w:line="252" w:lineRule="auto"/>
            </w:pPr>
            <w:r>
              <w:rPr>
                <w:rFonts w:ascii="Calibri" w:hAnsi="Calibri"/>
                <w:color w:val="17212B"/>
                <w:sz w:val="18"/>
              </w:rPr>
              <w:t>Order or subscription number, payment state, plan, address, visit status, contact route.</w:t>
            </w:r>
          </w:p>
        </w:tc>
        <w:tc>
          <w:tcPr>
            <w:tcW w:type="dxa" w:w="4510"/>
            <w:shd w:fill="F3F6F4"/>
            <w:tcMar>
              <w:top w:w="80" w:type="dxa"/>
              <w:start w:w="120" w:type="dxa"/>
              <w:bottom w:w="80" w:type="dxa"/>
              <w:end w:w="120" w:type="dxa"/>
            </w:tcMar>
            <w:vAlign w:val="center"/>
          </w:tcPr>
          <w:p>
            <w:pPr>
              <w:spacing w:after="0" w:line="252" w:lineRule="auto"/>
            </w:pPr>
            <w:r>
              <w:rPr>
                <w:rFonts w:ascii="Calibri" w:hAnsi="Calibri"/>
                <w:color w:val="17212B"/>
                <w:sz w:val="18"/>
              </w:rPr>
              <w:t>Render from verified server state, send confirmation, and never expose personal data in the URL.</w:t>
            </w:r>
          </w:p>
        </w:tc>
      </w:tr>
    </w:tbl>
    <w:p>
      <w:pPr>
        <w:spacing w:after="40"/>
      </w:pPr>
    </w:p>
    <w:p>
      <w:pPr>
        <w:pStyle w:val="Heading2"/>
      </w:pPr>
      <w:r>
        <w:t>6.3 Reviews and proof</w:t>
      </w:r>
    </w:p>
    <w:p>
      <w:pPr>
        <w:keepLines w:val="0"/>
      </w:pPr>
      <w:r>
        <w:rPr>
          <w:rFonts w:ascii="Calibri" w:hAnsi="Calibri"/>
          <w:i w:val="0"/>
          <w:color w:val="17212B"/>
        </w:rPr>
        <w:t>Terminix repeats high-volume review proof across conversion pages. Our site should use only verified data with a documented source, update date, and moderation policy. When review volume is initially small, technician credentials, response-time standards, process transparency, and local case notes are stronger than invented social proof.</w:t>
      </w:r>
    </w:p>
    <w:p>
      <w:pPr>
        <w:pStyle w:val="Heading2"/>
      </w:pPr>
      <w:r>
        <w:t>6.4 Pest library</w:t>
      </w:r>
    </w:p>
    <w:p>
      <w:pPr>
        <w:keepLines w:val="0"/>
      </w:pPr>
      <w:r>
        <w:rPr>
          <w:rFonts w:ascii="Calibri" w:hAnsi="Calibri"/>
          <w:i w:val="0"/>
          <w:color w:val="17212B"/>
        </w:rPr>
        <w:t>The reference library supports identification, education, and organic search. For release 1, it can remain a compact index of the same six priority pests used in service navigation. A larger editorial program should be added only with a content owner and review workflow.</w:t>
      </w:r>
    </w:p>
    <w:p>
      <w:r>
        <w:br w:type="page"/>
      </w:r>
    </w:p>
    <w:p>
      <w:pPr>
        <w:pStyle w:val="Heading1"/>
      </w:pPr>
      <w:r>
        <w:t>7. Component system and responsive behavior</w:t>
      </w:r>
    </w:p>
    <w:tbl>
      <w:tblPr>
        <w:tblStyle w:val="TableGrid"/>
        <w:tblW w:type="dxa" w:w="9360"/>
        <w:jc w:val="left"/>
        <w:tblLayout w:type="fixed"/>
        <w:tblLook w:firstColumn="1" w:firstRow="1" w:lastColumn="0" w:lastRow="0" w:noHBand="0" w:noVBand="1" w:val="04A0"/>
        <w:tblInd w:w="120" w:type="dxa"/>
      </w:tblPr>
      <w:tblGrid>
        <w:gridCol w:w="1650"/>
        <w:gridCol w:w="2700"/>
        <w:gridCol w:w="5010"/>
      </w:tblGrid>
      <w:tr>
        <w:trPr>
          <w:tblHeader w:val="true"/>
          <w:cantSplit w:val="true"/>
        </w:trPr>
        <w:tc>
          <w:tcPr>
            <w:tcW w:type="dxa" w:w="1650"/>
            <w:shd w:fill="0D2640"/>
            <w:tcMar>
              <w:top w:w="80" w:type="dxa"/>
              <w:start w:w="120" w:type="dxa"/>
              <w:bottom w:w="80" w:type="dxa"/>
              <w:end w:w="120" w:type="dxa"/>
            </w:tcMar>
            <w:vAlign w:val="center"/>
          </w:tcPr>
          <w:p>
            <w:pPr>
              <w:spacing w:after="0"/>
            </w:pPr>
            <w:r>
              <w:rPr>
                <w:rFonts w:ascii="Calibri" w:hAnsi="Calibri"/>
                <w:b/>
                <w:color w:val="FFFFFF"/>
                <w:sz w:val="19"/>
              </w:rPr>
              <w:t>Component</w:t>
            </w:r>
          </w:p>
        </w:tc>
        <w:tc>
          <w:tcPr>
            <w:tcW w:type="dxa" w:w="2700"/>
            <w:shd w:fill="0D2640"/>
            <w:tcMar>
              <w:top w:w="80" w:type="dxa"/>
              <w:start w:w="120" w:type="dxa"/>
              <w:bottom w:w="80" w:type="dxa"/>
              <w:end w:w="120" w:type="dxa"/>
            </w:tcMar>
            <w:vAlign w:val="center"/>
          </w:tcPr>
          <w:p>
            <w:pPr>
              <w:spacing w:after="0"/>
            </w:pPr>
            <w:r>
              <w:rPr>
                <w:rFonts w:ascii="Calibri" w:hAnsi="Calibri"/>
                <w:b/>
                <w:color w:val="FFFFFF"/>
                <w:sz w:val="19"/>
              </w:rPr>
              <w:t>Variants</w:t>
            </w:r>
          </w:p>
        </w:tc>
        <w:tc>
          <w:tcPr>
            <w:tcW w:type="dxa" w:w="5010"/>
            <w:shd w:fill="0D2640"/>
            <w:tcMar>
              <w:top w:w="80" w:type="dxa"/>
              <w:start w:w="120" w:type="dxa"/>
              <w:bottom w:w="80" w:type="dxa"/>
              <w:end w:w="120" w:type="dxa"/>
            </w:tcMar>
            <w:vAlign w:val="center"/>
          </w:tcPr>
          <w:p>
            <w:pPr>
              <w:spacing w:after="0"/>
            </w:pPr>
            <w:r>
              <w:rPr>
                <w:rFonts w:ascii="Calibri" w:hAnsi="Calibri"/>
                <w:b/>
                <w:color w:val="FFFFFF"/>
                <w:sz w:val="19"/>
              </w:rPr>
              <w:t>Required behavior</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Header</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Desktop utility + primary nav; mobile compact header.</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Sticky only when it does not crowd content. Keyboard navigation, visible focus, mobile close state.</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Button</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Primary, secondary, text link, phone action.</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Minimum 44 px target, loading and disabled states, no ambiguous duplicate CTAs.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Plan card</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Recurring, one-time, recommended.</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Equal feature semantics, explicit exclusions, no fake discount without terms.</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Pest card</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Icon shortcut, image card, compact related link.</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Consistent taxonomy, alt text, keyboard access.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Trust strip</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Rating, credentials, years, guarantee.</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Render only verified claims. Stack to two columns or horizontal scroll if necessary.</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Process steps</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Three or four steps.</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Numbered, semantic list, vertical mobile layout.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Review card</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Short quote, full review, service-filtered.</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Source, date, location, rating, truncation with accessible expansion.</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FAQ accordion</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General and pest-specific.</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Buttons with aria-expanded, keyboard operation, deep-linkable items where useful.</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Area search</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Hero lookup, compact re-check, checkout verification.</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Normalized matching, supported-area suggestions, no false-positive pricing, accessible result announcement.</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Checkout form</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Quote, customer details, visit preference.</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Persistent state, server validation, error summary, consent records, spam protection, provider-hosted payment handoff.</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17212B"/>
                <w:sz w:val="18"/>
              </w:rPr>
              <w:t>Admin data views</w:t>
            </w:r>
          </w:p>
        </w:tc>
        <w:tc>
          <w:tcPr>
            <w:tcW w:type="dxa" w:w="2700"/>
            <w:tcMar>
              <w:top w:w="80" w:type="dxa"/>
              <w:start w:w="120" w:type="dxa"/>
              <w:bottom w:w="80" w:type="dxa"/>
              <w:end w:w="120" w:type="dxa"/>
            </w:tcMar>
            <w:vAlign w:val="center"/>
          </w:tcPr>
          <w:p>
            <w:pPr>
              <w:spacing w:after="0" w:line="252" w:lineRule="auto"/>
            </w:pPr>
            <w:r>
              <w:rPr>
                <w:rFonts w:ascii="Calibri" w:hAnsi="Calibri"/>
                <w:color w:val="17212B"/>
                <w:sz w:val="18"/>
              </w:rPr>
              <w:t>Customers, subscriptions, payments, appointments, jobs.</w:t>
            </w:r>
          </w:p>
        </w:tc>
        <w:tc>
          <w:tcPr>
            <w:tcW w:type="dxa" w:w="5010"/>
            <w:tcMar>
              <w:top w:w="80" w:type="dxa"/>
              <w:start w:w="120" w:type="dxa"/>
              <w:bottom w:w="80" w:type="dxa"/>
              <w:end w:w="120" w:type="dxa"/>
            </w:tcMar>
            <w:vAlign w:val="center"/>
          </w:tcPr>
          <w:p>
            <w:pPr>
              <w:spacing w:after="0" w:line="252" w:lineRule="auto"/>
            </w:pPr>
            <w:r>
              <w:rPr>
                <w:rFonts w:ascii="Calibri" w:hAnsi="Calibri"/>
                <w:color w:val="17212B"/>
                <w:sz w:val="18"/>
              </w:rPr>
              <w:t>Role-based access, search and filters, status history, safe exports, no raw payment credentials.</w:t>
            </w:r>
          </w:p>
        </w:tc>
      </w:tr>
      <w:tr>
        <w:trPr>
          <w:cantSplit w:val="true"/>
        </w:trPr>
        <w:tc>
          <w:tcPr>
            <w:tcW w:type="dxa" w:w="1650"/>
            <w:shd w:fill="F3F6F4"/>
            <w:tcMar>
              <w:top w:w="80" w:type="dxa"/>
              <w:start w:w="120" w:type="dxa"/>
              <w:bottom w:w="80" w:type="dxa"/>
              <w:end w:w="120" w:type="dxa"/>
            </w:tcMar>
            <w:vAlign w:val="center"/>
          </w:tcPr>
          <w:p>
            <w:pPr>
              <w:spacing w:after="0" w:line="252" w:lineRule="auto"/>
            </w:pPr>
            <w:r>
              <w:rPr>
                <w:rFonts w:ascii="Calibri" w:hAnsi="Calibri"/>
                <w:color w:val="17212B"/>
                <w:sz w:val="18"/>
              </w:rPr>
              <w:t>Offer banner</w:t>
            </w:r>
          </w:p>
        </w:tc>
        <w:tc>
          <w:tcPr>
            <w:tcW w:type="dxa" w:w="2700"/>
            <w:shd w:fill="F3F6F4"/>
            <w:tcMar>
              <w:top w:w="80" w:type="dxa"/>
              <w:start w:w="120" w:type="dxa"/>
              <w:bottom w:w="80" w:type="dxa"/>
              <w:end w:w="120" w:type="dxa"/>
            </w:tcMar>
            <w:vAlign w:val="center"/>
          </w:tcPr>
          <w:p>
            <w:pPr>
              <w:spacing w:after="0" w:line="252" w:lineRule="auto"/>
            </w:pPr>
            <w:r>
              <w:rPr>
                <w:rFonts w:ascii="Calibri" w:hAnsi="Calibri"/>
                <w:color w:val="17212B"/>
                <w:sz w:val="18"/>
              </w:rPr>
              <w:t>Promotional and seasonal.</w:t>
            </w:r>
          </w:p>
        </w:tc>
        <w:tc>
          <w:tcPr>
            <w:tcW w:type="dxa" w:w="5010"/>
            <w:shd w:fill="F3F6F4"/>
            <w:tcMar>
              <w:top w:w="80" w:type="dxa"/>
              <w:start w:w="120" w:type="dxa"/>
              <w:bottom w:w="80" w:type="dxa"/>
              <w:end w:w="120" w:type="dxa"/>
            </w:tcMar>
            <w:vAlign w:val="center"/>
          </w:tcPr>
          <w:p>
            <w:pPr>
              <w:spacing w:after="0" w:line="252" w:lineRule="auto"/>
            </w:pPr>
            <w:r>
              <w:rPr>
                <w:rFonts w:ascii="Calibri" w:hAnsi="Calibri"/>
                <w:color w:val="17212B"/>
                <w:sz w:val="18"/>
              </w:rPr>
              <w:t>CMS expiry, terms link, no layout shift when inactive.</w:t>
            </w:r>
          </w:p>
        </w:tc>
      </w:tr>
    </w:tbl>
    <w:p>
      <w:pPr>
        <w:spacing w:after="40"/>
      </w:pPr>
    </w:p>
    <w:p>
      <w:pPr>
        <w:pStyle w:val="Heading2"/>
      </w:pPr>
      <w:r>
        <w:t>Responsive decisions</w:t>
      </w:r>
    </w:p>
    <w:p>
      <w:pPr>
        <w:pStyle w:val="ListBullet"/>
        <w:spacing w:after="80" w:line="276" w:lineRule="auto"/>
        <w:ind w:left="720" w:hanging="360"/>
      </w:pPr>
      <w:r>
        <w:rPr>
          <w:rFonts w:ascii="Calibri" w:hAnsi="Calibri"/>
          <w:color w:val="17212B"/>
        </w:rPr>
        <w:t>Hero becomes a vertical text-first layout on small screens, with the primary CTA above the fold.</w:t>
      </w:r>
    </w:p>
    <w:p>
      <w:pPr>
        <w:pStyle w:val="ListBullet"/>
        <w:spacing w:after="80" w:line="276" w:lineRule="auto"/>
        <w:ind w:left="720" w:hanging="360"/>
      </w:pPr>
      <w:r>
        <w:rPr>
          <w:rFonts w:ascii="Calibri" w:hAnsi="Calibri"/>
          <w:color w:val="17212B"/>
        </w:rPr>
        <w:t>The plan comparison converts from columns to one card per plan followed by an accessible feature disclosure.</w:t>
      </w:r>
    </w:p>
    <w:p>
      <w:pPr>
        <w:pStyle w:val="ListBullet"/>
        <w:spacing w:after="80" w:line="276" w:lineRule="auto"/>
        <w:ind w:left="720" w:hanging="360"/>
      </w:pPr>
      <w:r>
        <w:rPr>
          <w:rFonts w:ascii="Calibri" w:hAnsi="Calibri"/>
          <w:color w:val="17212B"/>
        </w:rPr>
        <w:t>Desktop mega-navigation becomes a labeled accordion menu. Phone and inspection remain directly reachable.</w:t>
      </w:r>
    </w:p>
    <w:p>
      <w:pPr>
        <w:pStyle w:val="ListBullet"/>
        <w:spacing w:after="80" w:line="276" w:lineRule="auto"/>
        <w:ind w:left="720" w:hanging="360"/>
      </w:pPr>
      <w:r>
        <w:rPr>
          <w:rFonts w:ascii="Calibri" w:hAnsi="Calibri"/>
          <w:color w:val="17212B"/>
        </w:rPr>
        <w:t>Image crops are art-directed per breakpoint to keep technicians, equipment, and pests legible.</w:t>
      </w:r>
    </w:p>
    <w:p>
      <w:pPr>
        <w:pStyle w:val="ListBullet"/>
        <w:spacing w:after="80" w:line="276" w:lineRule="auto"/>
        <w:ind w:left="720" w:hanging="360"/>
      </w:pPr>
      <w:r>
        <w:rPr>
          <w:rFonts w:ascii="Calibri" w:hAnsi="Calibri"/>
          <w:color w:val="17212B"/>
        </w:rPr>
        <w:t>Sticky mobile actions must not cover consent text, cookie controls, or the final form button.</w:t>
      </w:r>
    </w:p>
    <w:p>
      <w:pPr>
        <w:pStyle w:val="ListBullet"/>
        <w:spacing w:after="80" w:line="276" w:lineRule="auto"/>
        <w:ind w:left="720" w:hanging="360"/>
      </w:pPr>
      <w:r>
        <w:rPr>
          <w:rFonts w:ascii="Calibri" w:hAnsi="Calibri"/>
          <w:color w:val="17212B"/>
        </w:rPr>
        <w:t>No horizontal overflow at 320 px. Test text enlargement to 200 percent and device landscape mode.</w:t>
      </w:r>
    </w:p>
    <w:p>
      <w:pPr>
        <w:pStyle w:val="Heading1"/>
      </w:pPr>
      <w:r>
        <w:t>8. Content model and backend design</w:t>
      </w:r>
    </w:p>
    <w:p>
      <w:pPr>
        <w:keepLines w:val="0"/>
      </w:pPr>
      <w:r>
        <w:rPr>
          <w:rFonts w:ascii="Calibri" w:hAnsi="Calibri"/>
          <w:i w:val="0"/>
          <w:color w:val="17212B"/>
        </w:rPr>
        <w:t>The product needs two intentionally separated models: editorial content for public pages, and operational data for customers and service delivery. Reuse structured records instead of hardcoding each page, but do not make every sentence a CMS field. Editors need stable sections and predictable preview behavior; operators need guarded access to customer records.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val="true"/>
        </w:trPr>
        <w:tc>
          <w:tcPr>
            <w:tcW w:type="dxa" w:w="1700"/>
            <w:shd w:fill="0D2640"/>
            <w:tcMar>
              <w:top w:w="80" w:type="dxa"/>
              <w:start w:w="120" w:type="dxa"/>
              <w:bottom w:w="80" w:type="dxa"/>
              <w:end w:w="120" w:type="dxa"/>
            </w:tcMar>
            <w:vAlign w:val="center"/>
          </w:tcPr>
          <w:p>
            <w:pPr>
              <w:spacing w:after="0"/>
            </w:pPr>
            <w:r>
              <w:rPr>
                <w:rFonts w:ascii="Calibri" w:hAnsi="Calibri"/>
                <w:b/>
                <w:color w:val="FFFFFF"/>
                <w:sz w:val="19"/>
              </w:rPr>
              <w:t>Entity</w:t>
            </w:r>
          </w:p>
        </w:tc>
        <w:tc>
          <w:tcPr>
            <w:tcW w:type="dxa" w:w="7660"/>
            <w:shd w:fill="0D2640"/>
            <w:tcMar>
              <w:top w:w="80" w:type="dxa"/>
              <w:start w:w="120" w:type="dxa"/>
              <w:bottom w:w="80" w:type="dxa"/>
              <w:end w:w="120" w:type="dxa"/>
            </w:tcMar>
            <w:vAlign w:val="center"/>
          </w:tcPr>
          <w:p>
            <w:pPr>
              <w:spacing w:after="0"/>
            </w:pPr>
            <w:r>
              <w:rPr>
                <w:rFonts w:ascii="Calibri" w:hAnsi="Calibri"/>
                <w:b/>
                <w:color w:val="FFFFFF"/>
                <w:sz w:val="19"/>
              </w:rPr>
              <w:t>Key fields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Pest</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name, slug, summary, signs, risks, treatments, prevention, hero media, related FAQs, applicable plans, SEO metadata, status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Plan</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name, mode, cadence, summary, feature list, eligible pests, exclusions, follow-up terms, billing product reference, status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Service area</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code, name, aliases, city or district, postal codes, branch, phone, services, availability mode, active dates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Area plan price</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service area, plan, initial fee, recurring or one-time amount, currency, tax behavior, effective dates, billing price reference, status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Quote</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public reference, service area, plan, price version, amount breakdown, expiry, customer session, status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number, identity reference, contact data, communication preference, consent timestamps, billing customer reference</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Service address</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customer, normalized address, service area, access notes, geocode metadata when approved, active status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Subscription mirror</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address, plan, provider subscription reference, status, cadence, period dates, cancel state, last event time</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Order and payment mirror</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quote, customer, provider checkout or payment reference, amount, currency, payment state, receipt reference</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Appointment and job</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address, service, requested or confirmed window, status, assigned technician, visit notes, completion record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Lead</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request id, area, pest concern, contact data, consent timestamps, source, status; retained for out-of-area and assisted-sales paths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Review</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source, reviewer, rating, text, date, location, service tag, verification status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FAQ</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question, answer, page tags, pest tags, review owner, updated date</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Offer</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headline, code, terms, start, expiry, eligible routes, status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Media</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asset, alt text, subject focal point, rights, source URL, photographer, approval state, expiry or usage limits</w:t>
            </w:r>
          </w:p>
        </w:tc>
      </w:tr>
      <w:tr>
        <w:trPr>
          <w:cantSplit w:val="true"/>
        </w:trPr>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Webhook event</w:t>
            </w:r>
          </w:p>
        </w:tc>
        <w:tc>
          <w:tcPr>
            <w:tcW w:type="dxa" w:w="7660"/>
            <w:shd w:fill="F3F6F4"/>
            <w:tcMar>
              <w:top w:w="80" w:type="dxa"/>
              <w:start w:w="120" w:type="dxa"/>
              <w:bottom w:w="80" w:type="dxa"/>
              <w:end w:w="120" w:type="dxa"/>
            </w:tcMar>
            <w:vAlign w:val="center"/>
          </w:tcPr>
          <w:p>
            <w:pPr>
              <w:spacing w:after="0" w:line="252" w:lineRule="auto"/>
            </w:pPr>
            <w:r>
              <w:rPr>
                <w:rFonts w:ascii="Calibri" w:hAnsi="Calibri"/>
                <w:color w:val="17212B"/>
                <w:sz w:val="18"/>
              </w:rPr>
              <w:t>provider event ID, type, signature result, received time, processing state, retry count, related record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Audit event</w:t>
            </w:r>
          </w:p>
        </w:tc>
        <w:tc>
          <w:tcPr>
            <w:tcW w:type="dxa" w:w="7660"/>
            <w:tcMar>
              <w:top w:w="80" w:type="dxa"/>
              <w:start w:w="120" w:type="dxa"/>
              <w:bottom w:w="80" w:type="dxa"/>
              <w:end w:w="120" w:type="dxa"/>
            </w:tcMar>
            <w:vAlign w:val="center"/>
          </w:tcPr>
          <w:p>
            <w:pPr>
              <w:spacing w:after="0" w:line="252" w:lineRule="auto"/>
            </w:pPr>
            <w:r>
              <w:rPr>
                <w:rFonts w:ascii="Calibri" w:hAnsi="Calibri"/>
                <w:color w:val="17212B"/>
                <w:sz w:val="18"/>
              </w:rPr>
              <w:t>actor, action, entity, before and after summary, time, request correlation ID</w:t>
            </w:r>
          </w:p>
        </w:tc>
      </w:tr>
    </w:tbl>
    <w:p>
      <w:pPr>
        <w:spacing w:after="40"/>
      </w:pPr>
    </w:p>
    <w:p>
      <w:pPr>
        <w:pStyle w:val="Heading2"/>
      </w:pPr>
      <w:r>
        <w:t>Core operating states</w:t>
      </w:r>
    </w:p>
    <w:p>
      <w:pPr>
        <w:keepLines w:val="0"/>
      </w:pPr>
      <w:r>
        <w:rPr>
          <w:rFonts w:ascii="Calibri" w:hAnsi="Calibri"/>
          <w:i w:val="0"/>
          <w:color w:val="17212B"/>
        </w:rPr>
        <w:t>Lead: new → validated → assigned → contacted → converted or closed. Quote: draft → active → accepted, expired, or superseded. Subscription mirror: incomplete → active → past due, paused, canceled, or unpaid according to provider events. Job: requested → scheduled → assigned → in progress → completed, with canceled and no-access branches. Every transition is timestamped; marketing consent remains separate from service communication.</w:t>
      </w:r>
    </w:p>
    <w:p>
      <w:pPr>
        <w:pStyle w:val="Heading2"/>
      </w:pPr>
      <w:r>
        <w:t>Recommended technology</w:t>
      </w:r>
    </w:p>
    <w:p>
      <w:pPr>
        <w:pStyle w:val="ListBullet"/>
        <w:spacing w:after="80" w:line="276" w:lineRule="auto"/>
        <w:ind w:left="720" w:hanging="360"/>
      </w:pPr>
      <w:r>
        <w:rPr>
          <w:rFonts w:ascii="Calibri" w:hAnsi="Calibri"/>
          <w:color w:val="17212B"/>
        </w:rPr>
        <w:t>Frontend and server rendering: Next.js with TypeScript and the App Router, using server-rendered content pages and client components only for interactive islands.</w:t>
      </w:r>
    </w:p>
    <w:p>
      <w:pPr>
        <w:pStyle w:val="ListBullet"/>
        <w:spacing w:after="80" w:line="276" w:lineRule="auto"/>
        <w:ind w:left="720" w:hanging="360"/>
      </w:pPr>
      <w:r>
        <w:rPr>
          <w:rFonts w:ascii="Calibri" w:hAnsi="Calibri"/>
          <w:color w:val="17212B"/>
        </w:rPr>
        <w:t>Styling: CSS variables and a documented component layer. Tailwind is acceptable if tokens and components are intentionally designed rather than assembled from default examples.</w:t>
      </w:r>
    </w:p>
    <w:p>
      <w:pPr>
        <w:pStyle w:val="ListBullet"/>
        <w:spacing w:after="80" w:line="276" w:lineRule="auto"/>
        <w:ind w:left="720" w:hanging="360"/>
      </w:pPr>
      <w:r>
        <w:rPr>
          <w:rFonts w:ascii="Calibri" w:hAnsi="Calibri"/>
          <w:color w:val="17212B"/>
        </w:rPr>
        <w:t>Content and media: an internal content and media module backed by Supabase Storage, with drafts, role controls, asset approval, license metadata, and focal-point crops. No third-party CMS is required for the one-week release.</w:t>
      </w:r>
    </w:p>
    <w:p>
      <w:pPr>
        <w:pStyle w:val="ListBullet"/>
        <w:spacing w:after="80" w:line="276" w:lineRule="auto"/>
        <w:ind w:left="720" w:hanging="360"/>
      </w:pPr>
      <w:r>
        <w:rPr>
          <w:rFonts w:ascii="Calibri" w:hAnsi="Calibri"/>
          <w:color w:val="17212B"/>
        </w:rPr>
        <w:t>Operational database: Supabase managed PostgreSQL for customers, service areas, price versions, quotes, Stripe mirrors, appointments, consent, webhook events, and audit history.</w:t>
      </w:r>
    </w:p>
    <w:p>
      <w:pPr>
        <w:pStyle w:val="ListBullet"/>
        <w:spacing w:after="80" w:line="276" w:lineRule="auto"/>
        <w:ind w:left="720" w:hanging="360"/>
      </w:pPr>
      <w:r>
        <w:rPr>
          <w:rFonts w:ascii="Calibri" w:hAnsi="Calibri"/>
          <w:color w:val="17212B"/>
        </w:rPr>
        <w:t>Authentication: Supabase Auth for staff sign-in with role-based authorization and row-level security. Customer billing self-service is provided by Stripe Customer Portal in release one.</w:t>
      </w:r>
    </w:p>
    <w:p>
      <w:pPr>
        <w:pStyle w:val="ListBullet"/>
        <w:spacing w:after="80" w:line="276" w:lineRule="auto"/>
        <w:ind w:left="720" w:hanging="360"/>
      </w:pPr>
      <w:r>
        <w:rPr>
          <w:rFonts w:ascii="Calibri" w:hAnsi="Calibri"/>
          <w:color w:val="17212B"/>
        </w:rPr>
        <w:t>Billing: Stripe Checkout for recurring and one-time purchase, Stripe Billing for subscription lifecycle, Stripe Customer Portal for billing self-service, and verified Stripe webhooks for synchronization.</w:t>
      </w:r>
    </w:p>
    <w:p>
      <w:pPr>
        <w:pStyle w:val="ListBullet"/>
        <w:spacing w:after="80" w:line="276" w:lineRule="auto"/>
        <w:ind w:left="720" w:hanging="360"/>
      </w:pPr>
      <w:r>
        <w:rPr>
          <w:rFonts w:ascii="Calibri" w:hAnsi="Calibri"/>
          <w:color w:val="17212B"/>
        </w:rPr>
        <w:t>CRM: a custom Pest Operations Console inside the application. HubSpot, Salesforce, PayPal, and field-service platforms are not release-one dependencies.</w:t>
      </w:r>
    </w:p>
    <w:p>
      <w:pPr>
        <w:pStyle w:val="ListBullet"/>
        <w:spacing w:after="80" w:line="276" w:lineRule="auto"/>
        <w:ind w:left="720" w:hanging="360"/>
      </w:pPr>
      <w:r>
        <w:rPr>
          <w:rFonts w:ascii="Calibri" w:hAnsi="Calibri"/>
          <w:color w:val="17212B"/>
        </w:rPr>
        <w:t>Messaging: Resend for transactional order, payment, and appointment emails. SMS remains optional until a sender account, consent policy, and budget are approved.</w:t>
      </w:r>
    </w:p>
    <w:p>
      <w:pPr>
        <w:pStyle w:val="ListBullet"/>
        <w:spacing w:after="80" w:line="276" w:lineRule="auto"/>
        <w:ind w:left="720" w:hanging="360"/>
      </w:pPr>
      <w:r>
        <w:rPr>
          <w:rFonts w:ascii="Calibri" w:hAnsi="Calibri"/>
          <w:color w:val="17212B"/>
        </w:rPr>
        <w:t>Hosting: Vercel for preview and production deployment, CDN, image optimization, environment isolation, logs, and custom-domain connection. Database backups remain managed through the selected Supabase plan.</w:t>
      </w:r>
    </w:p>
    <w:p>
      <w:pPr>
        <w:keepLines/>
        <w:spacing w:before="100" w:after="160"/>
        <w:ind w:left="115" w:right="115"/>
        <w:shd w:fill="E8F4ED"/>
        <w:pBdr>
          <w:left w:val="single" w:sz="18" w:space="6" w:color="2F8F63"/>
        </w:pBdr>
      </w:pPr>
      <w:r>
        <w:rPr>
          <w:rFonts w:ascii="Calibri" w:hAnsi="Calibri"/>
          <w:b/>
          <w:color w:val="2F8F63"/>
        </w:rPr>
        <w:t xml:space="preserve">Architecture principle  </w:t>
      </w:r>
      <w:r>
        <w:rPr>
          <w:rFonts w:ascii="Calibri" w:hAnsi="Calibri"/>
          <w:color w:val="17212B"/>
        </w:rPr>
        <w:t>Keep marketing content, operational records, and regulated payment data separate. Our database is the operational source of truth. The billing provider is the financial source of truth. CMS editors do not receive customer-record access unless their role requires it.</w:t>
      </w:r>
    </w:p>
    <w:p>
      <w:r>
        <w:br w:type="page"/>
      </w:r>
    </w:p>
    <w:p>
      <w:pPr>
        <w:pStyle w:val="Heading1"/>
      </w:pPr>
      <w:r>
        <w:t>9. System architecture</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val="true"/>
        </w:trPr>
        <w:tc>
          <w:tcPr>
            <w:tcW w:type="dxa" w:w="2050"/>
            <w:shd w:fill="0D2640"/>
            <w:tcMar>
              <w:top w:w="80" w:type="dxa"/>
              <w:start w:w="120" w:type="dxa"/>
              <w:bottom w:w="80" w:type="dxa"/>
              <w:end w:w="120" w:type="dxa"/>
            </w:tcMar>
            <w:vAlign w:val="center"/>
          </w:tcPr>
          <w:p>
            <w:pPr>
              <w:spacing w:after="0"/>
            </w:pPr>
            <w:r>
              <w:rPr>
                <w:rFonts w:ascii="Calibri" w:hAnsi="Calibri"/>
                <w:b/>
                <w:color w:val="FFFFFF"/>
                <w:sz w:val="19"/>
              </w:rPr>
              <w:t>Layer</w:t>
            </w:r>
          </w:p>
        </w:tc>
        <w:tc>
          <w:tcPr>
            <w:tcW w:type="dxa" w:w="7310"/>
            <w:shd w:fill="0D2640"/>
            <w:tcMar>
              <w:top w:w="80" w:type="dxa"/>
              <w:start w:w="120" w:type="dxa"/>
              <w:bottom w:w="80" w:type="dxa"/>
              <w:end w:w="120" w:type="dxa"/>
            </w:tcMar>
            <w:vAlign w:val="center"/>
          </w:tcPr>
          <w:p>
            <w:pPr>
              <w:spacing w:after="0"/>
            </w:pPr>
            <w:r>
              <w:rPr>
                <w:rFonts w:ascii="Calibri" w:hAnsi="Calibri"/>
                <w:b/>
                <w:color w:val="FFFFFF"/>
                <w:sz w:val="19"/>
              </w:rPr>
              <w:t>Responsibility</w:t>
            </w:r>
          </w:p>
        </w:tc>
      </w:tr>
      <w:tr>
        <w:trPr>
          <w:cantSplit w:val="true"/>
        </w:trPr>
        <w:tc>
          <w:tcPr>
            <w:tcW w:type="dxa" w:w="2050"/>
            <w:tcMar>
              <w:top w:w="80" w:type="dxa"/>
              <w:start w:w="120" w:type="dxa"/>
              <w:bottom w:w="80" w:type="dxa"/>
              <w:end w:w="120" w:type="dxa"/>
            </w:tcMar>
            <w:vAlign w:val="center"/>
          </w:tcPr>
          <w:p>
            <w:pPr>
              <w:spacing w:after="0" w:line="252" w:lineRule="auto"/>
            </w:pPr>
            <w:r>
              <w:rPr>
                <w:rFonts w:ascii="Calibri" w:hAnsi="Calibri"/>
                <w:color w:val="17212B"/>
                <w:sz w:val="18"/>
              </w:rPr>
              <w:t>Browser</w:t>
            </w:r>
          </w:p>
        </w:tc>
        <w:tc>
          <w:tcPr>
            <w:tcW w:type="dxa" w:w="7310"/>
            <w:tcMar>
              <w:top w:w="80" w:type="dxa"/>
              <w:start w:w="120" w:type="dxa"/>
              <w:bottom w:w="80" w:type="dxa"/>
              <w:end w:w="120" w:type="dxa"/>
            </w:tcMar>
            <w:vAlign w:val="center"/>
          </w:tcPr>
          <w:p>
            <w:pPr>
              <w:spacing w:after="0" w:line="252" w:lineRule="auto"/>
            </w:pPr>
            <w:r>
              <w:rPr>
                <w:rFonts w:ascii="Calibri" w:hAnsi="Calibri"/>
                <w:color w:val="17212B"/>
                <w:sz w:val="18"/>
              </w:rPr>
              <w:t>Rendered pages, accessible interactions, local form state, performance-safe analytics.</w:t>
            </w:r>
          </w:p>
        </w:tc>
      </w:tr>
      <w:tr>
        <w:trPr>
          <w:cantSplit w:val="true"/>
        </w:trPr>
        <w:tc>
          <w:tcPr>
            <w:tcW w:type="dxa" w:w="2050"/>
            <w:shd w:fill="F3F6F4"/>
            <w:tcMar>
              <w:top w:w="80" w:type="dxa"/>
              <w:start w:w="120" w:type="dxa"/>
              <w:bottom w:w="80" w:type="dxa"/>
              <w:end w:w="120" w:type="dxa"/>
            </w:tcMar>
            <w:vAlign w:val="center"/>
          </w:tcPr>
          <w:p>
            <w:pPr>
              <w:spacing w:after="0" w:line="252" w:lineRule="auto"/>
            </w:pPr>
            <w:r>
              <w:rPr>
                <w:rFonts w:ascii="Calibri" w:hAnsi="Calibri"/>
                <w:color w:val="17212B"/>
                <w:sz w:val="18"/>
              </w:rPr>
              <w:t>Web application</w:t>
            </w:r>
          </w:p>
        </w:tc>
        <w:tc>
          <w:tcPr>
            <w:tcW w:type="dxa" w:w="7310"/>
            <w:shd w:fill="F3F6F4"/>
            <w:tcMar>
              <w:top w:w="80" w:type="dxa"/>
              <w:start w:w="120" w:type="dxa"/>
              <w:bottom w:w="80" w:type="dxa"/>
              <w:end w:w="120" w:type="dxa"/>
            </w:tcMar>
            <w:vAlign w:val="center"/>
          </w:tcPr>
          <w:p>
            <w:pPr>
              <w:spacing w:after="0" w:line="252" w:lineRule="auto"/>
            </w:pPr>
            <w:r>
              <w:rPr>
                <w:rFonts w:ascii="Calibri" w:hAnsi="Calibri"/>
                <w:color w:val="17212B"/>
                <w:sz w:val="18"/>
              </w:rPr>
              <w:t>Public routes, customer checkout, server rendering, validation, SEO metadata, customer account, and the authenticated Pest Operations Console.</w:t>
            </w:r>
          </w:p>
        </w:tc>
      </w:tr>
      <w:tr>
        <w:trPr>
          <w:cantSplit w:val="true"/>
        </w:trPr>
        <w:tc>
          <w:tcPr>
            <w:tcW w:type="dxa" w:w="2050"/>
            <w:tcMar>
              <w:top w:w="80" w:type="dxa"/>
              <w:start w:w="120" w:type="dxa"/>
              <w:bottom w:w="80" w:type="dxa"/>
              <w:end w:w="120" w:type="dxa"/>
            </w:tcMar>
            <w:vAlign w:val="center"/>
          </w:tcPr>
          <w:p>
            <w:pPr>
              <w:spacing w:after="0" w:line="252" w:lineRule="auto"/>
            </w:pPr>
            <w:r>
              <w:rPr>
                <w:rFonts w:ascii="Calibri" w:hAnsi="Calibri"/>
                <w:color w:val="17212B"/>
                <w:sz w:val="18"/>
              </w:rPr>
              <w:t>API and workflow</w:t>
            </w:r>
          </w:p>
        </w:tc>
        <w:tc>
          <w:tcPr>
            <w:tcW w:type="dxa" w:w="7310"/>
            <w:tcMar>
              <w:top w:w="80" w:type="dxa"/>
              <w:start w:w="120" w:type="dxa"/>
              <w:bottom w:w="80" w:type="dxa"/>
              <w:end w:w="120" w:type="dxa"/>
            </w:tcMar>
            <w:vAlign w:val="center"/>
          </w:tcPr>
          <w:p>
            <w:pPr>
              <w:spacing w:after="0" w:line="252" w:lineRule="auto"/>
            </w:pPr>
            <w:r>
              <w:rPr>
                <w:rFonts w:ascii="Calibri" w:hAnsi="Calibri"/>
                <w:color w:val="17212B"/>
                <w:sz w:val="18"/>
              </w:rPr>
              <w:t>Eligibility, quote generation, checkout sessions, webhook ingestion, appointment onboarding, messaging, rate limits, and idempotent state transitions.</w:t>
            </w:r>
          </w:p>
        </w:tc>
      </w:tr>
      <w:tr>
        <w:trPr>
          <w:cantSplit w:val="true"/>
        </w:trPr>
        <w:tc>
          <w:tcPr>
            <w:tcW w:type="dxa" w:w="2050"/>
            <w:shd w:fill="F3F6F4"/>
            <w:tcMar>
              <w:top w:w="80" w:type="dxa"/>
              <w:start w:w="120" w:type="dxa"/>
              <w:bottom w:w="80" w:type="dxa"/>
              <w:end w:w="120" w:type="dxa"/>
            </w:tcMar>
            <w:vAlign w:val="center"/>
          </w:tcPr>
          <w:p>
            <w:pPr>
              <w:spacing w:after="0" w:line="252" w:lineRule="auto"/>
            </w:pPr>
            <w:r>
              <w:rPr>
                <w:rFonts w:ascii="Calibri" w:hAnsi="Calibri"/>
                <w:color w:val="17212B"/>
                <w:sz w:val="18"/>
              </w:rPr>
              <w:t>CMS and media</w:t>
            </w:r>
          </w:p>
        </w:tc>
        <w:tc>
          <w:tcPr>
            <w:tcW w:type="dxa" w:w="7310"/>
            <w:shd w:fill="F3F6F4"/>
            <w:tcMar>
              <w:top w:w="80" w:type="dxa"/>
              <w:start w:w="120" w:type="dxa"/>
              <w:bottom w:w="80" w:type="dxa"/>
              <w:end w:w="120" w:type="dxa"/>
            </w:tcMar>
            <w:vAlign w:val="center"/>
          </w:tcPr>
          <w:p>
            <w:pPr>
              <w:spacing w:after="0" w:line="252" w:lineRule="auto"/>
            </w:pPr>
            <w:r>
              <w:rPr>
                <w:rFonts w:ascii="Calibri" w:hAnsi="Calibri"/>
                <w:color w:val="17212B"/>
                <w:sz w:val="18"/>
              </w:rPr>
              <w:t>Pest pages, plans, FAQs, reviews, approved photography, temporary brand assets, offers, navigation, and SEO fields.</w:t>
            </w:r>
          </w:p>
        </w:tc>
      </w:tr>
      <w:tr>
        <w:trPr>
          <w:cantSplit w:val="true"/>
        </w:trPr>
        <w:tc>
          <w:tcPr>
            <w:tcW w:type="dxa" w:w="2050"/>
            <w:tcMar>
              <w:top w:w="80" w:type="dxa"/>
              <w:start w:w="120" w:type="dxa"/>
              <w:bottom w:w="80" w:type="dxa"/>
              <w:end w:w="120" w:type="dxa"/>
            </w:tcMar>
            <w:vAlign w:val="center"/>
          </w:tcPr>
          <w:p>
            <w:pPr>
              <w:spacing w:after="0" w:line="252" w:lineRule="auto"/>
            </w:pPr>
            <w:r>
              <w:rPr>
                <w:rFonts w:ascii="Calibri" w:hAnsi="Calibri"/>
                <w:color w:val="17212B"/>
                <w:sz w:val="18"/>
              </w:rPr>
              <w:t>Operational data</w:t>
            </w:r>
          </w:p>
        </w:tc>
        <w:tc>
          <w:tcPr>
            <w:tcW w:type="dxa" w:w="7310"/>
            <w:tcMar>
              <w:top w:w="80" w:type="dxa"/>
              <w:start w:w="120" w:type="dxa"/>
              <w:bottom w:w="80" w:type="dxa"/>
              <w:end w:w="120" w:type="dxa"/>
            </w:tcMar>
            <w:vAlign w:val="center"/>
          </w:tcPr>
          <w:p>
            <w:pPr>
              <w:spacing w:after="0" w:line="252" w:lineRule="auto"/>
            </w:pPr>
            <w:r>
              <w:rPr>
                <w:rFonts w:ascii="Calibri" w:hAnsi="Calibri"/>
                <w:color w:val="17212B"/>
                <w:sz w:val="18"/>
              </w:rPr>
              <w:t>PostgreSQL records for customers, addresses, service areas, price versions, quotes, billing mirrors, appointments, jobs, consent, webhook receipts, and audit history.</w:t>
            </w:r>
          </w:p>
        </w:tc>
      </w:tr>
      <w:tr>
        <w:trPr>
          <w:cantSplit w:val="true"/>
        </w:trPr>
        <w:tc>
          <w:tcPr>
            <w:tcW w:type="dxa" w:w="2050"/>
            <w:shd w:fill="F3F6F4"/>
            <w:tcMar>
              <w:top w:w="80" w:type="dxa"/>
              <w:start w:w="120" w:type="dxa"/>
              <w:bottom w:w="80" w:type="dxa"/>
              <w:end w:w="120" w:type="dxa"/>
            </w:tcMar>
            <w:vAlign w:val="center"/>
          </w:tcPr>
          <w:p>
            <w:pPr>
              <w:spacing w:after="0" w:line="252" w:lineRule="auto"/>
            </w:pPr>
            <w:r>
              <w:rPr>
                <w:rFonts w:ascii="Calibri" w:hAnsi="Calibri"/>
                <w:color w:val="17212B"/>
                <w:sz w:val="18"/>
              </w:rPr>
              <w:t>Billing provider</w:t>
            </w:r>
          </w:p>
        </w:tc>
        <w:tc>
          <w:tcPr>
            <w:tcW w:type="dxa" w:w="7310"/>
            <w:shd w:fill="F3F6F4"/>
            <w:tcMar>
              <w:top w:w="80" w:type="dxa"/>
              <w:start w:w="120" w:type="dxa"/>
              <w:bottom w:w="80" w:type="dxa"/>
              <w:end w:w="120" w:type="dxa"/>
            </w:tcMar>
            <w:vAlign w:val="center"/>
          </w:tcPr>
          <w:p>
            <w:pPr>
              <w:spacing w:after="0" w:line="252" w:lineRule="auto"/>
            </w:pPr>
            <w:r>
              <w:rPr>
                <w:rFonts w:ascii="Calibri" w:hAnsi="Calibri"/>
                <w:color w:val="17212B"/>
                <w:sz w:val="18"/>
              </w:rPr>
              <w:t>Hosted payment collection, card vault, recurring invoices, authentication, retries, refunds, receipts, and customer billing portal.</w:t>
            </w:r>
          </w:p>
        </w:tc>
      </w:tr>
      <w:tr>
        <w:trPr>
          <w:cantSplit w:val="true"/>
        </w:trPr>
        <w:tc>
          <w:tcPr>
            <w:tcW w:type="dxa" w:w="2050"/>
            <w:tcMar>
              <w:top w:w="80" w:type="dxa"/>
              <w:start w:w="120" w:type="dxa"/>
              <w:bottom w:w="80" w:type="dxa"/>
              <w:end w:w="120" w:type="dxa"/>
            </w:tcMar>
            <w:vAlign w:val="center"/>
          </w:tcPr>
          <w:p>
            <w:pPr>
              <w:spacing w:after="0" w:line="252" w:lineRule="auto"/>
            </w:pPr>
            <w:r>
              <w:rPr>
                <w:rFonts w:ascii="Calibri" w:hAnsi="Calibri"/>
                <w:color w:val="17212B"/>
                <w:sz w:val="18"/>
              </w:rPr>
              <w:t>External services</w:t>
            </w:r>
          </w:p>
        </w:tc>
        <w:tc>
          <w:tcPr>
            <w:tcW w:type="dxa" w:w="7310"/>
            <w:tcMar>
              <w:top w:w="80" w:type="dxa"/>
              <w:start w:w="120" w:type="dxa"/>
              <w:bottom w:w="80" w:type="dxa"/>
              <w:end w:w="120" w:type="dxa"/>
            </w:tcMar>
            <w:vAlign w:val="center"/>
          </w:tcPr>
          <w:p>
            <w:pPr>
              <w:spacing w:after="0" w:line="252" w:lineRule="auto"/>
            </w:pPr>
            <w:r>
              <w:rPr>
                <w:rFonts w:ascii="Calibri" w:hAnsi="Calibri"/>
                <w:color w:val="17212B"/>
                <w:sz w:val="18"/>
              </w:rPr>
              <w:t>Email or SMS, monitoring, analytics, and optional address normalization. Eligibility always remains controlled by our database.</w:t>
            </w:r>
          </w:p>
        </w:tc>
      </w:tr>
    </w:tbl>
    <w:p>
      <w:pPr>
        <w:spacing w:after="40"/>
      </w:pPr>
    </w:p>
    <w:p>
      <w:pPr>
        <w:pStyle w:val="Heading2"/>
      </w:pPr>
      <w:r>
        <w:t>Suggested API surface</w:t>
      </w:r>
    </w:p>
    <w:tbl>
      <w:tblPr>
        <w:tblStyle w:val="TableGrid"/>
        <w:tblW w:type="dxa" w:w="9360"/>
        <w:jc w:val="left"/>
        <w:tblLayout w:type="fixed"/>
        <w:tblLook w:firstColumn="1" w:firstRow="1" w:lastColumn="0" w:lastRow="0" w:noHBand="0" w:noVBand="1" w:val="04A0"/>
        <w:tblInd w:w="120" w:type="dxa"/>
      </w:tblPr>
      <w:tblGrid>
        <w:gridCol w:w="2350"/>
        <w:gridCol w:w="3600"/>
        <w:gridCol w:w="3410"/>
      </w:tblGrid>
      <w:tr>
        <w:trPr>
          <w:tblHeader w:val="true"/>
          <w:cantSplit w:val="true"/>
        </w:trPr>
        <w:tc>
          <w:tcPr>
            <w:tcW w:type="dxa" w:w="2350"/>
            <w:shd w:fill="0D2640"/>
            <w:tcMar>
              <w:top w:w="80" w:type="dxa"/>
              <w:start w:w="120" w:type="dxa"/>
              <w:bottom w:w="80" w:type="dxa"/>
              <w:end w:w="120" w:type="dxa"/>
            </w:tcMar>
            <w:vAlign w:val="center"/>
          </w:tcPr>
          <w:p>
            <w:pPr>
              <w:spacing w:after="0"/>
            </w:pPr>
            <w:r>
              <w:rPr>
                <w:rFonts w:ascii="Calibri" w:hAnsi="Calibri"/>
                <w:b/>
                <w:color w:val="FFFFFF"/>
                <w:sz w:val="19"/>
              </w:rPr>
              <w:t>Endpoint</w:t>
            </w:r>
          </w:p>
        </w:tc>
        <w:tc>
          <w:tcPr>
            <w:tcW w:type="dxa" w:w="3600"/>
            <w:shd w:fill="0D2640"/>
            <w:tcMar>
              <w:top w:w="80" w:type="dxa"/>
              <w:start w:w="120" w:type="dxa"/>
              <w:bottom w:w="80" w:type="dxa"/>
              <w:end w:w="120" w:type="dxa"/>
            </w:tcMar>
            <w:vAlign w:val="center"/>
          </w:tcPr>
          <w:p>
            <w:pPr>
              <w:spacing w:after="0"/>
            </w:pPr>
            <w:r>
              <w:rPr>
                <w:rFonts w:ascii="Calibri" w:hAnsi="Calibri"/>
                <w:b/>
                <w:color w:val="FFFFFF"/>
                <w:sz w:val="19"/>
              </w:rPr>
              <w:t>Purpose</w:t>
            </w:r>
          </w:p>
        </w:tc>
        <w:tc>
          <w:tcPr>
            <w:tcW w:type="dxa" w:w="3410"/>
            <w:shd w:fill="0D2640"/>
            <w:tcMar>
              <w:top w:w="80" w:type="dxa"/>
              <w:start w:w="120" w:type="dxa"/>
              <w:bottom w:w="80" w:type="dxa"/>
              <w:end w:w="120" w:type="dxa"/>
            </w:tcMar>
            <w:vAlign w:val="center"/>
          </w:tcPr>
          <w:p>
            <w:pPr>
              <w:spacing w:after="0"/>
            </w:pPr>
            <w:r>
              <w:rPr>
                <w:rFonts w:ascii="Calibri" w:hAnsi="Calibri"/>
                <w:b/>
                <w:color w:val="FFFFFF"/>
                <w:sz w:val="19"/>
              </w:rPr>
              <w:t>Protection</w:t>
            </w:r>
          </w:p>
        </w:tc>
      </w:tr>
      <w:tr>
        <w:trPr>
          <w:cantSplit w:val="true"/>
        </w:trPr>
        <w:tc>
          <w:tcPr>
            <w:tcW w:type="dxa" w:w="2350"/>
            <w:tcMar>
              <w:top w:w="80" w:type="dxa"/>
              <w:start w:w="120" w:type="dxa"/>
              <w:bottom w:w="80" w:type="dxa"/>
              <w:end w:w="120" w:type="dxa"/>
            </w:tcMar>
            <w:vAlign w:val="center"/>
          </w:tcPr>
          <w:p>
            <w:pPr>
              <w:spacing w:after="0" w:line="252" w:lineRule="auto"/>
            </w:pPr>
            <w:r>
              <w:rPr>
                <w:rFonts w:ascii="Calibri" w:hAnsi="Calibri"/>
                <w:color w:val="17212B"/>
                <w:sz w:val="18"/>
              </w:rPr>
              <w:t>GET /api/service-area</w:t>
            </w:r>
          </w:p>
        </w:tc>
        <w:tc>
          <w:tcPr>
            <w:tcW w:type="dxa" w:w="3600"/>
            <w:tcMar>
              <w:top w:w="80" w:type="dxa"/>
              <w:start w:w="120" w:type="dxa"/>
              <w:bottom w:w="80" w:type="dxa"/>
              <w:end w:w="120" w:type="dxa"/>
            </w:tcMar>
            <w:vAlign w:val="center"/>
          </w:tcPr>
          <w:p>
            <w:pPr>
              <w:spacing w:after="0" w:line="252" w:lineRule="auto"/>
            </w:pPr>
            <w:r>
              <w:rPr>
                <w:rFonts w:ascii="Calibri" w:hAnsi="Calibri"/>
                <w:color w:val="17212B"/>
                <w:sz w:val="18"/>
              </w:rPr>
              <w:t>Check address or postal eligibility.</w:t>
            </w:r>
          </w:p>
        </w:tc>
        <w:tc>
          <w:tcPr>
            <w:tcW w:type="dxa" w:w="3410"/>
            <w:tcMar>
              <w:top w:w="80" w:type="dxa"/>
              <w:start w:w="120" w:type="dxa"/>
              <w:bottom w:w="80" w:type="dxa"/>
              <w:end w:w="120" w:type="dxa"/>
            </w:tcMar>
            <w:vAlign w:val="center"/>
          </w:tcPr>
          <w:p>
            <w:pPr>
              <w:spacing w:after="0" w:line="252" w:lineRule="auto"/>
            </w:pPr>
            <w:r>
              <w:rPr>
                <w:rFonts w:ascii="Calibri" w:hAnsi="Calibri"/>
                <w:color w:val="17212B"/>
                <w:sz w:val="18"/>
              </w:rPr>
              <w:t>Rate limit, input normalization, cache safe responses.</w:t>
            </w:r>
          </w:p>
        </w:tc>
      </w:tr>
      <w:tr>
        <w:trPr>
          <w:cantSplit w:val="true"/>
        </w:trPr>
        <w:tc>
          <w:tcPr>
            <w:tcW w:type="dxa" w:w="2350"/>
            <w:shd w:fill="F3F6F4"/>
            <w:tcMar>
              <w:top w:w="80" w:type="dxa"/>
              <w:start w:w="120" w:type="dxa"/>
              <w:bottom w:w="80" w:type="dxa"/>
              <w:end w:w="120" w:type="dxa"/>
            </w:tcMar>
            <w:vAlign w:val="center"/>
          </w:tcPr>
          <w:p>
            <w:pPr>
              <w:spacing w:after="0" w:line="252" w:lineRule="auto"/>
            </w:pPr>
            <w:r>
              <w:rPr>
                <w:rFonts w:ascii="Calibri" w:hAnsi="Calibri"/>
                <w:color w:val="17212B"/>
                <w:sz w:val="18"/>
              </w:rPr>
              <w:t>GET /api/plans</w:t>
            </w:r>
          </w:p>
        </w:tc>
        <w:tc>
          <w:tcPr>
            <w:tcW w:type="dxa" w:w="3600"/>
            <w:shd w:fill="F3F6F4"/>
            <w:tcMar>
              <w:top w:w="80" w:type="dxa"/>
              <w:start w:w="120" w:type="dxa"/>
              <w:bottom w:w="80" w:type="dxa"/>
              <w:end w:w="120" w:type="dxa"/>
            </w:tcMar>
            <w:vAlign w:val="center"/>
          </w:tcPr>
          <w:p>
            <w:pPr>
              <w:spacing w:after="0" w:line="252" w:lineRule="auto"/>
            </w:pPr>
            <w:r>
              <w:rPr>
                <w:rFonts w:ascii="Calibri" w:hAnsi="Calibri"/>
                <w:color w:val="17212B"/>
                <w:sz w:val="18"/>
              </w:rPr>
              <w:t>Return active plans and display prices for a service area.</w:t>
            </w:r>
          </w:p>
        </w:tc>
        <w:tc>
          <w:tcPr>
            <w:tcW w:type="dxa" w:w="3410"/>
            <w:shd w:fill="F3F6F4"/>
            <w:tcMar>
              <w:top w:w="80" w:type="dxa"/>
              <w:start w:w="120" w:type="dxa"/>
              <w:bottom w:w="80" w:type="dxa"/>
              <w:end w:w="120" w:type="dxa"/>
            </w:tcMar>
            <w:vAlign w:val="center"/>
          </w:tcPr>
          <w:p>
            <w:pPr>
              <w:spacing w:after="0" w:line="252" w:lineRule="auto"/>
            </w:pPr>
            <w:r>
              <w:rPr>
                <w:rFonts w:ascii="Calibri" w:hAnsi="Calibri"/>
                <w:color w:val="17212B"/>
                <w:sz w:val="18"/>
              </w:rPr>
              <w:t>Public read, cache, server-side source of truth, effective-date checks.</w:t>
            </w:r>
          </w:p>
        </w:tc>
      </w:tr>
      <w:tr>
        <w:trPr>
          <w:cantSplit w:val="true"/>
        </w:trPr>
        <w:tc>
          <w:tcPr>
            <w:tcW w:type="dxa" w:w="2350"/>
            <w:tcMar>
              <w:top w:w="80" w:type="dxa"/>
              <w:start w:w="120" w:type="dxa"/>
              <w:bottom w:w="80" w:type="dxa"/>
              <w:end w:w="120" w:type="dxa"/>
            </w:tcMar>
            <w:vAlign w:val="center"/>
          </w:tcPr>
          <w:p>
            <w:pPr>
              <w:spacing w:after="0" w:line="252" w:lineRule="auto"/>
            </w:pPr>
            <w:r>
              <w:rPr>
                <w:rFonts w:ascii="Calibri" w:hAnsi="Calibri"/>
                <w:color w:val="17212B"/>
                <w:sz w:val="18"/>
              </w:rPr>
              <w:t>POST /api/quotes</w:t>
            </w:r>
          </w:p>
        </w:tc>
        <w:tc>
          <w:tcPr>
            <w:tcW w:type="dxa" w:w="3600"/>
            <w:tcMar>
              <w:top w:w="80" w:type="dxa"/>
              <w:start w:w="120" w:type="dxa"/>
              <w:bottom w:w="80" w:type="dxa"/>
              <w:end w:w="120" w:type="dxa"/>
            </w:tcMar>
            <w:vAlign w:val="center"/>
          </w:tcPr>
          <w:p>
            <w:pPr>
              <w:spacing w:after="0" w:line="252" w:lineRule="auto"/>
            </w:pPr>
            <w:r>
              <w:rPr>
                <w:rFonts w:ascii="Calibri" w:hAnsi="Calibri"/>
                <w:color w:val="17212B"/>
                <w:sz w:val="18"/>
              </w:rPr>
              <w:t>Create a versioned, expiring quote.</w:t>
            </w:r>
          </w:p>
        </w:tc>
        <w:tc>
          <w:tcPr>
            <w:tcW w:type="dxa" w:w="3410"/>
            <w:tcMar>
              <w:top w:w="80" w:type="dxa"/>
              <w:start w:w="120" w:type="dxa"/>
              <w:bottom w:w="80" w:type="dxa"/>
              <w:end w:w="120" w:type="dxa"/>
            </w:tcMar>
            <w:vAlign w:val="center"/>
          </w:tcPr>
          <w:p>
            <w:pPr>
              <w:spacing w:after="0" w:line="252" w:lineRule="auto"/>
            </w:pPr>
            <w:r>
              <w:rPr>
                <w:rFonts w:ascii="Calibri" w:hAnsi="Calibri"/>
                <w:color w:val="17212B"/>
                <w:sz w:val="18"/>
              </w:rPr>
              <w:t>Server-calculated amounts, signed reference, rate limit, idempotency key.</w:t>
            </w:r>
          </w:p>
        </w:tc>
      </w:tr>
      <w:tr>
        <w:trPr>
          <w:cantSplit w:val="true"/>
        </w:trPr>
        <w:tc>
          <w:tcPr>
            <w:tcW w:type="dxa" w:w="2350"/>
            <w:shd w:fill="F3F6F4"/>
            <w:tcMar>
              <w:top w:w="80" w:type="dxa"/>
              <w:start w:w="120" w:type="dxa"/>
              <w:bottom w:w="80" w:type="dxa"/>
              <w:end w:w="120" w:type="dxa"/>
            </w:tcMar>
            <w:vAlign w:val="center"/>
          </w:tcPr>
          <w:p>
            <w:pPr>
              <w:spacing w:after="0" w:line="252" w:lineRule="auto"/>
            </w:pPr>
            <w:r>
              <w:rPr>
                <w:rFonts w:ascii="Calibri" w:hAnsi="Calibri"/>
                <w:color w:val="17212B"/>
                <w:sz w:val="18"/>
              </w:rPr>
              <w:t>POST /api/checkout/session</w:t>
            </w:r>
          </w:p>
        </w:tc>
        <w:tc>
          <w:tcPr>
            <w:tcW w:type="dxa" w:w="3600"/>
            <w:shd w:fill="F3F6F4"/>
            <w:tcMar>
              <w:top w:w="80" w:type="dxa"/>
              <w:start w:w="120" w:type="dxa"/>
              <w:bottom w:w="80" w:type="dxa"/>
              <w:end w:w="120" w:type="dxa"/>
            </w:tcMar>
            <w:vAlign w:val="center"/>
          </w:tcPr>
          <w:p>
            <w:pPr>
              <w:spacing w:after="0" w:line="252" w:lineRule="auto"/>
            </w:pPr>
            <w:r>
              <w:rPr>
                <w:rFonts w:ascii="Calibri" w:hAnsi="Calibri"/>
                <w:color w:val="17212B"/>
                <w:sz w:val="18"/>
              </w:rPr>
              <w:t>Create provider checkout for the accepted quote.</w:t>
            </w:r>
          </w:p>
        </w:tc>
        <w:tc>
          <w:tcPr>
            <w:tcW w:type="dxa" w:w="3410"/>
            <w:shd w:fill="F3F6F4"/>
            <w:tcMar>
              <w:top w:w="80" w:type="dxa"/>
              <w:start w:w="120" w:type="dxa"/>
              <w:bottom w:w="80" w:type="dxa"/>
              <w:end w:w="120" w:type="dxa"/>
            </w:tcMar>
            <w:vAlign w:val="center"/>
          </w:tcPr>
          <w:p>
            <w:pPr>
              <w:spacing w:after="0" w:line="252" w:lineRule="auto"/>
            </w:pPr>
            <w:r>
              <w:rPr>
                <w:rFonts w:ascii="Calibri" w:hAnsi="Calibri"/>
                <w:color w:val="17212B"/>
                <w:sz w:val="18"/>
              </w:rPr>
              <w:t>Revalidate quote and area, authenticated or signed session, never accept browser-supplied totals.</w:t>
            </w:r>
          </w:p>
        </w:tc>
      </w:tr>
      <w:tr>
        <w:trPr>
          <w:cantSplit w:val="true"/>
        </w:trPr>
        <w:tc>
          <w:tcPr>
            <w:tcW w:type="dxa" w:w="2350"/>
            <w:tcMar>
              <w:top w:w="80" w:type="dxa"/>
              <w:start w:w="120" w:type="dxa"/>
              <w:bottom w:w="80" w:type="dxa"/>
              <w:end w:w="120" w:type="dxa"/>
            </w:tcMar>
            <w:vAlign w:val="center"/>
          </w:tcPr>
          <w:p>
            <w:pPr>
              <w:spacing w:after="0" w:line="252" w:lineRule="auto"/>
            </w:pPr>
            <w:r>
              <w:rPr>
                <w:rFonts w:ascii="Calibri" w:hAnsi="Calibri"/>
                <w:color w:val="17212B"/>
                <w:sz w:val="18"/>
              </w:rPr>
              <w:t>POST /api/webhooks/billing</w:t>
            </w:r>
          </w:p>
        </w:tc>
        <w:tc>
          <w:tcPr>
            <w:tcW w:type="dxa" w:w="3600"/>
            <w:tcMar>
              <w:top w:w="80" w:type="dxa"/>
              <w:start w:w="120" w:type="dxa"/>
              <w:bottom w:w="80" w:type="dxa"/>
              <w:end w:w="120" w:type="dxa"/>
            </w:tcMar>
            <w:vAlign w:val="center"/>
          </w:tcPr>
          <w:p>
            <w:pPr>
              <w:spacing w:after="0" w:line="252" w:lineRule="auto"/>
            </w:pPr>
            <w:r>
              <w:rPr>
                <w:rFonts w:ascii="Calibri" w:hAnsi="Calibri"/>
                <w:color w:val="17212B"/>
                <w:sz w:val="18"/>
              </w:rPr>
              <w:t>Receive billing lifecycle events.</w:t>
            </w:r>
          </w:p>
        </w:tc>
        <w:tc>
          <w:tcPr>
            <w:tcW w:type="dxa" w:w="3410"/>
            <w:tcMar>
              <w:top w:w="80" w:type="dxa"/>
              <w:start w:w="120" w:type="dxa"/>
              <w:bottom w:w="80" w:type="dxa"/>
              <w:end w:w="120" w:type="dxa"/>
            </w:tcMar>
            <w:vAlign w:val="center"/>
          </w:tcPr>
          <w:p>
            <w:pPr>
              <w:spacing w:after="0" w:line="252" w:lineRule="auto"/>
            </w:pPr>
            <w:r>
              <w:rPr>
                <w:rFonts w:ascii="Calibri" w:hAnsi="Calibri"/>
                <w:color w:val="17212B"/>
                <w:sz w:val="18"/>
              </w:rPr>
              <w:t>Raw-body signature verification, provider event ID deduplication, quick response, queued processing.</w:t>
            </w:r>
          </w:p>
        </w:tc>
      </w:tr>
      <w:tr>
        <w:trPr>
          <w:cantSplit w:val="true"/>
        </w:trPr>
        <w:tc>
          <w:tcPr>
            <w:tcW w:type="dxa" w:w="2350"/>
            <w:shd w:fill="F3F6F4"/>
            <w:tcMar>
              <w:top w:w="80" w:type="dxa"/>
              <w:start w:w="120" w:type="dxa"/>
              <w:bottom w:w="80" w:type="dxa"/>
              <w:end w:w="120" w:type="dxa"/>
            </w:tcMar>
            <w:vAlign w:val="center"/>
          </w:tcPr>
          <w:p>
            <w:pPr>
              <w:spacing w:after="0" w:line="252" w:lineRule="auto"/>
            </w:pPr>
            <w:r>
              <w:rPr>
                <w:rFonts w:ascii="Calibri" w:hAnsi="Calibri"/>
                <w:color w:val="17212B"/>
                <w:sz w:val="18"/>
              </w:rPr>
              <w:t>POST /api/leads</w:t>
            </w:r>
          </w:p>
        </w:tc>
        <w:tc>
          <w:tcPr>
            <w:tcW w:type="dxa" w:w="3600"/>
            <w:shd w:fill="F3F6F4"/>
            <w:tcMar>
              <w:top w:w="80" w:type="dxa"/>
              <w:start w:w="120" w:type="dxa"/>
              <w:bottom w:w="80" w:type="dxa"/>
              <w:end w:w="120" w:type="dxa"/>
            </w:tcMar>
            <w:vAlign w:val="center"/>
          </w:tcPr>
          <w:p>
            <w:pPr>
              <w:spacing w:after="0" w:line="252" w:lineRule="auto"/>
            </w:pPr>
            <w:r>
              <w:rPr>
                <w:rFonts w:ascii="Calibri" w:hAnsi="Calibri"/>
                <w:color w:val="17212B"/>
                <w:sz w:val="18"/>
              </w:rPr>
              <w:t>Capture assisted, abandoned, or out-of-area requests.</w:t>
            </w:r>
          </w:p>
        </w:tc>
        <w:tc>
          <w:tcPr>
            <w:tcW w:type="dxa" w:w="3410"/>
            <w:shd w:fill="F3F6F4"/>
            <w:tcMar>
              <w:top w:w="80" w:type="dxa"/>
              <w:start w:w="120" w:type="dxa"/>
              <w:bottom w:w="80" w:type="dxa"/>
              <w:end w:w="120" w:type="dxa"/>
            </w:tcMar>
            <w:vAlign w:val="center"/>
          </w:tcPr>
          <w:p>
            <w:pPr>
              <w:spacing w:after="0" w:line="252" w:lineRule="auto"/>
            </w:pPr>
            <w:r>
              <w:rPr>
                <w:rFonts w:ascii="Calibri" w:hAnsi="Calibri"/>
                <w:color w:val="17212B"/>
                <w:sz w:val="18"/>
              </w:rPr>
              <w:t>Server validation, idempotency key, spam defense, audit log.</w:t>
            </w:r>
          </w:p>
        </w:tc>
      </w:tr>
      <w:tr>
        <w:trPr>
          <w:cantSplit w:val="true"/>
        </w:trPr>
        <w:tc>
          <w:tcPr>
            <w:tcW w:type="dxa" w:w="2350"/>
            <w:tcMar>
              <w:top w:w="80" w:type="dxa"/>
              <w:start w:w="120" w:type="dxa"/>
              <w:bottom w:w="80" w:type="dxa"/>
              <w:end w:w="120" w:type="dxa"/>
            </w:tcMar>
            <w:vAlign w:val="center"/>
          </w:tcPr>
          <w:p>
            <w:pPr>
              <w:spacing w:after="0" w:line="252" w:lineRule="auto"/>
            </w:pPr>
            <w:r>
              <w:rPr>
                <w:rFonts w:ascii="Calibri" w:hAnsi="Calibri"/>
                <w:color w:val="17212B"/>
                <w:sz w:val="18"/>
              </w:rPr>
              <w:t>GET /api/availability</w:t>
            </w:r>
          </w:p>
        </w:tc>
        <w:tc>
          <w:tcPr>
            <w:tcW w:type="dxa" w:w="3600"/>
            <w:tcMar>
              <w:top w:w="80" w:type="dxa"/>
              <w:start w:w="120" w:type="dxa"/>
              <w:bottom w:w="80" w:type="dxa"/>
              <w:end w:w="120" w:type="dxa"/>
            </w:tcMar>
            <w:vAlign w:val="center"/>
          </w:tcPr>
          <w:p>
            <w:pPr>
              <w:spacing w:after="0" w:line="252" w:lineRule="auto"/>
            </w:pPr>
            <w:r>
              <w:rPr>
                <w:rFonts w:ascii="Calibri" w:hAnsi="Calibri"/>
                <w:color w:val="17212B"/>
                <w:sz w:val="18"/>
              </w:rPr>
              <w:t>Return real or preference-based scheduling options.</w:t>
            </w:r>
          </w:p>
        </w:tc>
        <w:tc>
          <w:tcPr>
            <w:tcW w:type="dxa" w:w="3410"/>
            <w:tcMar>
              <w:top w:w="80" w:type="dxa"/>
              <w:start w:w="120" w:type="dxa"/>
              <w:bottom w:w="80" w:type="dxa"/>
              <w:end w:w="120" w:type="dxa"/>
            </w:tcMar>
            <w:vAlign w:val="center"/>
          </w:tcPr>
          <w:p>
            <w:pPr>
              <w:spacing w:after="0" w:line="252" w:lineRule="auto"/>
            </w:pPr>
            <w:r>
              <w:rPr>
                <w:rFonts w:ascii="Calibri" w:hAnsi="Calibri"/>
                <w:color w:val="17212B"/>
                <w:sz w:val="18"/>
              </w:rPr>
              <w:t>No claim of confirmation unless linked to capacity.</w:t>
            </w:r>
          </w:p>
        </w:tc>
      </w:tr>
      <w:tr>
        <w:trPr>
          <w:cantSplit w:val="true"/>
        </w:trPr>
        <w:tc>
          <w:tcPr>
            <w:tcW w:type="dxa" w:w="2350"/>
            <w:shd w:fill="F3F6F4"/>
            <w:tcMar>
              <w:top w:w="80" w:type="dxa"/>
              <w:start w:w="120" w:type="dxa"/>
              <w:bottom w:w="80" w:type="dxa"/>
              <w:end w:w="120" w:type="dxa"/>
            </w:tcMar>
            <w:vAlign w:val="center"/>
          </w:tcPr>
          <w:p>
            <w:pPr>
              <w:spacing w:after="0" w:line="252" w:lineRule="auto"/>
            </w:pPr>
            <w:r>
              <w:rPr>
                <w:rFonts w:ascii="Calibri" w:hAnsi="Calibri"/>
                <w:color w:val="17212B"/>
                <w:sz w:val="18"/>
              </w:rPr>
              <w:t>POST /api/appointments</w:t>
            </w:r>
          </w:p>
        </w:tc>
        <w:tc>
          <w:tcPr>
            <w:tcW w:type="dxa" w:w="3600"/>
            <w:shd w:fill="F3F6F4"/>
            <w:tcMar>
              <w:top w:w="80" w:type="dxa"/>
              <w:start w:w="120" w:type="dxa"/>
              <w:bottom w:w="80" w:type="dxa"/>
              <w:end w:w="120" w:type="dxa"/>
            </w:tcMar>
            <w:vAlign w:val="center"/>
          </w:tcPr>
          <w:p>
            <w:pPr>
              <w:spacing w:after="0" w:line="252" w:lineRule="auto"/>
            </w:pPr>
            <w:r>
              <w:rPr>
                <w:rFonts w:ascii="Calibri" w:hAnsi="Calibri"/>
                <w:color w:val="17212B"/>
                <w:sz w:val="18"/>
              </w:rPr>
              <w:t>Submit service onboarding or a scheduling request.</w:t>
            </w:r>
          </w:p>
        </w:tc>
        <w:tc>
          <w:tcPr>
            <w:tcW w:type="dxa" w:w="3410"/>
            <w:shd w:fill="F3F6F4"/>
            <w:tcMar>
              <w:top w:w="80" w:type="dxa"/>
              <w:start w:w="120" w:type="dxa"/>
              <w:bottom w:w="80" w:type="dxa"/>
              <w:end w:w="120" w:type="dxa"/>
            </w:tcMar>
            <w:vAlign w:val="center"/>
          </w:tcPr>
          <w:p>
            <w:pPr>
              <w:spacing w:after="0" w:line="252" w:lineRule="auto"/>
            </w:pPr>
            <w:r>
              <w:rPr>
                <w:rFonts w:ascii="Calibri" w:hAnsi="Calibri"/>
                <w:color w:val="17212B"/>
                <w:sz w:val="18"/>
              </w:rPr>
              <w:t>Paid or approved order reference, race handling, confirmation status.</w:t>
            </w:r>
          </w:p>
        </w:tc>
      </w:tr>
      <w:tr>
        <w:trPr>
          <w:cantSplit w:val="true"/>
        </w:trPr>
        <w:tc>
          <w:tcPr>
            <w:tcW w:type="dxa" w:w="2350"/>
            <w:tcMar>
              <w:top w:w="80" w:type="dxa"/>
              <w:start w:w="120" w:type="dxa"/>
              <w:bottom w:w="80" w:type="dxa"/>
              <w:end w:w="120" w:type="dxa"/>
            </w:tcMar>
            <w:vAlign w:val="center"/>
          </w:tcPr>
          <w:p>
            <w:pPr>
              <w:spacing w:after="0" w:line="252" w:lineRule="auto"/>
            </w:pPr>
            <w:r>
              <w:rPr>
                <w:rFonts w:ascii="Calibri" w:hAnsi="Calibri"/>
                <w:color w:val="17212B"/>
                <w:sz w:val="18"/>
              </w:rPr>
              <w:t>POST /api/billing-portal</w:t>
            </w:r>
          </w:p>
        </w:tc>
        <w:tc>
          <w:tcPr>
            <w:tcW w:type="dxa" w:w="3600"/>
            <w:tcMar>
              <w:top w:w="80" w:type="dxa"/>
              <w:start w:w="120" w:type="dxa"/>
              <w:bottom w:w="80" w:type="dxa"/>
              <w:end w:w="120" w:type="dxa"/>
            </w:tcMar>
            <w:vAlign w:val="center"/>
          </w:tcPr>
          <w:p>
            <w:pPr>
              <w:spacing w:after="0" w:line="252" w:lineRule="auto"/>
            </w:pPr>
            <w:r>
              <w:rPr>
                <w:rFonts w:ascii="Calibri" w:hAnsi="Calibri"/>
                <w:color w:val="17212B"/>
                <w:sz w:val="18"/>
              </w:rPr>
              <w:t>Create a short-lived customer billing-portal session.</w:t>
            </w:r>
          </w:p>
        </w:tc>
        <w:tc>
          <w:tcPr>
            <w:tcW w:type="dxa" w:w="3410"/>
            <w:tcMar>
              <w:top w:w="80" w:type="dxa"/>
              <w:start w:w="120" w:type="dxa"/>
              <w:bottom w:w="80" w:type="dxa"/>
              <w:end w:w="120" w:type="dxa"/>
            </w:tcMar>
            <w:vAlign w:val="center"/>
          </w:tcPr>
          <w:p>
            <w:pPr>
              <w:spacing w:after="0" w:line="252" w:lineRule="auto"/>
            </w:pPr>
            <w:r>
              <w:rPr>
                <w:rFonts w:ascii="Calibri" w:hAnsi="Calibri"/>
                <w:color w:val="17212B"/>
                <w:sz w:val="18"/>
              </w:rPr>
              <w:t>Authenticated customer, server-side ownership check, safe return URL.</w:t>
            </w:r>
          </w:p>
        </w:tc>
      </w:tr>
      <w:tr>
        <w:trPr>
          <w:cantSplit w:val="true"/>
        </w:trPr>
        <w:tc>
          <w:tcPr>
            <w:tcW w:type="dxa" w:w="2350"/>
            <w:shd w:fill="F3F6F4"/>
            <w:tcMar>
              <w:top w:w="80" w:type="dxa"/>
              <w:start w:w="120" w:type="dxa"/>
              <w:bottom w:w="80" w:type="dxa"/>
              <w:end w:w="120" w:type="dxa"/>
            </w:tcMar>
            <w:vAlign w:val="center"/>
          </w:tcPr>
          <w:p>
            <w:pPr>
              <w:spacing w:after="0" w:line="252" w:lineRule="auto"/>
            </w:pPr>
            <w:r>
              <w:rPr>
                <w:rFonts w:ascii="Calibri" w:hAnsi="Calibri"/>
                <w:color w:val="17212B"/>
                <w:sz w:val="18"/>
              </w:rPr>
              <w:t>POST /api/contact</w:t>
            </w:r>
          </w:p>
        </w:tc>
        <w:tc>
          <w:tcPr>
            <w:tcW w:type="dxa" w:w="3600"/>
            <w:shd w:fill="F3F6F4"/>
            <w:tcMar>
              <w:top w:w="80" w:type="dxa"/>
              <w:start w:w="120" w:type="dxa"/>
              <w:bottom w:w="80" w:type="dxa"/>
              <w:end w:w="120" w:type="dxa"/>
            </w:tcMar>
            <w:vAlign w:val="center"/>
          </w:tcPr>
          <w:p>
            <w:pPr>
              <w:spacing w:after="0" w:line="252" w:lineRule="auto"/>
            </w:pPr>
            <w:r>
              <w:rPr>
                <w:rFonts w:ascii="Calibri" w:hAnsi="Calibri"/>
                <w:color w:val="17212B"/>
                <w:sz w:val="18"/>
              </w:rPr>
              <w:t>General inquiry.</w:t>
            </w:r>
          </w:p>
        </w:tc>
        <w:tc>
          <w:tcPr>
            <w:tcW w:type="dxa" w:w="3410"/>
            <w:shd w:fill="F3F6F4"/>
            <w:tcMar>
              <w:top w:w="80" w:type="dxa"/>
              <w:start w:w="120" w:type="dxa"/>
              <w:bottom w:w="80" w:type="dxa"/>
              <w:end w:w="120" w:type="dxa"/>
            </w:tcMar>
            <w:vAlign w:val="center"/>
          </w:tcPr>
          <w:p>
            <w:pPr>
              <w:spacing w:after="0" w:line="252" w:lineRule="auto"/>
            </w:pPr>
            <w:r>
              <w:rPr>
                <w:rFonts w:ascii="Calibri" w:hAnsi="Calibri"/>
                <w:color w:val="17212B"/>
                <w:sz w:val="18"/>
              </w:rPr>
              <w:t>Rate limit, structured category, safe mail relay.</w:t>
            </w:r>
          </w:p>
        </w:tc>
      </w:tr>
    </w:tbl>
    <w:p>
      <w:pPr>
        <w:spacing w:after="40"/>
      </w:pPr>
    </w:p>
    <w:p>
      <w:pPr>
        <w:pStyle w:val="Heading2"/>
      </w:pPr>
      <w:r>
        <w:t>Security and privacy baseline</w:t>
      </w:r>
    </w:p>
    <w:p>
      <w:pPr>
        <w:pStyle w:val="ListBullet"/>
        <w:spacing w:after="80" w:line="276" w:lineRule="auto"/>
        <w:ind w:left="720" w:hanging="360"/>
      </w:pPr>
      <w:r>
        <w:rPr>
          <w:rFonts w:ascii="Calibri" w:hAnsi="Calibri"/>
          <w:color w:val="17212B"/>
        </w:rPr>
        <w:t>Collect the minimum personal data required for service qualification and scheduling.</w:t>
      </w:r>
    </w:p>
    <w:p>
      <w:pPr>
        <w:pStyle w:val="ListBullet"/>
        <w:spacing w:after="80" w:line="276" w:lineRule="auto"/>
        <w:ind w:left="720" w:hanging="360"/>
      </w:pPr>
      <w:r>
        <w:rPr>
          <w:rFonts w:ascii="Calibri" w:hAnsi="Calibri"/>
          <w:color w:val="17212B"/>
        </w:rPr>
        <w:t>Encrypt transport and managed storage; keep secrets server-side; rotate credentials.</w:t>
      </w:r>
    </w:p>
    <w:p>
      <w:pPr>
        <w:pStyle w:val="ListBullet"/>
        <w:spacing w:after="80" w:line="276" w:lineRule="auto"/>
        <w:ind w:left="720" w:hanging="360"/>
      </w:pPr>
      <w:r>
        <w:rPr>
          <w:rFonts w:ascii="Calibri" w:hAnsi="Calibri"/>
          <w:color w:val="17212B"/>
        </w:rPr>
        <w:t>Apply server-side schema validation, rate limits, bot protection, CSRF defenses where applicable, and safe output encoding.</w:t>
      </w:r>
    </w:p>
    <w:p>
      <w:pPr>
        <w:pStyle w:val="ListBullet"/>
        <w:spacing w:after="80" w:line="276" w:lineRule="auto"/>
        <w:ind w:left="720" w:hanging="360"/>
      </w:pPr>
      <w:r>
        <w:rPr>
          <w:rFonts w:ascii="Calibri" w:hAnsi="Calibri"/>
          <w:color w:val="17212B"/>
        </w:rPr>
        <w:t>Do not put names, emails, phone numbers, or full addresses in query strings, analytics events, logs, or client-side error payloads.</w:t>
      </w:r>
    </w:p>
    <w:p>
      <w:pPr>
        <w:pStyle w:val="ListBullet"/>
        <w:spacing w:after="80" w:line="276" w:lineRule="auto"/>
        <w:ind w:left="720" w:hanging="360"/>
      </w:pPr>
      <w:r>
        <w:rPr>
          <w:rFonts w:ascii="Calibri" w:hAnsi="Calibri"/>
          <w:color w:val="17212B"/>
        </w:rPr>
        <w:t>Record consent text and timestamp. Provide retention and deletion rules before launch.</w:t>
      </w:r>
    </w:p>
    <w:p>
      <w:pPr>
        <w:pStyle w:val="ListBullet"/>
        <w:spacing w:after="80" w:line="276" w:lineRule="auto"/>
        <w:ind w:left="720" w:hanging="360"/>
      </w:pPr>
      <w:r>
        <w:rPr>
          <w:rFonts w:ascii="Calibri" w:hAnsi="Calibri"/>
          <w:color w:val="17212B"/>
        </w:rPr>
        <w:t>Restrict admin access with role-based permissions and multi-factor authentication through the selected identity provider.</w:t>
      </w:r>
    </w:p>
    <w:p>
      <w:pPr>
        <w:pStyle w:val="ListBullet"/>
        <w:spacing w:after="80" w:line="276" w:lineRule="auto"/>
        <w:ind w:left="720" w:hanging="360"/>
      </w:pPr>
      <w:r>
        <w:rPr>
          <w:rFonts w:ascii="Calibri" w:hAnsi="Calibri"/>
          <w:color w:val="17212B"/>
        </w:rPr>
        <w:t>Verify billing webhook signatures, deduplicate provider event IDs, and make handlers safe to retry and safe when events arrive out of order.</w:t>
      </w:r>
    </w:p>
    <w:p>
      <w:pPr>
        <w:pStyle w:val="ListBullet"/>
        <w:spacing w:after="80" w:line="276" w:lineRule="auto"/>
        <w:ind w:left="720" w:hanging="360"/>
      </w:pPr>
      <w:r>
        <w:rPr>
          <w:rFonts w:ascii="Calibri" w:hAnsi="Calibri"/>
          <w:color w:val="17212B"/>
        </w:rPr>
        <w:t>Never store raw card numbers, card verification codes, or payment-provider secret keys in the browser, CMS, logs, or operational tables.</w:t>
      </w:r>
    </w:p>
    <w:p>
      <w:pPr>
        <w:pStyle w:val="Heading2"/>
      </w:pPr>
      <w:r>
        <w:t>9.1 CRM and billing operating model</w:t>
      </w:r>
    </w:p>
    <w:p>
      <w:pPr>
        <w:keepLines/>
        <w:spacing w:before="100" w:after="160"/>
        <w:ind w:left="115" w:right="115"/>
        <w:shd w:fill="E8F4ED"/>
        <w:pBdr>
          <w:left w:val="single" w:sz="18" w:space="6" w:color="2F8F63"/>
        </w:pBdr>
      </w:pPr>
      <w:r>
        <w:rPr>
          <w:rFonts w:ascii="Calibri" w:hAnsi="Calibri"/>
          <w:b/>
          <w:color w:val="2F8F63"/>
        </w:rPr>
        <w:t xml:space="preserve">Final boundary  </w:t>
      </w:r>
      <w:r>
        <w:rPr>
          <w:rFonts w:ascii="Calibri" w:hAnsi="Calibri"/>
          <w:color w:val="17212B"/>
        </w:rPr>
        <w:t>Build our own Pest Operations Console on Supabase, and use Stripe for the financial infrastructure. This gives the business a workflow that matches pest service without making a solo developer responsible for card security, recurring invoice engines, bank authentication, or collection retries.</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rPr>
          <w:tblHeader w:val="true"/>
          <w:cantSplit w:val="true"/>
        </w:trPr>
        <w:tc>
          <w:tcPr>
            <w:tcW w:type="dxa" w:w="2100"/>
            <w:shd w:fill="0D2640"/>
            <w:tcMar>
              <w:top w:w="80" w:type="dxa"/>
              <w:start w:w="120" w:type="dxa"/>
              <w:bottom w:w="80" w:type="dxa"/>
              <w:end w:w="120" w:type="dxa"/>
            </w:tcMar>
            <w:vAlign w:val="center"/>
          </w:tcPr>
          <w:p>
            <w:pPr>
              <w:spacing w:after="0"/>
            </w:pPr>
            <w:r>
              <w:rPr>
                <w:rFonts w:ascii="Calibri" w:hAnsi="Calibri"/>
                <w:b/>
                <w:color w:val="FFFFFF"/>
                <w:sz w:val="19"/>
              </w:rPr>
              <w:t>Capability</w:t>
            </w:r>
          </w:p>
        </w:tc>
        <w:tc>
          <w:tcPr>
            <w:tcW w:type="dxa" w:w="2100"/>
            <w:shd w:fill="0D2640"/>
            <w:tcMar>
              <w:top w:w="80" w:type="dxa"/>
              <w:start w:w="120" w:type="dxa"/>
              <w:bottom w:w="80" w:type="dxa"/>
              <w:end w:w="120" w:type="dxa"/>
            </w:tcMar>
            <w:vAlign w:val="center"/>
          </w:tcPr>
          <w:p>
            <w:pPr>
              <w:spacing w:after="0"/>
            </w:pPr>
            <w:r>
              <w:rPr>
                <w:rFonts w:ascii="Calibri" w:hAnsi="Calibri"/>
                <w:b/>
                <w:color w:val="FFFFFF"/>
                <w:sz w:val="19"/>
              </w:rPr>
              <w:t>System of record</w:t>
            </w:r>
          </w:p>
        </w:tc>
        <w:tc>
          <w:tcPr>
            <w:tcW w:type="dxa" w:w="5160"/>
            <w:shd w:fill="0D2640"/>
            <w:tcMar>
              <w:top w:w="80" w:type="dxa"/>
              <w:start w:w="120" w:type="dxa"/>
              <w:bottom w:w="80" w:type="dxa"/>
              <w:end w:w="120" w:type="dxa"/>
            </w:tcMar>
            <w:vAlign w:val="center"/>
          </w:tcPr>
          <w:p>
            <w:pPr>
              <w:spacing w:after="0"/>
            </w:pPr>
            <w:r>
              <w:rPr>
                <w:rFonts w:ascii="Calibri" w:hAnsi="Calibri"/>
                <w:b/>
                <w:color w:val="FFFFFF"/>
                <w:sz w:val="19"/>
              </w:rPr>
              <w:t>Release-one behavior</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Customer and service address</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Operational PostgreSQL</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One customer may have multiple addresses; every address maps to a service area and keeps a history.</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Plans, area eligibility, and prices</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Operational PostgreSQL</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Admin controls effective-dated prices and availability. Billing price references are attached to approved price rows.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Cards and payment methods</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Billing provider</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Collected only through provider-hosted or provider-secured UI. Never stored in our database.</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Recurring invoices and retries</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Billing provider</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Provider creates invoices, attempts collection, handles authentication and retry rules, and exposes billing status.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Subscription operational view</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Operational database mirror</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Verified webhooks update a query-friendly mirror. Operators see status and links, not sensitive payment data.</w:t>
            </w:r>
          </w:p>
        </w:tc>
      </w:tr>
      <w:tr>
        <w:trPr>
          <w:cantSplit w:val="true"/>
        </w:trPr>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Appointments, jobs, notes, and follow-up</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Operational PostgreSQL</w:t>
            </w:r>
          </w:p>
        </w:tc>
        <w:tc>
          <w:tcPr>
            <w:tcW w:type="dxa" w:w="516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 workflow supports pest concern, access notes, preferred or confirmed visit, job state, and service history.</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Customer self-service billing</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Billing provider portal</w:t>
            </w:r>
          </w:p>
        </w:tc>
        <w:tc>
          <w:tcPr>
            <w:tcW w:type="dxa" w:w="5160"/>
            <w:tcMar>
              <w:top w:w="80" w:type="dxa"/>
              <w:start w:w="120" w:type="dxa"/>
              <w:bottom w:w="80" w:type="dxa"/>
              <w:end w:w="120" w:type="dxa"/>
            </w:tcMar>
            <w:vAlign w:val="center"/>
          </w:tcPr>
          <w:p>
            <w:pPr>
              <w:spacing w:after="0" w:line="252" w:lineRule="auto"/>
            </w:pPr>
            <w:r>
              <w:rPr>
                <w:rFonts w:ascii="Calibri" w:hAnsi="Calibri"/>
                <w:color w:val="17212B"/>
                <w:sz w:val="18"/>
              </w:rPr>
              <w:t>Customer can update payment method, view invoices, and manage cancellation only according to approved policy.</w:t>
            </w:r>
          </w:p>
        </w:tc>
      </w:tr>
    </w:tbl>
    <w:p>
      <w:pPr>
        <w:spacing w:after="40"/>
      </w:pPr>
    </w:p>
    <w:p>
      <w:pPr>
        <w:pStyle w:val="Heading3"/>
      </w:pPr>
      <w:r>
        <w:t>Why not a general-purpose CRM first?</w:t>
      </w:r>
    </w:p>
    <w:p>
      <w:pPr>
        <w:keepLines w:val="0"/>
      </w:pPr>
      <w:r>
        <w:rPr>
          <w:rFonts w:ascii="Calibri" w:hAnsi="Calibri"/>
          <w:i w:val="0"/>
          <w:color w:val="17212B"/>
        </w:rPr>
        <w:t>HubSpot, Salesforce, or a similar CRM can be integrated later if a sales team needs pipelines, campaigns, or a shared enterprise customer view. It does not replace the billing provider, area-price engine, appointment workflow, or field-service history. Adding it now would create a third customer record to synchronize and a larger failure surface without solving the core operating problem.</w:t>
      </w:r>
    </w:p>
    <w:p>
      <w:pPr>
        <w:pStyle w:val="Heading3"/>
      </w:pPr>
      <w:r>
        <w:t>Subscription event policy</w:t>
      </w:r>
    </w:p>
    <w:p>
      <w:pPr>
        <w:pStyle w:val="ListBullet"/>
        <w:spacing w:after="80" w:line="276" w:lineRule="auto"/>
        <w:ind w:left="720" w:hanging="360"/>
      </w:pPr>
      <w:r>
        <w:rPr>
          <w:rFonts w:ascii="Calibri" w:hAnsi="Calibri"/>
          <w:color w:val="17212B"/>
        </w:rPr>
        <w:t>Checkout success creates a provisional order only; the verified provider event activates or updates the local subscription mirror.</w:t>
      </w:r>
    </w:p>
    <w:p>
      <w:pPr>
        <w:pStyle w:val="ListBullet"/>
        <w:spacing w:after="80" w:line="276" w:lineRule="auto"/>
        <w:ind w:left="720" w:hanging="360"/>
      </w:pPr>
      <w:r>
        <w:rPr>
          <w:rFonts w:ascii="Calibri" w:hAnsi="Calibri"/>
          <w:color w:val="17212B"/>
        </w:rPr>
        <w:t>Webhook processing is idempotent. Replaying the same provider event cannot create a second order, customer, appointment, or message.</w:t>
      </w:r>
    </w:p>
    <w:p>
      <w:pPr>
        <w:pStyle w:val="ListBullet"/>
        <w:spacing w:after="80" w:line="276" w:lineRule="auto"/>
        <w:ind w:left="720" w:hanging="360"/>
      </w:pPr>
      <w:r>
        <w:rPr>
          <w:rFonts w:ascii="Calibri" w:hAnsi="Calibri"/>
          <w:color w:val="17212B"/>
        </w:rPr>
        <w:t>Past-due, unpaid, paused, and canceled statuses remain visible to operators. Service-access or visit rules for each state must be approved by the owner.</w:t>
      </w:r>
    </w:p>
    <w:p>
      <w:pPr>
        <w:pStyle w:val="ListBullet"/>
        <w:spacing w:after="80" w:line="276" w:lineRule="auto"/>
        <w:ind w:left="720" w:hanging="360"/>
      </w:pPr>
      <w:r>
        <w:rPr>
          <w:rFonts w:ascii="Calibri" w:hAnsi="Calibri"/>
          <w:color w:val="17212B"/>
        </w:rPr>
        <w:t>A scheduled reconciliation job compares recent provider subscriptions and invoices with local mirrors so missed webhooks can be detected and repaired.</w:t>
      </w:r>
    </w:p>
    <w:p>
      <w:pPr>
        <w:pStyle w:val="ListBullet"/>
        <w:spacing w:after="80" w:line="276" w:lineRule="auto"/>
        <w:ind w:left="720" w:hanging="360"/>
      </w:pPr>
      <w:r>
        <w:rPr>
          <w:rFonts w:ascii="Calibri" w:hAnsi="Calibri"/>
          <w:color w:val="17212B"/>
        </w:rPr>
        <w:t>Refunds, cancellations, proration, trial periods, taxes, and failed-payment messaging are configuration decisions—not hidden developer assumptions.</w:t>
      </w:r>
    </w:p>
    <w:p>
      <w:pPr>
        <w:pStyle w:val="Heading3"/>
      </w:pPr>
      <w:r>
        <w:t>Required accounts and secret configuration</w:t>
      </w:r>
    </w:p>
    <w:p>
      <w:pPr>
        <w:pStyle w:val="ListBullet"/>
        <w:spacing w:after="80" w:line="276" w:lineRule="auto"/>
        <w:ind w:left="720" w:hanging="360"/>
      </w:pPr>
      <w:r>
        <w:rPr>
          <w:rFonts w:ascii="Calibri" w:hAnsi="Calibri"/>
          <w:color w:val="17212B"/>
        </w:rPr>
        <w:t>Stripe account: test and live publishable key, least-privilege restricted server key where supported, webhook signing secret, approved product and price IDs, and configured Customer Portal. Never place secret values in this document or source control.</w:t>
      </w:r>
    </w:p>
    <w:p>
      <w:pPr>
        <w:pStyle w:val="ListBullet"/>
        <w:spacing w:after="80" w:line="276" w:lineRule="auto"/>
        <w:ind w:left="720" w:hanging="360"/>
      </w:pPr>
      <w:r>
        <w:rPr>
          <w:rFonts w:ascii="Calibri" w:hAnsi="Calibri"/>
          <w:color w:val="17212B"/>
        </w:rPr>
        <w:t>Supabase project: project URL, public application key, server-only service role key, database connection string for migrations, staff administrator email, and production row-level security policies.</w:t>
      </w:r>
    </w:p>
    <w:p>
      <w:pPr>
        <w:pStyle w:val="ListBullet"/>
        <w:spacing w:after="80" w:line="276" w:lineRule="auto"/>
        <w:ind w:left="720" w:hanging="360"/>
      </w:pPr>
      <w:r>
        <w:rPr>
          <w:rFonts w:ascii="Calibri" w:hAnsi="Calibri"/>
          <w:color w:val="17212B"/>
        </w:rPr>
        <w:t>Resend account: API key, verified sending domain, approved From address, and Reply-To address.</w:t>
      </w:r>
    </w:p>
    <w:p>
      <w:pPr>
        <w:pStyle w:val="ListBullet"/>
        <w:spacing w:after="80" w:line="276" w:lineRule="auto"/>
        <w:ind w:left="720" w:hanging="360"/>
      </w:pPr>
      <w:r>
        <w:rPr>
          <w:rFonts w:ascii="Calibri" w:hAnsi="Calibri"/>
          <w:color w:val="17212B"/>
        </w:rPr>
        <w:t>Vercel project: Git repository connection, production and preview environment variables, custom domain, DNS records, sensitive variables, and deployment access roles.</w:t>
      </w:r>
    </w:p>
    <w:p>
      <w:pPr>
        <w:pStyle w:val="ListBullet"/>
        <w:spacing w:after="80" w:line="276" w:lineRule="auto"/>
        <w:ind w:left="720" w:hanging="360"/>
      </w:pPr>
      <w:r>
        <w:rPr>
          <w:rFonts w:ascii="Calibri" w:hAnsi="Calibri"/>
          <w:color w:val="17212B"/>
        </w:rPr>
        <w:t>Monitoring and operations: error-monitoring DSN and server token if used, reconciliation cron secret, owner notification email, business phone, support hours, and data-retention setting.</w:t>
      </w:r>
    </w:p>
    <w:p>
      <w:pPr>
        <w:keepLines w:val="0"/>
      </w:pPr>
      <w:r>
        <w:rPr>
          <w:rFonts w:ascii="Calibri" w:hAnsi="Calibri"/>
          <w:i/>
          <w:color w:val="17212B"/>
        </w:rPr>
        <w:t>Credential rule: keys are created by the business owner in the provider dashboards and stored only in the hosting platform’s encrypted environment configuration or a secrets vault. They must never be pasted into AI chat, committed to Git, embedded in screenshots, or included in handoff documents.</w:t>
      </w:r>
    </w:p>
    <w:p>
      <w:pPr>
        <w:pStyle w:val="Heading2"/>
      </w:pPr>
      <w:r>
        <w:t>9.2 Service-area eligibility and dynamic pricing</w:t>
      </w:r>
    </w:p>
    <w:p>
      <w:pPr>
        <w:keepLines w:val="0"/>
      </w:pPr>
      <w:r>
        <w:rPr>
          <w:rFonts w:ascii="Calibri" w:hAnsi="Calibri"/>
          <w:i w:val="0"/>
          <w:color w:val="17212B"/>
        </w:rPr>
        <w:t>For the demo, eligibility should be deterministic rather than map-dependent. Seed a small approved set of cities, districts, neighborhoods, or postal codes. The search input is normalized against aliases; the matched service-area record determines which plans and effective prices are returned. A map or autocomplete provider may improve address entry later, but it never decides whether the company serves an area.</w:t>
      </w:r>
    </w:p>
    <w:p>
      <w:pPr>
        <w:keepLines/>
        <w:spacing w:before="100" w:after="160"/>
        <w:ind w:left="115" w:right="115"/>
        <w:shd w:fill="E8F4ED"/>
        <w:pBdr>
          <w:left w:val="single" w:sz="18" w:space="6" w:color="2F8F63"/>
        </w:pBdr>
      </w:pPr>
      <w:r>
        <w:rPr>
          <w:rFonts w:ascii="Calibri" w:hAnsi="Calibri"/>
          <w:b/>
          <w:color w:val="2F8F63"/>
        </w:rPr>
        <w:t xml:space="preserve">New York release scope  </w:t>
      </w:r>
      <w:r>
        <w:rPr>
          <w:rFonts w:ascii="Calibri" w:hAnsi="Calibri"/>
          <w:color w:val="17212B"/>
        </w:rPr>
        <w:t>Seed New York City as the primary area group and Lower Westchester as the nearby area group. New York City includes Manhattan, Brooklyn, Queens, the Bronx, and Staten Island. Lower Westchester may include Yonkers, Mount Vernon, and New Rochelle only after the owner confirms actual coverage, licensing, travel limits, and service capacity.</w:t>
      </w:r>
    </w:p>
    <w:tbl>
      <w:tblPr>
        <w:tblStyle w:val="TableGrid"/>
        <w:tblW w:type="dxa" w:w="9360"/>
        <w:jc w:val="left"/>
        <w:tblLayout w:type="fixed"/>
        <w:tblLook w:firstColumn="1" w:firstRow="1" w:lastColumn="0" w:lastRow="0" w:noHBand="0" w:noVBand="1" w:val="04A0"/>
        <w:tblInd w:w="120" w:type="dxa"/>
      </w:tblPr>
      <w:tblGrid>
        <w:gridCol w:w="2150"/>
        <w:gridCol w:w="1850"/>
        <w:gridCol w:w="1700"/>
        <w:gridCol w:w="2050"/>
        <w:gridCol w:w="1610"/>
      </w:tblGrid>
      <w:tr>
        <w:trPr>
          <w:tblHeader w:val="true"/>
          <w:cantSplit w:val="true"/>
        </w:trPr>
        <w:tc>
          <w:tcPr>
            <w:tcW w:type="dxa" w:w="2150"/>
            <w:shd w:fill="0D2640"/>
            <w:tcMar>
              <w:top w:w="80" w:type="dxa"/>
              <w:start w:w="120" w:type="dxa"/>
              <w:bottom w:w="80" w:type="dxa"/>
              <w:end w:w="120" w:type="dxa"/>
            </w:tcMar>
            <w:vAlign w:val="center"/>
          </w:tcPr>
          <w:p>
            <w:pPr>
              <w:spacing w:after="0"/>
            </w:pPr>
            <w:r>
              <w:rPr>
                <w:rFonts w:ascii="Calibri" w:hAnsi="Calibri"/>
                <w:b/>
                <w:color w:val="FFFFFF"/>
                <w:sz w:val="19"/>
              </w:rPr>
              <w:t>Area group</w:t>
            </w:r>
          </w:p>
        </w:tc>
        <w:tc>
          <w:tcPr>
            <w:tcW w:type="dxa" w:w="1850"/>
            <w:shd w:fill="0D2640"/>
            <w:tcMar>
              <w:top w:w="80" w:type="dxa"/>
              <w:start w:w="120" w:type="dxa"/>
              <w:bottom w:w="80" w:type="dxa"/>
              <w:end w:w="120" w:type="dxa"/>
            </w:tcMar>
            <w:vAlign w:val="center"/>
          </w:tcPr>
          <w:p>
            <w:pPr>
              <w:spacing w:after="0"/>
            </w:pPr>
            <w:r>
              <w:rPr>
                <w:rFonts w:ascii="Calibri" w:hAnsi="Calibri"/>
                <w:b/>
                <w:color w:val="FFFFFF"/>
                <w:sz w:val="19"/>
              </w:rPr>
              <w:t>Monthly Protection</w:t>
            </w:r>
          </w:p>
        </w:tc>
        <w:tc>
          <w:tcPr>
            <w:tcW w:type="dxa" w:w="1700"/>
            <w:shd w:fill="0D2640"/>
            <w:tcMar>
              <w:top w:w="80" w:type="dxa"/>
              <w:start w:w="120" w:type="dxa"/>
              <w:bottom w:w="80" w:type="dxa"/>
              <w:end w:w="120" w:type="dxa"/>
            </w:tcMar>
            <w:vAlign w:val="center"/>
          </w:tcPr>
          <w:p>
            <w:pPr>
              <w:spacing w:after="0"/>
            </w:pPr>
            <w:r>
              <w:rPr>
                <w:rFonts w:ascii="Calibri" w:hAnsi="Calibri"/>
                <w:b/>
                <w:color w:val="FFFFFF"/>
                <w:sz w:val="19"/>
              </w:rPr>
              <w:t>Initial service</w:t>
            </w:r>
          </w:p>
        </w:tc>
        <w:tc>
          <w:tcPr>
            <w:tcW w:type="dxa" w:w="2050"/>
            <w:shd w:fill="0D2640"/>
            <w:tcMar>
              <w:top w:w="80" w:type="dxa"/>
              <w:start w:w="120" w:type="dxa"/>
              <w:bottom w:w="80" w:type="dxa"/>
              <w:end w:w="120" w:type="dxa"/>
            </w:tcMar>
            <w:vAlign w:val="center"/>
          </w:tcPr>
          <w:p>
            <w:pPr>
              <w:spacing w:after="0"/>
            </w:pPr>
            <w:r>
              <w:rPr>
                <w:rFonts w:ascii="Calibri" w:hAnsi="Calibri"/>
                <w:b/>
                <w:color w:val="FFFFFF"/>
                <w:sz w:val="19"/>
              </w:rPr>
              <w:t>One-Time Treatment</w:t>
            </w:r>
          </w:p>
        </w:tc>
        <w:tc>
          <w:tcPr>
            <w:tcW w:type="dxa" w:w="1610"/>
            <w:shd w:fill="0D2640"/>
            <w:tcMar>
              <w:top w:w="80" w:type="dxa"/>
              <w:start w:w="120" w:type="dxa"/>
              <w:bottom w:w="80" w:type="dxa"/>
              <w:end w:w="120" w:type="dxa"/>
            </w:tcMar>
            <w:vAlign w:val="center"/>
          </w:tcPr>
          <w:p>
            <w:pPr>
              <w:spacing w:after="0"/>
            </w:pPr>
            <w:r>
              <w:rPr>
                <w:rFonts w:ascii="Calibri" w:hAnsi="Calibri"/>
                <w:b/>
                <w:color w:val="FFFFFF"/>
                <w:sz w:val="19"/>
              </w:rPr>
              <w:t>Approval state</w:t>
            </w:r>
          </w:p>
        </w:tc>
      </w:tr>
      <w:tr>
        <w:trPr>
          <w:cantSplit w:val="true"/>
        </w:trPr>
        <w:tc>
          <w:tcPr>
            <w:tcW w:type="dxa" w:w="2150"/>
            <w:tcMar>
              <w:top w:w="80" w:type="dxa"/>
              <w:start w:w="120" w:type="dxa"/>
              <w:bottom w:w="80" w:type="dxa"/>
              <w:end w:w="120" w:type="dxa"/>
            </w:tcMar>
            <w:vAlign w:val="center"/>
          </w:tcPr>
          <w:p>
            <w:pPr>
              <w:spacing w:after="0" w:line="252" w:lineRule="auto"/>
            </w:pPr>
            <w:r>
              <w:rPr>
                <w:rFonts w:ascii="Calibri" w:hAnsi="Calibri"/>
                <w:color w:val="17212B"/>
                <w:sz w:val="18"/>
              </w:rPr>
              <w:t>New York City</w:t>
            </w:r>
          </w:p>
        </w:tc>
        <w:tc>
          <w:tcPr>
            <w:tcW w:type="dxa" w:w="1850"/>
            <w:tcMar>
              <w:top w:w="80" w:type="dxa"/>
              <w:start w:w="120" w:type="dxa"/>
              <w:bottom w:w="80" w:type="dxa"/>
              <w:end w:w="120" w:type="dxa"/>
            </w:tcMar>
            <w:vAlign w:val="center"/>
          </w:tcPr>
          <w:p>
            <w:pPr>
              <w:spacing w:after="0" w:line="252" w:lineRule="auto"/>
            </w:pPr>
            <w:r>
              <w:rPr>
                <w:rFonts w:ascii="Calibri" w:hAnsi="Calibri"/>
                <w:color w:val="17212B"/>
                <w:sz w:val="18"/>
              </w:rPr>
              <w:t>$59 / month</w:t>
            </w:r>
          </w:p>
        </w:tc>
        <w:tc>
          <w:tcPr>
            <w:tcW w:type="dxa" w:w="1700"/>
            <w:tcMar>
              <w:top w:w="80" w:type="dxa"/>
              <w:start w:w="120" w:type="dxa"/>
              <w:bottom w:w="80" w:type="dxa"/>
              <w:end w:w="120" w:type="dxa"/>
            </w:tcMar>
            <w:vAlign w:val="center"/>
          </w:tcPr>
          <w:p>
            <w:pPr>
              <w:spacing w:after="0" w:line="252" w:lineRule="auto"/>
            </w:pPr>
            <w:r>
              <w:rPr>
                <w:rFonts w:ascii="Calibri" w:hAnsi="Calibri"/>
                <w:color w:val="17212B"/>
                <w:sz w:val="18"/>
              </w:rPr>
              <w:t>$149</w:t>
            </w:r>
          </w:p>
        </w:tc>
        <w:tc>
          <w:tcPr>
            <w:tcW w:type="dxa" w:w="2050"/>
            <w:tcMar>
              <w:top w:w="80" w:type="dxa"/>
              <w:start w:w="120" w:type="dxa"/>
              <w:bottom w:w="80" w:type="dxa"/>
              <w:end w:w="120" w:type="dxa"/>
            </w:tcMar>
            <w:vAlign w:val="center"/>
          </w:tcPr>
          <w:p>
            <w:pPr>
              <w:spacing w:after="0" w:line="252" w:lineRule="auto"/>
            </w:pPr>
            <w:r>
              <w:rPr>
                <w:rFonts w:ascii="Calibri" w:hAnsi="Calibri"/>
                <w:color w:val="17212B"/>
                <w:sz w:val="18"/>
              </w:rPr>
              <w:t>$279</w:t>
            </w:r>
          </w:p>
        </w:tc>
        <w:tc>
          <w:tcPr>
            <w:tcW w:type="dxa" w:w="1610"/>
            <w:tcMar>
              <w:top w:w="80" w:type="dxa"/>
              <w:start w:w="120" w:type="dxa"/>
              <w:bottom w:w="80" w:type="dxa"/>
              <w:end w:w="120" w:type="dxa"/>
            </w:tcMar>
            <w:vAlign w:val="center"/>
          </w:tcPr>
          <w:p>
            <w:pPr>
              <w:spacing w:after="0" w:line="252" w:lineRule="auto"/>
            </w:pPr>
            <w:r>
              <w:rPr>
                <w:rFonts w:ascii="Calibri" w:hAnsi="Calibri"/>
                <w:color w:val="17212B"/>
                <w:sz w:val="18"/>
              </w:rPr>
              <w:t>Provisional seed</w:t>
            </w:r>
          </w:p>
        </w:tc>
      </w:tr>
      <w:tr>
        <w:trPr>
          <w:cantSplit w:val="true"/>
        </w:trPr>
        <w:tc>
          <w:tcPr>
            <w:tcW w:type="dxa" w:w="2150"/>
            <w:shd w:fill="F3F6F4"/>
            <w:tcMar>
              <w:top w:w="80" w:type="dxa"/>
              <w:start w:w="120" w:type="dxa"/>
              <w:bottom w:w="80" w:type="dxa"/>
              <w:end w:w="120" w:type="dxa"/>
            </w:tcMar>
            <w:vAlign w:val="center"/>
          </w:tcPr>
          <w:p>
            <w:pPr>
              <w:spacing w:after="0" w:line="252" w:lineRule="auto"/>
            </w:pPr>
            <w:r>
              <w:rPr>
                <w:rFonts w:ascii="Calibri" w:hAnsi="Calibri"/>
                <w:color w:val="17212B"/>
                <w:sz w:val="18"/>
              </w:rPr>
              <w:t>Lower Westchester</w:t>
            </w:r>
          </w:p>
        </w:tc>
        <w:tc>
          <w:tcPr>
            <w:tcW w:type="dxa" w:w="1850"/>
            <w:shd w:fill="F3F6F4"/>
            <w:tcMar>
              <w:top w:w="80" w:type="dxa"/>
              <w:start w:w="120" w:type="dxa"/>
              <w:bottom w:w="80" w:type="dxa"/>
              <w:end w:w="120" w:type="dxa"/>
            </w:tcMar>
            <w:vAlign w:val="center"/>
          </w:tcPr>
          <w:p>
            <w:pPr>
              <w:spacing w:after="0" w:line="252" w:lineRule="auto"/>
            </w:pPr>
            <w:r>
              <w:rPr>
                <w:rFonts w:ascii="Calibri" w:hAnsi="Calibri"/>
                <w:color w:val="17212B"/>
                <w:sz w:val="18"/>
              </w:rPr>
              <w:t>$49 / month</w:t>
            </w:r>
          </w:p>
        </w:tc>
        <w:tc>
          <w:tcPr>
            <w:tcW w:type="dxa" w:w="1700"/>
            <w:shd w:fill="F3F6F4"/>
            <w:tcMar>
              <w:top w:w="80" w:type="dxa"/>
              <w:start w:w="120" w:type="dxa"/>
              <w:bottom w:w="80" w:type="dxa"/>
              <w:end w:w="120" w:type="dxa"/>
            </w:tcMar>
            <w:vAlign w:val="center"/>
          </w:tcPr>
          <w:p>
            <w:pPr>
              <w:spacing w:after="0" w:line="252" w:lineRule="auto"/>
            </w:pPr>
            <w:r>
              <w:rPr>
                <w:rFonts w:ascii="Calibri" w:hAnsi="Calibri"/>
                <w:color w:val="17212B"/>
                <w:sz w:val="18"/>
              </w:rPr>
              <w:t>$149</w:t>
            </w:r>
          </w:p>
        </w:tc>
        <w:tc>
          <w:tcPr>
            <w:tcW w:type="dxa" w:w="2050"/>
            <w:shd w:fill="F3F6F4"/>
            <w:tcMar>
              <w:top w:w="80" w:type="dxa"/>
              <w:start w:w="120" w:type="dxa"/>
              <w:bottom w:w="80" w:type="dxa"/>
              <w:end w:w="120" w:type="dxa"/>
            </w:tcMar>
            <w:vAlign w:val="center"/>
          </w:tcPr>
          <w:p>
            <w:pPr>
              <w:spacing w:after="0" w:line="252" w:lineRule="auto"/>
            </w:pPr>
            <w:r>
              <w:rPr>
                <w:rFonts w:ascii="Calibri" w:hAnsi="Calibri"/>
                <w:color w:val="17212B"/>
                <w:sz w:val="18"/>
              </w:rPr>
              <w:t>$249</w:t>
            </w:r>
          </w:p>
        </w:tc>
        <w:tc>
          <w:tcPr>
            <w:tcW w:type="dxa" w:w="1610"/>
            <w:shd w:fill="F3F6F4"/>
            <w:tcMar>
              <w:top w:w="80" w:type="dxa"/>
              <w:start w:w="120" w:type="dxa"/>
              <w:bottom w:w="80" w:type="dxa"/>
              <w:end w:w="120" w:type="dxa"/>
            </w:tcMar>
            <w:vAlign w:val="center"/>
          </w:tcPr>
          <w:p>
            <w:pPr>
              <w:spacing w:after="0" w:line="252" w:lineRule="auto"/>
            </w:pPr>
            <w:r>
              <w:rPr>
                <w:rFonts w:ascii="Calibri" w:hAnsi="Calibri"/>
                <w:color w:val="17212B"/>
                <w:sz w:val="18"/>
              </w:rPr>
              <w:t>Provisional seed</w:t>
            </w:r>
          </w:p>
        </w:tc>
      </w:tr>
    </w:tbl>
    <w:p>
      <w:pPr>
        <w:spacing w:after="40"/>
      </w:pPr>
    </w:p>
    <w:p>
      <w:pPr>
        <w:keepLines w:val="0"/>
      </w:pPr>
      <w:r>
        <w:rPr>
          <w:rFonts w:ascii="Calibri" w:hAnsi="Calibri"/>
          <w:i/>
          <w:color w:val="17212B"/>
        </w:rPr>
        <w:t>These are functional seed values for Stripe test mode and are not represented as Terminix prices. Terminix’s official pages require an address and state that price depends on location, property, pest, and treatment frequency. Production checkout must refuse any price row whose approval state is not “approved.” The owner can approve, replace, or add prices without changing application code.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0D2640"/>
            <w:tcMar>
              <w:top w:w="80" w:type="dxa"/>
              <w:start w:w="120" w:type="dxa"/>
              <w:bottom w:w="80" w:type="dxa"/>
              <w:end w:w="120" w:type="dxa"/>
            </w:tcMar>
            <w:vAlign w:val="center"/>
          </w:tcPr>
          <w:p>
            <w:pPr>
              <w:spacing w:after="0"/>
            </w:pPr>
            <w:r>
              <w:rPr>
                <w:rFonts w:ascii="Calibri" w:hAnsi="Calibri"/>
                <w:b/>
                <w:color w:val="FFFFFF"/>
                <w:sz w:val="19"/>
              </w:rPr>
              <w:t>Rule</w:t>
            </w:r>
          </w:p>
        </w:tc>
        <w:tc>
          <w:tcPr>
            <w:tcW w:type="dxa" w:w="7060"/>
            <w:shd w:fill="0D2640"/>
            <w:tcMar>
              <w:top w:w="80" w:type="dxa"/>
              <w:start w:w="120" w:type="dxa"/>
              <w:bottom w:w="80" w:type="dxa"/>
              <w:end w:w="120" w:type="dxa"/>
            </w:tcMar>
            <w:vAlign w:val="center"/>
          </w:tcPr>
          <w:p>
            <w:pPr>
              <w:spacing w:after="0"/>
            </w:pPr>
            <w:r>
              <w:rPr>
                <w:rFonts w:ascii="Calibri" w:hAnsi="Calibri"/>
                <w:b/>
                <w:color w:val="FFFFFF"/>
                <w:sz w:val="19"/>
              </w:rPr>
              <w:t>Implementation</w:t>
            </w:r>
          </w:p>
        </w:tc>
      </w:tr>
      <w:tr>
        <w:trPr>
          <w:cantSplit w:val="true"/>
        </w:trPr>
        <w:tc>
          <w:tcPr>
            <w:tcW w:type="dxa" w:w="2300"/>
            <w:tcMar>
              <w:top w:w="80" w:type="dxa"/>
              <w:start w:w="120" w:type="dxa"/>
              <w:bottom w:w="80" w:type="dxa"/>
              <w:end w:w="120" w:type="dxa"/>
            </w:tcMar>
            <w:vAlign w:val="center"/>
          </w:tcPr>
          <w:p>
            <w:pPr>
              <w:spacing w:after="0" w:line="252" w:lineRule="auto"/>
            </w:pPr>
            <w:r>
              <w:rPr>
                <w:rFonts w:ascii="Calibri" w:hAnsi="Calibri"/>
                <w:color w:val="17212B"/>
                <w:sz w:val="18"/>
              </w:rPr>
              <w:t>Eligible match</w:t>
            </w:r>
          </w:p>
        </w:tc>
        <w:tc>
          <w:tcPr>
            <w:tcW w:type="dxa" w:w="7060"/>
            <w:tcMar>
              <w:top w:w="80" w:type="dxa"/>
              <w:start w:w="120" w:type="dxa"/>
              <w:bottom w:w="80" w:type="dxa"/>
              <w:end w:w="120" w:type="dxa"/>
            </w:tcMar>
            <w:vAlign w:val="center"/>
          </w:tcPr>
          <w:p>
            <w:pPr>
              <w:spacing w:after="0" w:line="252" w:lineRule="auto"/>
            </w:pPr>
            <w:r>
              <w:rPr>
                <w:rFonts w:ascii="Calibri" w:hAnsi="Calibri"/>
                <w:color w:val="17212B"/>
                <w:sz w:val="18"/>
              </w:rPr>
              <w:t>Return area name, available pest services, recurring plans, one-time options, exact configured amounts, currency, and any initial fee.</w:t>
            </w:r>
          </w:p>
        </w:tc>
      </w:tr>
      <w:tr>
        <w:trPr>
          <w:cantSplit w:val="true"/>
        </w:trPr>
        <w:tc>
          <w:tcPr>
            <w:tcW w:type="dxa" w:w="2300"/>
            <w:shd w:fill="F3F6F4"/>
            <w:tcMar>
              <w:top w:w="80" w:type="dxa"/>
              <w:start w:w="120" w:type="dxa"/>
              <w:bottom w:w="80" w:type="dxa"/>
              <w:end w:w="120" w:type="dxa"/>
            </w:tcMar>
            <w:vAlign w:val="center"/>
          </w:tcPr>
          <w:p>
            <w:pPr>
              <w:spacing w:after="0" w:line="252" w:lineRule="auto"/>
            </w:pPr>
            <w:r>
              <w:rPr>
                <w:rFonts w:ascii="Calibri" w:hAnsi="Calibri"/>
                <w:color w:val="17212B"/>
                <w:sz w:val="18"/>
              </w:rPr>
              <w:t>No direct match</w:t>
            </w:r>
          </w:p>
        </w:tc>
        <w:tc>
          <w:tcPr>
            <w:tcW w:type="dxa" w:w="7060"/>
            <w:shd w:fill="F3F6F4"/>
            <w:tcMar>
              <w:top w:w="80" w:type="dxa"/>
              <w:start w:w="120" w:type="dxa"/>
              <w:bottom w:w="80" w:type="dxa"/>
              <w:end w:w="120" w:type="dxa"/>
            </w:tcMar>
            <w:vAlign w:val="center"/>
          </w:tcPr>
          <w:p>
            <w:pPr>
              <w:spacing w:after="0" w:line="252" w:lineRule="auto"/>
            </w:pPr>
            <w:r>
              <w:rPr>
                <w:rFonts w:ascii="Calibri" w:hAnsi="Calibri"/>
                <w:color w:val="17212B"/>
                <w:sz w:val="18"/>
              </w:rPr>
              <w:t>Offer supported-area suggestions and a human contact or waitlist route. Do not invent a nearby price.</w:t>
            </w:r>
          </w:p>
        </w:tc>
      </w:tr>
      <w:tr>
        <w:trPr>
          <w:cantSplit w:val="true"/>
        </w:trPr>
        <w:tc>
          <w:tcPr>
            <w:tcW w:type="dxa" w:w="2300"/>
            <w:tcMar>
              <w:top w:w="80" w:type="dxa"/>
              <w:start w:w="120" w:type="dxa"/>
              <w:bottom w:w="80" w:type="dxa"/>
              <w:end w:w="120" w:type="dxa"/>
            </w:tcMar>
            <w:vAlign w:val="center"/>
          </w:tcPr>
          <w:p>
            <w:pPr>
              <w:spacing w:after="0" w:line="252" w:lineRule="auto"/>
            </w:pPr>
            <w:r>
              <w:rPr>
                <w:rFonts w:ascii="Calibri" w:hAnsi="Calibri"/>
                <w:color w:val="17212B"/>
                <w:sz w:val="18"/>
              </w:rPr>
              <w:t>Price validity</w:t>
            </w:r>
          </w:p>
        </w:tc>
        <w:tc>
          <w:tcPr>
            <w:tcW w:type="dxa" w:w="7060"/>
            <w:tcMar>
              <w:top w:w="80" w:type="dxa"/>
              <w:start w:w="120" w:type="dxa"/>
              <w:bottom w:w="80" w:type="dxa"/>
              <w:end w:w="120" w:type="dxa"/>
            </w:tcMar>
            <w:vAlign w:val="center"/>
          </w:tcPr>
          <w:p>
            <w:pPr>
              <w:spacing w:after="0" w:line="252" w:lineRule="auto"/>
            </w:pPr>
            <w:r>
              <w:rPr>
                <w:rFonts w:ascii="Calibri" w:hAnsi="Calibri"/>
                <w:color w:val="17212B"/>
                <w:sz w:val="18"/>
              </w:rPr>
              <w:t>Area-price rows use active-from and active-to dates plus a version. A quote stores that exact version and expires after a short window.</w:t>
            </w:r>
          </w:p>
        </w:tc>
      </w:tr>
      <w:tr>
        <w:trPr>
          <w:cantSplit w:val="true"/>
        </w:trPr>
        <w:tc>
          <w:tcPr>
            <w:tcW w:type="dxa" w:w="2300"/>
            <w:shd w:fill="F3F6F4"/>
            <w:tcMar>
              <w:top w:w="80" w:type="dxa"/>
              <w:start w:w="120" w:type="dxa"/>
              <w:bottom w:w="80" w:type="dxa"/>
              <w:end w:w="120" w:type="dxa"/>
            </w:tcMar>
            <w:vAlign w:val="center"/>
          </w:tcPr>
          <w:p>
            <w:pPr>
              <w:spacing w:after="0" w:line="252" w:lineRule="auto"/>
            </w:pPr>
            <w:r>
              <w:rPr>
                <w:rFonts w:ascii="Calibri" w:hAnsi="Calibri"/>
                <w:color w:val="17212B"/>
                <w:sz w:val="18"/>
              </w:rPr>
              <w:t>Checkout integrity</w:t>
            </w:r>
          </w:p>
        </w:tc>
        <w:tc>
          <w:tcPr>
            <w:tcW w:type="dxa" w:w="7060"/>
            <w:shd w:fill="F3F6F4"/>
            <w:tcMar>
              <w:top w:w="80" w:type="dxa"/>
              <w:start w:w="120" w:type="dxa"/>
              <w:bottom w:w="80" w:type="dxa"/>
              <w:end w:w="120" w:type="dxa"/>
            </w:tcMar>
            <w:vAlign w:val="center"/>
          </w:tcPr>
          <w:p>
            <w:pPr>
              <w:spacing w:after="0" w:line="252" w:lineRule="auto"/>
            </w:pPr>
            <w:r>
              <w:rPr>
                <w:rFonts w:ascii="Calibri" w:hAnsi="Calibri"/>
                <w:color w:val="17212B"/>
                <w:sz w:val="18"/>
              </w:rPr>
              <w:t>The server reloads the quote, price row, plan, and area before creating checkout. Browser totals are display-only.</w:t>
            </w:r>
          </w:p>
        </w:tc>
      </w:tr>
      <w:tr>
        <w:trPr>
          <w:cantSplit w:val="true"/>
        </w:trPr>
        <w:tc>
          <w:tcPr>
            <w:tcW w:type="dxa" w:w="2300"/>
            <w:tcMar>
              <w:top w:w="80" w:type="dxa"/>
              <w:start w:w="120" w:type="dxa"/>
              <w:bottom w:w="80" w:type="dxa"/>
              <w:end w:w="120" w:type="dxa"/>
            </w:tcMar>
            <w:vAlign w:val="center"/>
          </w:tcPr>
          <w:p>
            <w:pPr>
              <w:spacing w:after="0" w:line="252" w:lineRule="auto"/>
            </w:pPr>
            <w:r>
              <w:rPr>
                <w:rFonts w:ascii="Calibri" w:hAnsi="Calibri"/>
                <w:color w:val="17212B"/>
                <w:sz w:val="18"/>
              </w:rPr>
              <w:t>Address confirmation</w:t>
            </w:r>
          </w:p>
        </w:tc>
        <w:tc>
          <w:tcPr>
            <w:tcW w:type="dxa" w:w="7060"/>
            <w:tcMar>
              <w:top w:w="80" w:type="dxa"/>
              <w:start w:w="120" w:type="dxa"/>
              <w:bottom w:w="80" w:type="dxa"/>
              <w:end w:w="120" w:type="dxa"/>
            </w:tcMar>
            <w:vAlign w:val="center"/>
          </w:tcPr>
          <w:p>
            <w:pPr>
              <w:spacing w:after="0" w:line="252" w:lineRule="auto"/>
            </w:pPr>
            <w:r>
              <w:rPr>
                <w:rFonts w:ascii="Calibri" w:hAnsi="Calibri"/>
                <w:color w:val="17212B"/>
                <w:sz w:val="18"/>
              </w:rPr>
              <w:t>Before payment, the full service address must resolve to the same selected demo area or return to eligibility review.</w:t>
            </w:r>
          </w:p>
        </w:tc>
      </w:tr>
      <w:tr>
        <w:trPr>
          <w:cantSplit w:val="true"/>
        </w:trPr>
        <w:tc>
          <w:tcPr>
            <w:tcW w:type="dxa" w:w="2300"/>
            <w:shd w:fill="F3F6F4"/>
            <w:tcMar>
              <w:top w:w="80" w:type="dxa"/>
              <w:start w:w="120" w:type="dxa"/>
              <w:bottom w:w="80" w:type="dxa"/>
              <w:end w:w="120" w:type="dxa"/>
            </w:tcMar>
            <w:vAlign w:val="center"/>
          </w:tcPr>
          <w:p>
            <w:pPr>
              <w:spacing w:after="0" w:line="252" w:lineRule="auto"/>
            </w:pPr>
            <w:r>
              <w:rPr>
                <w:rFonts w:ascii="Calibri" w:hAnsi="Calibri"/>
                <w:color w:val="17212B"/>
                <w:sz w:val="18"/>
              </w:rPr>
              <w:t>Admin changes</w:t>
            </w:r>
          </w:p>
        </w:tc>
        <w:tc>
          <w:tcPr>
            <w:tcW w:type="dxa" w:w="7060"/>
            <w:shd w:fill="F3F6F4"/>
            <w:tcMar>
              <w:top w:w="80" w:type="dxa"/>
              <w:start w:w="120" w:type="dxa"/>
              <w:bottom w:w="80" w:type="dxa"/>
              <w:end w:w="120" w:type="dxa"/>
            </w:tcMar>
            <w:vAlign w:val="center"/>
          </w:tcPr>
          <w:p>
            <w:pPr>
              <w:spacing w:after="0" w:line="252" w:lineRule="auto"/>
            </w:pPr>
            <w:r>
              <w:rPr>
                <w:rFonts w:ascii="Calibri" w:hAnsi="Calibri"/>
                <w:color w:val="17212B"/>
                <w:sz w:val="18"/>
              </w:rPr>
              <w:t>Authorized operators can activate an area, attach plans, change future prices, and retire an old price without rewriting historical orders.</w:t>
            </w:r>
          </w:p>
        </w:tc>
      </w:tr>
    </w:tbl>
    <w:p>
      <w:pPr>
        <w:spacing w:after="40"/>
      </w:pPr>
    </w:p>
    <w:p>
      <w:pPr>
        <w:pStyle w:val="Heading3"/>
      </w:pPr>
      <w:r>
        <w:t>Pricing record example</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val="true"/>
        </w:trPr>
        <w:tc>
          <w:tcPr>
            <w:tcW w:type="dxa" w:w="2850"/>
            <w:shd w:fill="0D2640"/>
            <w:tcMar>
              <w:top w:w="80" w:type="dxa"/>
              <w:start w:w="120" w:type="dxa"/>
              <w:bottom w:w="80" w:type="dxa"/>
              <w:end w:w="120" w:type="dxa"/>
            </w:tcMar>
            <w:vAlign w:val="center"/>
          </w:tcPr>
          <w:p>
            <w:pPr>
              <w:spacing w:after="0"/>
            </w:pPr>
            <w:r>
              <w:rPr>
                <w:rFonts w:ascii="Calibri" w:hAnsi="Calibri"/>
                <w:b/>
                <w:color w:val="FFFFFF"/>
                <w:sz w:val="19"/>
              </w:rPr>
              <w:t>Field</w:t>
            </w:r>
          </w:p>
        </w:tc>
        <w:tc>
          <w:tcPr>
            <w:tcW w:type="dxa" w:w="6510"/>
            <w:shd w:fill="0D2640"/>
            <w:tcMar>
              <w:top w:w="80" w:type="dxa"/>
              <w:start w:w="120" w:type="dxa"/>
              <w:bottom w:w="80" w:type="dxa"/>
              <w:end w:w="120" w:type="dxa"/>
            </w:tcMar>
            <w:vAlign w:val="center"/>
          </w:tcPr>
          <w:p>
            <w:pPr>
              <w:spacing w:after="0"/>
            </w:pPr>
            <w:r>
              <w:rPr>
                <w:rFonts w:ascii="Calibri" w:hAnsi="Calibri"/>
                <w:b/>
                <w:color w:val="FFFFFF"/>
                <w:sz w:val="19"/>
              </w:rPr>
              <w:t>Example purpose</w:t>
            </w:r>
          </w:p>
        </w:tc>
      </w:tr>
      <w:tr>
        <w:trPr>
          <w:cantSplit w:val="true"/>
        </w:trPr>
        <w:tc>
          <w:tcPr>
            <w:tcW w:type="dxa" w:w="2850"/>
            <w:tcMar>
              <w:top w:w="80" w:type="dxa"/>
              <w:start w:w="120" w:type="dxa"/>
              <w:bottom w:w="80" w:type="dxa"/>
              <w:end w:w="120" w:type="dxa"/>
            </w:tcMar>
            <w:vAlign w:val="center"/>
          </w:tcPr>
          <w:p>
            <w:pPr>
              <w:spacing w:after="0" w:line="252" w:lineRule="auto"/>
            </w:pPr>
            <w:r>
              <w:rPr>
                <w:rFonts w:ascii="Calibri" w:hAnsi="Calibri"/>
                <w:color w:val="17212B"/>
                <w:sz w:val="18"/>
              </w:rPr>
              <w:t>service_area_id</w:t>
            </w:r>
          </w:p>
        </w:tc>
        <w:tc>
          <w:tcPr>
            <w:tcW w:type="dxa" w:w="6510"/>
            <w:tcMar>
              <w:top w:w="80" w:type="dxa"/>
              <w:start w:w="120" w:type="dxa"/>
              <w:bottom w:w="80" w:type="dxa"/>
              <w:end w:w="120" w:type="dxa"/>
            </w:tcMar>
            <w:vAlign w:val="center"/>
          </w:tcPr>
          <w:p>
            <w:pPr>
              <w:spacing w:after="0" w:line="252" w:lineRule="auto"/>
            </w:pPr>
            <w:r>
              <w:rPr>
                <w:rFonts w:ascii="Calibri" w:hAnsi="Calibri"/>
                <w:color w:val="17212B"/>
                <w:sz w:val="18"/>
              </w:rPr>
              <w:t>Area that controls eligibility.</w:t>
            </w:r>
          </w:p>
        </w:tc>
      </w:tr>
      <w:tr>
        <w:trPr>
          <w:cantSplit w:val="true"/>
        </w:trPr>
        <w:tc>
          <w:tcPr>
            <w:tcW w:type="dxa" w:w="2850"/>
            <w:shd w:fill="F3F6F4"/>
            <w:tcMar>
              <w:top w:w="80" w:type="dxa"/>
              <w:start w:w="120" w:type="dxa"/>
              <w:bottom w:w="80" w:type="dxa"/>
              <w:end w:w="120" w:type="dxa"/>
            </w:tcMar>
            <w:vAlign w:val="center"/>
          </w:tcPr>
          <w:p>
            <w:pPr>
              <w:spacing w:after="0" w:line="252" w:lineRule="auto"/>
            </w:pPr>
            <w:r>
              <w:rPr>
                <w:rFonts w:ascii="Calibri" w:hAnsi="Calibri"/>
                <w:color w:val="17212B"/>
                <w:sz w:val="18"/>
              </w:rPr>
              <w:t>plan_id and billing_mode</w:t>
            </w:r>
          </w:p>
        </w:tc>
        <w:tc>
          <w:tcPr>
            <w:tcW w:type="dxa" w:w="6510"/>
            <w:shd w:fill="F3F6F4"/>
            <w:tcMar>
              <w:top w:w="80" w:type="dxa"/>
              <w:start w:w="120" w:type="dxa"/>
              <w:bottom w:w="80" w:type="dxa"/>
              <w:end w:w="120" w:type="dxa"/>
            </w:tcMar>
            <w:vAlign w:val="center"/>
          </w:tcPr>
          <w:p>
            <w:pPr>
              <w:spacing w:after="0" w:line="252" w:lineRule="auto"/>
            </w:pPr>
            <w:r>
              <w:rPr>
                <w:rFonts w:ascii="Calibri" w:hAnsi="Calibri"/>
                <w:color w:val="17212B"/>
                <w:sz w:val="18"/>
              </w:rPr>
              <w:t>Monthly protection or one-time treatment.</w:t>
            </w:r>
          </w:p>
        </w:tc>
      </w:tr>
      <w:tr>
        <w:trPr>
          <w:cantSplit w:val="true"/>
        </w:trPr>
        <w:tc>
          <w:tcPr>
            <w:tcW w:type="dxa" w:w="2850"/>
            <w:tcMar>
              <w:top w:w="80" w:type="dxa"/>
              <w:start w:w="120" w:type="dxa"/>
              <w:bottom w:w="80" w:type="dxa"/>
              <w:end w:w="120" w:type="dxa"/>
            </w:tcMar>
            <w:vAlign w:val="center"/>
          </w:tcPr>
          <w:p>
            <w:pPr>
              <w:spacing w:after="0" w:line="252" w:lineRule="auto"/>
            </w:pPr>
            <w:r>
              <w:rPr>
                <w:rFonts w:ascii="Calibri" w:hAnsi="Calibri"/>
                <w:color w:val="17212B"/>
                <w:sz w:val="18"/>
              </w:rPr>
              <w:t>initial_fee and service_amount</w:t>
            </w:r>
          </w:p>
        </w:tc>
        <w:tc>
          <w:tcPr>
            <w:tcW w:type="dxa" w:w="6510"/>
            <w:tcMar>
              <w:top w:w="80" w:type="dxa"/>
              <w:start w:w="120" w:type="dxa"/>
              <w:bottom w:w="80" w:type="dxa"/>
              <w:end w:w="120" w:type="dxa"/>
            </w:tcMar>
            <w:vAlign w:val="center"/>
          </w:tcPr>
          <w:p>
            <w:pPr>
              <w:spacing w:after="0" w:line="252" w:lineRule="auto"/>
            </w:pPr>
            <w:r>
              <w:rPr>
                <w:rFonts w:ascii="Calibri" w:hAnsi="Calibri"/>
                <w:color w:val="17212B"/>
                <w:sz w:val="18"/>
              </w:rPr>
              <w:t>Separate amount due today from the recurring or one-time service amount.</w:t>
            </w:r>
          </w:p>
        </w:tc>
      </w:tr>
      <w:tr>
        <w:trPr>
          <w:cantSplit w:val="true"/>
        </w:trPr>
        <w:tc>
          <w:tcPr>
            <w:tcW w:type="dxa" w:w="2850"/>
            <w:shd w:fill="F3F6F4"/>
            <w:tcMar>
              <w:top w:w="80" w:type="dxa"/>
              <w:start w:w="120" w:type="dxa"/>
              <w:bottom w:w="80" w:type="dxa"/>
              <w:end w:w="120" w:type="dxa"/>
            </w:tcMar>
            <w:vAlign w:val="center"/>
          </w:tcPr>
          <w:p>
            <w:pPr>
              <w:spacing w:after="0" w:line="252" w:lineRule="auto"/>
            </w:pPr>
            <w:r>
              <w:rPr>
                <w:rFonts w:ascii="Calibri" w:hAnsi="Calibri"/>
                <w:color w:val="17212B"/>
                <w:sz w:val="18"/>
              </w:rPr>
              <w:t>cadence and currency</w:t>
            </w:r>
          </w:p>
        </w:tc>
        <w:tc>
          <w:tcPr>
            <w:tcW w:type="dxa" w:w="6510"/>
            <w:shd w:fill="F3F6F4"/>
            <w:tcMar>
              <w:top w:w="80" w:type="dxa"/>
              <w:start w:w="120" w:type="dxa"/>
              <w:bottom w:w="80" w:type="dxa"/>
              <w:end w:w="120" w:type="dxa"/>
            </w:tcMar>
            <w:vAlign w:val="center"/>
          </w:tcPr>
          <w:p>
            <w:pPr>
              <w:spacing w:after="0" w:line="252" w:lineRule="auto"/>
            </w:pPr>
            <w:r>
              <w:rPr>
                <w:rFonts w:ascii="Calibri" w:hAnsi="Calibri"/>
                <w:color w:val="17212B"/>
                <w:sz w:val="18"/>
              </w:rPr>
              <w:t>For example monthly in the approved business currency.</w:t>
            </w:r>
          </w:p>
        </w:tc>
      </w:tr>
      <w:tr>
        <w:trPr>
          <w:cantSplit w:val="true"/>
        </w:trPr>
        <w:tc>
          <w:tcPr>
            <w:tcW w:type="dxa" w:w="2850"/>
            <w:tcMar>
              <w:top w:w="80" w:type="dxa"/>
              <w:start w:w="120" w:type="dxa"/>
              <w:bottom w:w="80" w:type="dxa"/>
              <w:end w:w="120" w:type="dxa"/>
            </w:tcMar>
            <w:vAlign w:val="center"/>
          </w:tcPr>
          <w:p>
            <w:pPr>
              <w:spacing w:after="0" w:line="252" w:lineRule="auto"/>
            </w:pPr>
            <w:r>
              <w:rPr>
                <w:rFonts w:ascii="Calibri" w:hAnsi="Calibri"/>
                <w:color w:val="17212B"/>
                <w:sz w:val="18"/>
              </w:rPr>
              <w:t>tax_behavior</w:t>
            </w:r>
          </w:p>
        </w:tc>
        <w:tc>
          <w:tcPr>
            <w:tcW w:type="dxa" w:w="6510"/>
            <w:tcMar>
              <w:top w:w="80" w:type="dxa"/>
              <w:start w:w="120" w:type="dxa"/>
              <w:bottom w:w="80" w:type="dxa"/>
              <w:end w:w="120" w:type="dxa"/>
            </w:tcMar>
            <w:vAlign w:val="center"/>
          </w:tcPr>
          <w:p>
            <w:pPr>
              <w:spacing w:after="0" w:line="252" w:lineRule="auto"/>
            </w:pPr>
            <w:r>
              <w:rPr>
                <w:rFonts w:ascii="Calibri" w:hAnsi="Calibri"/>
                <w:color w:val="17212B"/>
                <w:sz w:val="18"/>
              </w:rPr>
              <w:t>Whether tax is included, exclusive, or calculated by the selected provider.</w:t>
            </w:r>
          </w:p>
        </w:tc>
      </w:tr>
      <w:tr>
        <w:trPr>
          <w:cantSplit w:val="true"/>
        </w:trPr>
        <w:tc>
          <w:tcPr>
            <w:tcW w:type="dxa" w:w="2850"/>
            <w:shd w:fill="F3F6F4"/>
            <w:tcMar>
              <w:top w:w="80" w:type="dxa"/>
              <w:start w:w="120" w:type="dxa"/>
              <w:bottom w:w="80" w:type="dxa"/>
              <w:end w:w="120" w:type="dxa"/>
            </w:tcMar>
            <w:vAlign w:val="center"/>
          </w:tcPr>
          <w:p>
            <w:pPr>
              <w:spacing w:after="0" w:line="252" w:lineRule="auto"/>
            </w:pPr>
            <w:r>
              <w:rPr>
                <w:rFonts w:ascii="Calibri" w:hAnsi="Calibri"/>
                <w:color w:val="17212B"/>
                <w:sz w:val="18"/>
              </w:rPr>
              <w:t>provider_product_id / provider_price_id</w:t>
            </w:r>
          </w:p>
        </w:tc>
        <w:tc>
          <w:tcPr>
            <w:tcW w:type="dxa" w:w="6510"/>
            <w:shd w:fill="F3F6F4"/>
            <w:tcMar>
              <w:top w:w="80" w:type="dxa"/>
              <w:start w:w="120" w:type="dxa"/>
              <w:bottom w:w="80" w:type="dxa"/>
              <w:end w:w="120" w:type="dxa"/>
            </w:tcMar>
            <w:vAlign w:val="center"/>
          </w:tcPr>
          <w:p>
            <w:pPr>
              <w:spacing w:after="0" w:line="252" w:lineRule="auto"/>
            </w:pPr>
            <w:r>
              <w:rPr>
                <w:rFonts w:ascii="Calibri" w:hAnsi="Calibri"/>
                <w:color w:val="17212B"/>
                <w:sz w:val="18"/>
              </w:rPr>
              <w:t>Reference to the billing catalog; never a secret credential.</w:t>
            </w:r>
          </w:p>
        </w:tc>
      </w:tr>
      <w:tr>
        <w:trPr>
          <w:cantSplit w:val="true"/>
        </w:trPr>
        <w:tc>
          <w:tcPr>
            <w:tcW w:type="dxa" w:w="2850"/>
            <w:tcMar>
              <w:top w:w="80" w:type="dxa"/>
              <w:start w:w="120" w:type="dxa"/>
              <w:bottom w:w="80" w:type="dxa"/>
              <w:end w:w="120" w:type="dxa"/>
            </w:tcMar>
            <w:vAlign w:val="center"/>
          </w:tcPr>
          <w:p>
            <w:pPr>
              <w:spacing w:after="0" w:line="252" w:lineRule="auto"/>
            </w:pPr>
            <w:r>
              <w:rPr>
                <w:rFonts w:ascii="Calibri" w:hAnsi="Calibri"/>
                <w:color w:val="17212B"/>
                <w:sz w:val="18"/>
              </w:rPr>
              <w:t>active_from, active_to, version</w:t>
            </w:r>
          </w:p>
        </w:tc>
        <w:tc>
          <w:tcPr>
            <w:tcW w:type="dxa" w:w="6510"/>
            <w:tcMar>
              <w:top w:w="80" w:type="dxa"/>
              <w:start w:w="120" w:type="dxa"/>
              <w:bottom w:w="80" w:type="dxa"/>
              <w:end w:w="120" w:type="dxa"/>
            </w:tcMar>
            <w:vAlign w:val="center"/>
          </w:tcPr>
          <w:p>
            <w:pPr>
              <w:spacing w:after="0" w:line="252" w:lineRule="auto"/>
            </w:pPr>
            <w:r>
              <w:rPr>
                <w:rFonts w:ascii="Calibri" w:hAnsi="Calibri"/>
                <w:color w:val="17212B"/>
                <w:sz w:val="18"/>
              </w:rPr>
              <w:t>Future-safe price changes and reproducible historical quotes.</w:t>
            </w:r>
          </w:p>
        </w:tc>
      </w:tr>
    </w:tbl>
    <w:p>
      <w:pPr>
        <w:spacing w:after="40"/>
      </w:pPr>
    </w:p>
    <w:p>
      <w:pPr>
        <w:pStyle w:val="Heading2"/>
      </w:pPr>
      <w:r>
        <w:t>9.3 Demo brand and authentic media strategy</w:t>
      </w:r>
    </w:p>
    <w:p>
      <w:pPr>
        <w:keepLines/>
        <w:spacing w:before="100" w:after="160"/>
        <w:ind w:left="115" w:right="115"/>
        <w:shd w:fill="E8F4ED"/>
        <w:pBdr>
          <w:left w:val="single" w:sz="18" w:space="6" w:color="2F8F63"/>
        </w:pBdr>
      </w:pPr>
      <w:r>
        <w:rPr>
          <w:rFonts w:ascii="Calibri" w:hAnsi="Calibri"/>
          <w:b/>
          <w:color w:val="2F8F63"/>
        </w:rPr>
        <w:t xml:space="preserve">Demo principle  </w:t>
      </w:r>
      <w:r>
        <w:rPr>
          <w:rFonts w:ascii="Calibri" w:hAnsi="Calibri"/>
          <w:color w:val="17212B"/>
        </w:rPr>
        <w:t>The demo can be convincing before final logo and photography approval because every brand asset will be replaceable through one controlled content layer. Temporary assets must still be legal, documented, realistic, and visually consistent.</w:t>
      </w:r>
    </w:p>
    <w:p>
      <w:pPr>
        <w:pStyle w:val="ListBullet"/>
        <w:spacing w:after="80" w:line="276" w:lineRule="auto"/>
        <w:ind w:left="720" w:hanging="360"/>
      </w:pPr>
      <w:r>
        <w:rPr>
          <w:rFonts w:ascii="Calibri" w:hAnsi="Calibri"/>
          <w:color w:val="17212B"/>
        </w:rPr>
        <w:t>Use a restrained text wordmark or neutral monogram placeholder, clearly marked as provisional in project records. Do not invent a polished “final” logo that may be mistaken for approval.</w:t>
      </w:r>
    </w:p>
    <w:p>
      <w:pPr>
        <w:pStyle w:val="ListBullet"/>
        <w:spacing w:after="80" w:line="276" w:lineRule="auto"/>
        <w:ind w:left="720" w:hanging="360"/>
      </w:pPr>
      <w:r>
        <w:rPr>
          <w:rFonts w:ascii="Calibri" w:hAnsi="Calibri"/>
          <w:color w:val="17212B"/>
        </w:rPr>
        <w:t>Source real, openly licensed or royalty-free photography from libraries such as Unsplash, Pexels, or Wikimedia Commons when the individual license permits commercial website use; a commissioned local shoot may replace these assets later.</w:t>
      </w:r>
    </w:p>
    <w:p>
      <w:pPr>
        <w:pStyle w:val="ListBullet"/>
        <w:spacing w:after="80" w:line="276" w:lineRule="auto"/>
        <w:ind w:left="720" w:hanging="360"/>
      </w:pPr>
      <w:r>
        <w:rPr>
          <w:rFonts w:ascii="Calibri" w:hAnsi="Calibri"/>
          <w:color w:val="17212B"/>
        </w:rPr>
        <w:t>Do not use an image with a visible watermark, agency label, third-party company logo, recognizable pest-control brand, embedded credit line, or unclear commercial-use right.</w:t>
      </w:r>
    </w:p>
    <w:p>
      <w:pPr>
        <w:pStyle w:val="ListBullet"/>
        <w:spacing w:after="80" w:line="276" w:lineRule="auto"/>
        <w:ind w:left="720" w:hanging="360"/>
      </w:pPr>
      <w:r>
        <w:rPr>
          <w:rFonts w:ascii="Calibri" w:hAnsi="Calibri"/>
          <w:color w:val="17212B"/>
        </w:rPr>
        <w:t>Do not use AI-generated people, homes, technicians, uniforms, vehicles, treatment scenes, before-and-after evidence, or testimonial portraits.</w:t>
      </w:r>
    </w:p>
    <w:p>
      <w:pPr>
        <w:pStyle w:val="ListBullet"/>
        <w:spacing w:after="80" w:line="276" w:lineRule="auto"/>
        <w:ind w:left="720" w:hanging="360"/>
      </w:pPr>
      <w:r>
        <w:rPr>
          <w:rFonts w:ascii="Calibri" w:hAnsi="Calibri"/>
          <w:color w:val="17212B"/>
        </w:rPr>
        <w:t>Record source URL, photographer, license evidence, download date, attribution requirement, allowed use, approval state, and crop focal point for every asset. Store attribution in the media record even when the license does not require visible on-page credit.</w:t>
      </w:r>
    </w:p>
    <w:p>
      <w:pPr>
        <w:pStyle w:val="ListBullet"/>
        <w:spacing w:after="80" w:line="276" w:lineRule="auto"/>
        <w:ind w:left="720" w:hanging="360"/>
      </w:pPr>
      <w:r>
        <w:rPr>
          <w:rFonts w:ascii="Calibri" w:hAnsi="Calibri"/>
          <w:color w:val="17212B"/>
        </w:rPr>
        <w:t>Expose logo, favicon, hero media, pest imagery, review portraits, and company photography through CMS or brand configuration so replacement does not require component edits.</w:t>
      </w:r>
    </w:p>
    <w:p>
      <w:pPr>
        <w:pStyle w:val="ListBullet"/>
        <w:spacing w:after="80" w:line="276" w:lineRule="auto"/>
        <w:ind w:left="720" w:hanging="360"/>
      </w:pPr>
      <w:r>
        <w:rPr>
          <w:rFonts w:ascii="Calibri" w:hAnsi="Calibri"/>
          <w:color w:val="17212B"/>
        </w:rPr>
        <w:t>Use art-directed desktop and mobile crops. Keep temporary files behind stable media IDs so final approved images can replace them without changing page content references.</w:t>
      </w:r>
    </w:p>
    <w:p>
      <w:pPr>
        <w:pStyle w:val="Heading2"/>
      </w:pPr>
      <w:r>
        <w:t>9.4 Solo-developer execution shape</w:t>
      </w:r>
    </w:p>
    <w:p>
      <w:pPr>
        <w:keepLines w:val="0"/>
      </w:pPr>
      <w:r>
        <w:rPr>
          <w:rFonts w:ascii="Calibri" w:hAnsi="Calibri"/>
          <w:i w:val="0"/>
          <w:color w:val="17212B"/>
        </w:rPr>
        <w:t>A single developer can execute this with disciplined boundaries and managed services. The safest sequence is a vertical slice that proves area lookup, quote integrity, test-mode payment, webhook synchronization, and an admin record before broad page production.</w:t>
      </w:r>
    </w:p>
    <w:p>
      <w:pPr>
        <w:numPr>
          <w:ilvl w:val="0"/>
          <w:numId w:val="11"/>
        </w:numPr>
        <w:spacing w:after="100"/>
        <w:ind w:left="720" w:hanging="360"/>
      </w:pPr>
      <w:r>
        <w:rPr>
          <w:rFonts w:ascii="Calibri" w:hAnsi="Calibri"/>
          <w:color w:val="17212B"/>
        </w:rPr>
        <w:t>Foundation: repository, environments, database migrations, authentication, role model, design tokens, monitoring, and deployment preview.</w:t>
      </w:r>
    </w:p>
    <w:p>
      <w:pPr>
        <w:numPr>
          <w:ilvl w:val="0"/>
          <w:numId w:val="11"/>
        </w:numPr>
        <w:spacing w:after="100"/>
        <w:ind w:left="720" w:hanging="360"/>
      </w:pPr>
      <w:r>
        <w:rPr>
          <w:rFonts w:ascii="Calibri" w:hAnsi="Calibri"/>
          <w:color w:val="17212B"/>
        </w:rPr>
        <w:t>Commercial vertical slice: seed one demo area and two prices; complete area lookup → quote → provider test checkout → webhook → customer and subscription mirror → confirmation.</w:t>
      </w:r>
    </w:p>
    <w:p>
      <w:pPr>
        <w:numPr>
          <w:ilvl w:val="0"/>
          <w:numId w:val="11"/>
        </w:numPr>
        <w:spacing w:after="100"/>
        <w:ind w:left="720" w:hanging="360"/>
      </w:pPr>
      <w:r>
        <w:rPr>
          <w:rFonts w:ascii="Calibri" w:hAnsi="Calibri"/>
          <w:color w:val="17212B"/>
        </w:rPr>
        <w:t>Operations console: customer, address, quote, subscription, payment status, appointment, job, notes, search, filters, and audit history.</w:t>
      </w:r>
    </w:p>
    <w:p>
      <w:pPr>
        <w:numPr>
          <w:ilvl w:val="0"/>
          <w:numId w:val="11"/>
        </w:numPr>
        <w:spacing w:after="100"/>
        <w:ind w:left="720" w:hanging="360"/>
      </w:pPr>
      <w:r>
        <w:rPr>
          <w:rFonts w:ascii="Calibri" w:hAnsi="Calibri"/>
          <w:color w:val="17212B"/>
        </w:rPr>
        <w:t>Public experience: homepage, plan comparison, six pest pages, trust content, FAQs, contact, and responsive navigation using the validated commercial components.</w:t>
      </w:r>
    </w:p>
    <w:p>
      <w:pPr>
        <w:numPr>
          <w:ilvl w:val="0"/>
          <w:numId w:val="11"/>
        </w:numPr>
        <w:spacing w:after="100"/>
        <w:ind w:left="720" w:hanging="360"/>
      </w:pPr>
      <w:r>
        <w:rPr>
          <w:rFonts w:ascii="Calibri" w:hAnsi="Calibri"/>
          <w:color w:val="17212B"/>
        </w:rPr>
        <w:t>Media and content controls: provisional wordmark, authentic licensed photos, asset rights log, CMS preview, approval states, and safe replacement workflow.</w:t>
      </w:r>
    </w:p>
    <w:p>
      <w:pPr>
        <w:numPr>
          <w:ilvl w:val="0"/>
          <w:numId w:val="11"/>
        </w:numPr>
        <w:spacing w:after="100"/>
        <w:ind w:left="720" w:hanging="360"/>
      </w:pPr>
      <w:r>
        <w:rPr>
          <w:rFonts w:ascii="Calibri" w:hAnsi="Calibri"/>
          <w:color w:val="17212B"/>
        </w:rPr>
        <w:t>Hardening: failed payments, duplicate and out-of-order webhooks, quote expiry, out-of-area cases, privacy, accessibility, browser QA, backups, recovery, and production smoke tests.</w:t>
      </w:r>
    </w:p>
    <w:p>
      <w:pPr>
        <w:pStyle w:val="Heading1"/>
      </w:pPr>
      <w:r>
        <w:t>10. SEO, accessibility, and performance</w:t>
      </w:r>
    </w:p>
    <w:p>
      <w:pPr>
        <w:pStyle w:val="Heading2"/>
      </w:pPr>
      <w:r>
        <w:t>SEO</w:t>
      </w:r>
    </w:p>
    <w:p>
      <w:pPr>
        <w:pStyle w:val="ListBullet"/>
        <w:spacing w:after="80" w:line="276" w:lineRule="auto"/>
        <w:ind w:left="720" w:hanging="360"/>
      </w:pPr>
      <w:r>
        <w:rPr>
          <w:rFonts w:ascii="Calibri" w:hAnsi="Calibri"/>
          <w:color w:val="17212B"/>
        </w:rPr>
        <w:t>Unique metadata and canonical URLs for every pest page; no thin duplicate location pages.</w:t>
      </w:r>
    </w:p>
    <w:p>
      <w:pPr>
        <w:pStyle w:val="ListBullet"/>
        <w:spacing w:after="80" w:line="276" w:lineRule="auto"/>
        <w:ind w:left="720" w:hanging="360"/>
      </w:pPr>
      <w:r>
        <w:rPr>
          <w:rFonts w:ascii="Calibri" w:hAnsi="Calibri"/>
          <w:color w:val="17212B"/>
        </w:rPr>
        <w:t>Structured data only when the content supports it, including Organization, LocalBusiness, Service, BreadcrumbList, and FAQPage where eligible.</w:t>
      </w:r>
    </w:p>
    <w:p>
      <w:pPr>
        <w:pStyle w:val="ListBullet"/>
        <w:spacing w:after="80" w:line="276" w:lineRule="auto"/>
        <w:ind w:left="720" w:hanging="360"/>
      </w:pPr>
      <w:r>
        <w:rPr>
          <w:rFonts w:ascii="Calibri" w:hAnsi="Calibri"/>
          <w:color w:val="17212B"/>
        </w:rPr>
        <w:t>Server-rendered primary content, descriptive internal links, XML sitemap, robots policy, and redirect management.</w:t>
      </w:r>
    </w:p>
    <w:p>
      <w:pPr>
        <w:pStyle w:val="ListBullet"/>
        <w:spacing w:after="80" w:line="276" w:lineRule="auto"/>
        <w:ind w:left="720" w:hanging="360"/>
      </w:pPr>
      <w:r>
        <w:rPr>
          <w:rFonts w:ascii="Calibri" w:hAnsi="Calibri"/>
          <w:color w:val="17212B"/>
        </w:rPr>
        <w:t>Editorial ownership for medical, safety, chemical, and pest-identification claims, including review dates and expert attribution.</w:t>
      </w:r>
    </w:p>
    <w:p>
      <w:pPr>
        <w:pStyle w:val="Heading2"/>
      </w:pPr>
      <w:r>
        <w:t>Accessibility</w:t>
      </w:r>
    </w:p>
    <w:p>
      <w:pPr>
        <w:pStyle w:val="ListBullet"/>
        <w:spacing w:after="80" w:line="276" w:lineRule="auto"/>
        <w:ind w:left="720" w:hanging="360"/>
      </w:pPr>
      <w:r>
        <w:rPr>
          <w:rFonts w:ascii="Calibri" w:hAnsi="Calibri"/>
          <w:color w:val="17212B"/>
        </w:rPr>
        <w:t>Target WCAG 2.2 AA and test with keyboard, screen reader, zoom, reduced motion, and high-contrast modes.</w:t>
      </w:r>
    </w:p>
    <w:p>
      <w:pPr>
        <w:pStyle w:val="ListBullet"/>
        <w:spacing w:after="80" w:line="276" w:lineRule="auto"/>
        <w:ind w:left="720" w:hanging="360"/>
      </w:pPr>
      <w:r>
        <w:rPr>
          <w:rFonts w:ascii="Calibri" w:hAnsi="Calibri"/>
          <w:color w:val="17212B"/>
        </w:rPr>
        <w:t>Use semantic headings and landmarks, visible focus, meaningful alt text, descriptive errors, and an error summary for multi-field forms.</w:t>
      </w:r>
    </w:p>
    <w:p>
      <w:pPr>
        <w:pStyle w:val="ListBullet"/>
        <w:spacing w:after="80" w:line="276" w:lineRule="auto"/>
        <w:ind w:left="720" w:hanging="360"/>
      </w:pPr>
      <w:r>
        <w:rPr>
          <w:rFonts w:ascii="Calibri" w:hAnsi="Calibri"/>
          <w:color w:val="17212B"/>
        </w:rPr>
        <w:t>Never encode plan differences with color alone. Associate every input with a visible label and programmatic description.</w:t>
      </w:r>
    </w:p>
    <w:p>
      <w:pPr>
        <w:pStyle w:val="ListBullet"/>
        <w:spacing w:after="80" w:line="276" w:lineRule="auto"/>
        <w:ind w:left="720" w:hanging="360"/>
      </w:pPr>
      <w:r>
        <w:rPr>
          <w:rFonts w:ascii="Calibri" w:hAnsi="Calibri"/>
          <w:color w:val="17212B"/>
        </w:rPr>
        <w:t>Keep phone numbers as real links and communicate whether scheduling is confirmed or merely requested.</w:t>
      </w:r>
    </w:p>
    <w:p>
      <w:pPr>
        <w:pStyle w:val="Heading2"/>
      </w:pPr>
      <w:r>
        <w:t>Performance</w:t>
      </w:r>
    </w:p>
    <w:p>
      <w:pPr>
        <w:pStyle w:val="ListBullet"/>
        <w:spacing w:after="80" w:line="276" w:lineRule="auto"/>
        <w:ind w:left="720" w:hanging="360"/>
      </w:pPr>
      <w:r>
        <w:rPr>
          <w:rFonts w:ascii="Calibri" w:hAnsi="Calibri"/>
          <w:color w:val="17212B"/>
        </w:rPr>
        <w:t>Optimize hero and pest media, reserve dimensions to prevent layout shift, and lazy-load below-the-fold content.</w:t>
      </w:r>
    </w:p>
    <w:p>
      <w:pPr>
        <w:pStyle w:val="ListBullet"/>
        <w:spacing w:after="80" w:line="276" w:lineRule="auto"/>
        <w:ind w:left="720" w:hanging="360"/>
      </w:pPr>
      <w:r>
        <w:rPr>
          <w:rFonts w:ascii="Calibri" w:hAnsi="Calibri"/>
          <w:color w:val="17212B"/>
        </w:rPr>
        <w:t>Limit third-party scripts, defer marketing tags until consent where required, and monitor real-user performance.</w:t>
      </w:r>
    </w:p>
    <w:p>
      <w:pPr>
        <w:pStyle w:val="ListBullet"/>
        <w:spacing w:after="80" w:line="276" w:lineRule="auto"/>
        <w:ind w:left="720" w:hanging="360"/>
      </w:pPr>
      <w:r>
        <w:rPr>
          <w:rFonts w:ascii="Calibri" w:hAnsi="Calibri"/>
          <w:color w:val="17212B"/>
        </w:rPr>
        <w:t>Use route-level code splitting and avoid shipping carousel or animation libraries for simple disclosures.</w:t>
      </w:r>
    </w:p>
    <w:p>
      <w:pPr>
        <w:pStyle w:val="ListBullet"/>
        <w:spacing w:after="80" w:line="276" w:lineRule="auto"/>
        <w:ind w:left="720" w:hanging="360"/>
      </w:pPr>
      <w:r>
        <w:rPr>
          <w:rFonts w:ascii="Calibri" w:hAnsi="Calibri"/>
          <w:color w:val="17212B"/>
        </w:rPr>
        <w:t>Create performance budgets for JavaScript, images, fonts, and external requests before development begins.</w:t>
      </w:r>
    </w:p>
    <w:p>
      <w:r>
        <w:br w:type="page"/>
      </w:r>
    </w:p>
    <w:p>
      <w:pPr>
        <w:pStyle w:val="Heading1"/>
      </w:pPr>
      <w:r>
        <w:t>11. Delivery plan</w:t>
      </w:r>
    </w:p>
    <w:tbl>
      <w:tblPr>
        <w:tblStyle w:val="TableGrid"/>
        <w:tblW w:type="dxa" w:w="9360"/>
        <w:jc w:val="left"/>
        <w:tblLayout w:type="fixed"/>
        <w:tblLook w:firstColumn="1" w:firstRow="1" w:lastColumn="0" w:lastRow="0" w:noHBand="0" w:noVBand="1" w:val="04A0"/>
        <w:tblInd w:w="120" w:type="dxa"/>
      </w:tblPr>
      <w:tblGrid>
        <w:gridCol w:w="1100"/>
        <w:gridCol w:w="2450"/>
        <w:gridCol w:w="3710"/>
        <w:gridCol w:w="2100"/>
      </w:tblGrid>
      <w:tr>
        <w:trPr>
          <w:tblHeader w:val="true"/>
          <w:cantSplit w:val="true"/>
        </w:trPr>
        <w:tc>
          <w:tcPr>
            <w:tcW w:type="dxa" w:w="1100"/>
            <w:shd w:fill="0D2640"/>
            <w:tcMar>
              <w:top w:w="80" w:type="dxa"/>
              <w:start w:w="120" w:type="dxa"/>
              <w:bottom w:w="80" w:type="dxa"/>
              <w:end w:w="120" w:type="dxa"/>
            </w:tcMar>
            <w:vAlign w:val="center"/>
          </w:tcPr>
          <w:p>
            <w:pPr>
              <w:spacing w:after="0"/>
            </w:pPr>
            <w:r>
              <w:rPr>
                <w:rFonts w:ascii="Calibri" w:hAnsi="Calibri"/>
                <w:b/>
                <w:color w:val="FFFFFF"/>
                <w:sz w:val="19"/>
              </w:rPr>
              <w:t>Day</w:t>
            </w:r>
          </w:p>
        </w:tc>
        <w:tc>
          <w:tcPr>
            <w:tcW w:type="dxa" w:w="2450"/>
            <w:shd w:fill="0D2640"/>
            <w:tcMar>
              <w:top w:w="80" w:type="dxa"/>
              <w:start w:w="120" w:type="dxa"/>
              <w:bottom w:w="80" w:type="dxa"/>
              <w:end w:w="120" w:type="dxa"/>
            </w:tcMar>
            <w:vAlign w:val="center"/>
          </w:tcPr>
          <w:p>
            <w:pPr>
              <w:spacing w:after="0"/>
            </w:pPr>
            <w:r>
              <w:rPr>
                <w:rFonts w:ascii="Calibri" w:hAnsi="Calibri"/>
                <w:b/>
                <w:color w:val="FFFFFF"/>
                <w:sz w:val="19"/>
              </w:rPr>
              <w:t>Build focus</w:t>
            </w:r>
          </w:p>
        </w:tc>
        <w:tc>
          <w:tcPr>
            <w:tcW w:type="dxa" w:w="3710"/>
            <w:shd w:fill="0D2640"/>
            <w:tcMar>
              <w:top w:w="80" w:type="dxa"/>
              <w:start w:w="120" w:type="dxa"/>
              <w:bottom w:w="80" w:type="dxa"/>
              <w:end w:w="120" w:type="dxa"/>
            </w:tcMar>
            <w:vAlign w:val="center"/>
          </w:tcPr>
          <w:p>
            <w:pPr>
              <w:spacing w:after="0"/>
            </w:pPr>
            <w:r>
              <w:rPr>
                <w:rFonts w:ascii="Calibri" w:hAnsi="Calibri"/>
                <w:b/>
                <w:color w:val="FFFFFF"/>
                <w:sz w:val="19"/>
              </w:rPr>
              <w:t>Required output</w:t>
            </w:r>
          </w:p>
        </w:tc>
        <w:tc>
          <w:tcPr>
            <w:tcW w:type="dxa" w:w="2100"/>
            <w:shd w:fill="0D2640"/>
            <w:tcMar>
              <w:top w:w="80" w:type="dxa"/>
              <w:start w:w="120" w:type="dxa"/>
              <w:bottom w:w="80" w:type="dxa"/>
              <w:end w:w="120" w:type="dxa"/>
            </w:tcMar>
            <w:vAlign w:val="center"/>
          </w:tcPr>
          <w:p>
            <w:pPr>
              <w:spacing w:after="0"/>
            </w:pPr>
            <w:r>
              <w:rPr>
                <w:rFonts w:ascii="Calibri" w:hAnsi="Calibri"/>
                <w:b/>
                <w:color w:val="FFFFFF"/>
                <w:sz w:val="19"/>
              </w:rPr>
              <w:t>Release gate</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Day 1</w:t>
            </w:r>
          </w:p>
        </w:tc>
        <w:tc>
          <w:tcPr>
            <w:tcW w:type="dxa" w:w="2450"/>
            <w:tcMar>
              <w:top w:w="80" w:type="dxa"/>
              <w:start w:w="120" w:type="dxa"/>
              <w:bottom w:w="80" w:type="dxa"/>
              <w:end w:w="120" w:type="dxa"/>
            </w:tcMar>
            <w:vAlign w:val="center"/>
          </w:tcPr>
          <w:p>
            <w:pPr>
              <w:spacing w:after="0" w:line="252" w:lineRule="auto"/>
            </w:pPr>
            <w:r>
              <w:rPr>
                <w:rFonts w:ascii="Calibri" w:hAnsi="Calibri"/>
                <w:color w:val="17212B"/>
                <w:sz w:val="18"/>
              </w:rPr>
              <w:t>Foundation and owner setup</w:t>
            </w:r>
          </w:p>
        </w:tc>
        <w:tc>
          <w:tcPr>
            <w:tcW w:type="dxa" w:w="3710"/>
            <w:tcMar>
              <w:top w:w="80" w:type="dxa"/>
              <w:start w:w="120" w:type="dxa"/>
              <w:bottom w:w="80" w:type="dxa"/>
              <w:end w:w="120" w:type="dxa"/>
            </w:tcMar>
            <w:vAlign w:val="center"/>
          </w:tcPr>
          <w:p>
            <w:pPr>
              <w:spacing w:after="0" w:line="252" w:lineRule="auto"/>
            </w:pPr>
            <w:r>
              <w:rPr>
                <w:rFonts w:ascii="Calibri" w:hAnsi="Calibri"/>
                <w:color w:val="17212B"/>
                <w:sz w:val="18"/>
              </w:rPr>
              <w:t>Repository, environments, Supabase project, migrations, staff auth, design tokens, provisional service areas and prices.</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Owner creates provider accounts and supplies non-secret business inputs.</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Day 2</w:t>
            </w:r>
          </w:p>
        </w:tc>
        <w:tc>
          <w:tcPr>
            <w:tcW w:type="dxa" w:w="2450"/>
            <w:shd w:fill="F3F6F4"/>
            <w:tcMar>
              <w:top w:w="80" w:type="dxa"/>
              <w:start w:w="120" w:type="dxa"/>
              <w:bottom w:w="80" w:type="dxa"/>
              <w:end w:w="120" w:type="dxa"/>
            </w:tcMar>
            <w:vAlign w:val="center"/>
          </w:tcPr>
          <w:p>
            <w:pPr>
              <w:spacing w:after="0" w:line="252" w:lineRule="auto"/>
            </w:pPr>
            <w:r>
              <w:rPr>
                <w:rFonts w:ascii="Calibri" w:hAnsi="Calibri"/>
                <w:color w:val="17212B"/>
                <w:sz w:val="18"/>
              </w:rPr>
              <w:t>Commercial path</w:t>
            </w:r>
          </w:p>
        </w:tc>
        <w:tc>
          <w:tcPr>
            <w:tcW w:type="dxa" w:w="3710"/>
            <w:shd w:fill="F3F6F4"/>
            <w:tcMar>
              <w:top w:w="80" w:type="dxa"/>
              <w:start w:w="120" w:type="dxa"/>
              <w:bottom w:w="80" w:type="dxa"/>
              <w:end w:w="120" w:type="dxa"/>
            </w:tcMar>
            <w:vAlign w:val="center"/>
          </w:tcPr>
          <w:p>
            <w:pPr>
              <w:spacing w:after="0" w:line="252" w:lineRule="auto"/>
            </w:pPr>
            <w:r>
              <w:rPr>
                <w:rFonts w:ascii="Calibri" w:hAnsi="Calibri"/>
                <w:color w:val="17212B"/>
                <w:sz w:val="18"/>
              </w:rPr>
              <w:t>Eligibility lookup, server quote, Stripe products and prices, recurring and one-time Checkout in test mode.</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Both checkout modes complete with correct amounts.</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Day 3</w:t>
            </w:r>
          </w:p>
        </w:tc>
        <w:tc>
          <w:tcPr>
            <w:tcW w:type="dxa" w:w="2450"/>
            <w:tcMar>
              <w:top w:w="80" w:type="dxa"/>
              <w:start w:w="120" w:type="dxa"/>
              <w:bottom w:w="80" w:type="dxa"/>
              <w:end w:w="120" w:type="dxa"/>
            </w:tcMar>
            <w:vAlign w:val="center"/>
          </w:tcPr>
          <w:p>
            <w:pPr>
              <w:spacing w:after="0" w:line="252" w:lineRule="auto"/>
            </w:pPr>
            <w:r>
              <w:rPr>
                <w:rFonts w:ascii="Calibri" w:hAnsi="Calibri"/>
                <w:color w:val="17212B"/>
                <w:sz w:val="18"/>
              </w:rPr>
              <w:t>Billing synchronization</w:t>
            </w:r>
          </w:p>
        </w:tc>
        <w:tc>
          <w:tcPr>
            <w:tcW w:type="dxa" w:w="3710"/>
            <w:tcMar>
              <w:top w:w="80" w:type="dxa"/>
              <w:start w:w="120" w:type="dxa"/>
              <w:bottom w:w="80" w:type="dxa"/>
              <w:end w:w="120" w:type="dxa"/>
            </w:tcMar>
            <w:vAlign w:val="center"/>
          </w:tcPr>
          <w:p>
            <w:pPr>
              <w:spacing w:after="0" w:line="252" w:lineRule="auto"/>
            </w:pPr>
            <w:r>
              <w:rPr>
                <w:rFonts w:ascii="Calibri" w:hAnsi="Calibri"/>
                <w:color w:val="17212B"/>
                <w:sz w:val="18"/>
              </w:rPr>
              <w:t>Verified Stripe webhook, event deduplication, customer, order and subscription mirrors, Customer Portal.</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Replay and out-of-order tests do not duplicate records.</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Day 4</w:t>
            </w:r>
          </w:p>
        </w:tc>
        <w:tc>
          <w:tcPr>
            <w:tcW w:type="dxa" w:w="2450"/>
            <w:shd w:fill="F3F6F4"/>
            <w:tcMar>
              <w:top w:w="80" w:type="dxa"/>
              <w:start w:w="120" w:type="dxa"/>
              <w:bottom w:w="80" w:type="dxa"/>
              <w:end w:w="120" w:type="dxa"/>
            </w:tcMar>
            <w:vAlign w:val="center"/>
          </w:tcPr>
          <w:p>
            <w:pPr>
              <w:spacing w:after="0" w:line="252" w:lineRule="auto"/>
            </w:pPr>
            <w:r>
              <w:rPr>
                <w:rFonts w:ascii="Calibri" w:hAnsi="Calibri"/>
                <w:color w:val="17212B"/>
                <w:sz w:val="18"/>
              </w:rPr>
              <w:t>Operations console</w:t>
            </w:r>
          </w:p>
        </w:tc>
        <w:tc>
          <w:tcPr>
            <w:tcW w:type="dxa" w:w="3710"/>
            <w:shd w:fill="F3F6F4"/>
            <w:tcMar>
              <w:top w:w="80" w:type="dxa"/>
              <w:start w:w="120" w:type="dxa"/>
              <w:bottom w:w="80" w:type="dxa"/>
              <w:end w:w="120" w:type="dxa"/>
            </w:tcMar>
            <w:vAlign w:val="center"/>
          </w:tcPr>
          <w:p>
            <w:pPr>
              <w:spacing w:after="0" w:line="252" w:lineRule="auto"/>
            </w:pPr>
            <w:r>
              <w:rPr>
                <w:rFonts w:ascii="Calibri" w:hAnsi="Calibri"/>
                <w:color w:val="17212B"/>
                <w:sz w:val="18"/>
              </w:rPr>
              <w:t>Customer search, address, quote, billing status, appointment, job, notes, and audit views.</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Owner can operate test customers without direct database access.</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Day 5</w:t>
            </w:r>
          </w:p>
        </w:tc>
        <w:tc>
          <w:tcPr>
            <w:tcW w:type="dxa" w:w="2450"/>
            <w:tcMar>
              <w:top w:w="80" w:type="dxa"/>
              <w:start w:w="120" w:type="dxa"/>
              <w:bottom w:w="80" w:type="dxa"/>
              <w:end w:w="120" w:type="dxa"/>
            </w:tcMar>
            <w:vAlign w:val="center"/>
          </w:tcPr>
          <w:p>
            <w:pPr>
              <w:spacing w:after="0" w:line="252" w:lineRule="auto"/>
            </w:pPr>
            <w:r>
              <w:rPr>
                <w:rFonts w:ascii="Calibri" w:hAnsi="Calibri"/>
                <w:color w:val="17212B"/>
                <w:sz w:val="18"/>
              </w:rPr>
              <w:t>Public experience and media</w:t>
            </w:r>
          </w:p>
        </w:tc>
        <w:tc>
          <w:tcPr>
            <w:tcW w:type="dxa" w:w="3710"/>
            <w:tcMar>
              <w:top w:w="80" w:type="dxa"/>
              <w:start w:w="120" w:type="dxa"/>
              <w:bottom w:w="80" w:type="dxa"/>
              <w:end w:w="120" w:type="dxa"/>
            </w:tcMar>
            <w:vAlign w:val="center"/>
          </w:tcPr>
          <w:p>
            <w:pPr>
              <w:spacing w:after="0" w:line="252" w:lineRule="auto"/>
            </w:pPr>
            <w:r>
              <w:rPr>
                <w:rFonts w:ascii="Calibri" w:hAnsi="Calibri"/>
                <w:color w:val="17212B"/>
                <w:sz w:val="18"/>
              </w:rPr>
              <w:t>Homepage, plans, six pest pages, FAQs, contact, responsive navigation, approved open-library photography, brand replacement settings.</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All P0 routes complete; no placeholder navigation.</w:t>
            </w:r>
          </w:p>
        </w:tc>
      </w:tr>
      <w:tr>
        <w:trPr>
          <w:cantSplit w:val="true"/>
        </w:trPr>
        <w:tc>
          <w:tcPr>
            <w:tcW w:type="dxa" w:w="1100"/>
            <w:shd w:fill="F3F6F4"/>
            <w:tcMar>
              <w:top w:w="80" w:type="dxa"/>
              <w:start w:w="120" w:type="dxa"/>
              <w:bottom w:w="80" w:type="dxa"/>
              <w:end w:w="120" w:type="dxa"/>
            </w:tcMar>
            <w:vAlign w:val="center"/>
          </w:tcPr>
          <w:p>
            <w:pPr>
              <w:spacing w:after="0" w:line="252" w:lineRule="auto"/>
            </w:pPr>
            <w:r>
              <w:rPr>
                <w:rFonts w:ascii="Calibri" w:hAnsi="Calibri"/>
                <w:color w:val="17212B"/>
                <w:sz w:val="18"/>
              </w:rPr>
              <w:t>Day 6</w:t>
            </w:r>
          </w:p>
        </w:tc>
        <w:tc>
          <w:tcPr>
            <w:tcW w:type="dxa" w:w="2450"/>
            <w:shd w:fill="F3F6F4"/>
            <w:tcMar>
              <w:top w:w="80" w:type="dxa"/>
              <w:start w:w="120" w:type="dxa"/>
              <w:bottom w:w="80" w:type="dxa"/>
              <w:end w:w="120" w:type="dxa"/>
            </w:tcMar>
            <w:vAlign w:val="center"/>
          </w:tcPr>
          <w:p>
            <w:pPr>
              <w:spacing w:after="0" w:line="252" w:lineRule="auto"/>
            </w:pPr>
            <w:r>
              <w:rPr>
                <w:rFonts w:ascii="Calibri" w:hAnsi="Calibri"/>
                <w:color w:val="17212B"/>
                <w:sz w:val="18"/>
              </w:rPr>
              <w:t>Hardening and deployment</w:t>
            </w:r>
          </w:p>
        </w:tc>
        <w:tc>
          <w:tcPr>
            <w:tcW w:type="dxa" w:w="3710"/>
            <w:shd w:fill="F3F6F4"/>
            <w:tcMar>
              <w:top w:w="80" w:type="dxa"/>
              <w:start w:w="120" w:type="dxa"/>
              <w:bottom w:w="80" w:type="dxa"/>
              <w:end w:w="120" w:type="dxa"/>
            </w:tcMar>
            <w:vAlign w:val="center"/>
          </w:tcPr>
          <w:p>
            <w:pPr>
              <w:spacing w:after="0" w:line="252" w:lineRule="auto"/>
            </w:pPr>
            <w:r>
              <w:rPr>
                <w:rFonts w:ascii="Calibri" w:hAnsi="Calibri"/>
                <w:color w:val="17212B"/>
                <w:sz w:val="18"/>
              </w:rPr>
              <w:t>Validation, security, privacy, accessibility, performance, email, monitoring, backups, production configuration, custom domain.</w:t>
            </w:r>
          </w:p>
        </w:tc>
        <w:tc>
          <w:tcPr>
            <w:tcW w:type="dxa" w:w="2100"/>
            <w:shd w:fill="F3F6F4"/>
            <w:tcMar>
              <w:top w:w="80" w:type="dxa"/>
              <w:start w:w="120" w:type="dxa"/>
              <w:bottom w:w="80" w:type="dxa"/>
              <w:end w:w="120" w:type="dxa"/>
            </w:tcMar>
            <w:vAlign w:val="center"/>
          </w:tcPr>
          <w:p>
            <w:pPr>
              <w:spacing w:after="0" w:line="252" w:lineRule="auto"/>
            </w:pPr>
            <w:r>
              <w:rPr>
                <w:rFonts w:ascii="Calibri" w:hAnsi="Calibri"/>
                <w:color w:val="17212B"/>
                <w:sz w:val="18"/>
              </w:rPr>
              <w:t>Test matrix passes and provisional prices remain blocked from live checkout.</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color w:val="17212B"/>
                <w:sz w:val="18"/>
              </w:rPr>
              <w:t>Day 7</w:t>
            </w:r>
          </w:p>
        </w:tc>
        <w:tc>
          <w:tcPr>
            <w:tcW w:type="dxa" w:w="2450"/>
            <w:tcMar>
              <w:top w:w="80" w:type="dxa"/>
              <w:start w:w="120" w:type="dxa"/>
              <w:bottom w:w="80" w:type="dxa"/>
              <w:end w:w="120" w:type="dxa"/>
            </w:tcMar>
            <w:vAlign w:val="center"/>
          </w:tcPr>
          <w:p>
            <w:pPr>
              <w:spacing w:after="0" w:line="252" w:lineRule="auto"/>
            </w:pPr>
            <w:r>
              <w:rPr>
                <w:rFonts w:ascii="Calibri" w:hAnsi="Calibri"/>
                <w:color w:val="17212B"/>
                <w:sz w:val="18"/>
              </w:rPr>
              <w:t>Owner acceptance and release</w:t>
            </w:r>
          </w:p>
        </w:tc>
        <w:tc>
          <w:tcPr>
            <w:tcW w:type="dxa" w:w="3710"/>
            <w:tcMar>
              <w:top w:w="80" w:type="dxa"/>
              <w:start w:w="120" w:type="dxa"/>
              <w:bottom w:w="80" w:type="dxa"/>
              <w:end w:w="120" w:type="dxa"/>
            </w:tcMar>
            <w:vAlign w:val="center"/>
          </w:tcPr>
          <w:p>
            <w:pPr>
              <w:spacing w:after="0" w:line="252" w:lineRule="auto"/>
            </w:pPr>
            <w:r>
              <w:rPr>
                <w:rFonts w:ascii="Calibri" w:hAnsi="Calibri"/>
                <w:color w:val="17212B"/>
                <w:sz w:val="18"/>
              </w:rPr>
              <w:t>Owner walkthrough, approved prices and policies, live-key switch, smoke purchase and rollback checklist.</w:t>
            </w:r>
          </w:p>
        </w:tc>
        <w:tc>
          <w:tcPr>
            <w:tcW w:type="dxa" w:w="2100"/>
            <w:tcMar>
              <w:top w:w="80" w:type="dxa"/>
              <w:start w:w="120" w:type="dxa"/>
              <w:bottom w:w="80" w:type="dxa"/>
              <w:end w:w="120" w:type="dxa"/>
            </w:tcMar>
            <w:vAlign w:val="center"/>
          </w:tcPr>
          <w:p>
            <w:pPr>
              <w:spacing w:after="0" w:line="252" w:lineRule="auto"/>
            </w:pPr>
            <w:r>
              <w:rPr>
                <w:rFonts w:ascii="Calibri" w:hAnsi="Calibri"/>
                <w:color w:val="17212B"/>
                <w:sz w:val="18"/>
              </w:rPr>
              <w:t>Owner signs off; live transaction and operational record are verified.</w:t>
            </w:r>
          </w:p>
        </w:tc>
      </w:tr>
    </w:tbl>
    <w:p>
      <w:pPr>
        <w:spacing w:after="40"/>
      </w:pPr>
    </w:p>
    <w:p>
      <w:pPr>
        <w:keepLines w:val="0"/>
      </w:pPr>
      <w:r>
        <w:rPr>
          <w:rFonts w:ascii="Calibri" w:hAnsi="Calibri"/>
          <w:i w:val="0"/>
          <w:color w:val="17212B"/>
        </w:rPr>
        <w:t>Delivery target: a working production MVP in 5 to 7 calendar days, provided the owner creates Stripe, Supabase, Resend, and hosting accounts on day 1 and responds to pricing, policy, domain, and content approvals the same day. This is a functional release with a durable schema and payment boundary—not a throwaway demo. Advanced dispatch, route optimization, SMS, broad local SEO, complex promotion tooling, and a fully custom customer account remain post-release extensions.</w:t>
      </w:r>
    </w:p>
    <w:p>
      <w:pPr>
        <w:pStyle w:val="Heading2"/>
      </w:pPr>
      <w:r>
        <w:t>Team roles</w:t>
      </w:r>
    </w:p>
    <w:p>
      <w:pPr>
        <w:keepLines w:val="0"/>
      </w:pPr>
      <w:r>
        <w:rPr>
          <w:rFonts w:ascii="Calibri" w:hAnsi="Calibri"/>
          <w:i w:val="0"/>
          <w:color w:val="17212B"/>
        </w:rPr>
        <w:t>One person may perform several roles, but the decision responsibilities still need named owners. The developer can implement and document the system; the business owner must approve service truth, prices, policy, credentials, media, and launch decisions.</w:t>
      </w:r>
    </w:p>
    <w:p>
      <w:pPr>
        <w:pStyle w:val="ListBullet"/>
        <w:spacing w:after="80" w:line="276" w:lineRule="auto"/>
        <w:ind w:left="720" w:hanging="360"/>
      </w:pPr>
      <w:r>
        <w:rPr>
          <w:rFonts w:ascii="Calibri" w:hAnsi="Calibri"/>
          <w:color w:val="17212B"/>
        </w:rPr>
        <w:t>Product owner: scope, claims, pricing policy, service area, and acceptance decisions.</w:t>
      </w:r>
    </w:p>
    <w:p>
      <w:pPr>
        <w:pStyle w:val="ListBullet"/>
        <w:spacing w:after="80" w:line="276" w:lineRule="auto"/>
        <w:ind w:left="720" w:hanging="360"/>
      </w:pPr>
      <w:r>
        <w:rPr>
          <w:rFonts w:ascii="Calibri" w:hAnsi="Calibri"/>
          <w:color w:val="17212B"/>
        </w:rPr>
        <w:t>UX or product designer: information architecture, responsive flows, component states, visual system, and prototype.</w:t>
      </w:r>
    </w:p>
    <w:p>
      <w:pPr>
        <w:pStyle w:val="ListBullet"/>
        <w:spacing w:after="80" w:line="276" w:lineRule="auto"/>
        <w:ind w:left="720" w:hanging="360"/>
      </w:pPr>
      <w:r>
        <w:rPr>
          <w:rFonts w:ascii="Calibri" w:hAnsi="Calibri"/>
          <w:color w:val="17212B"/>
        </w:rPr>
        <w:t>Full-stack developer: application, CMS, data, integrations, security, analytics, and deployment.</w:t>
      </w:r>
    </w:p>
    <w:p>
      <w:pPr>
        <w:pStyle w:val="ListBullet"/>
        <w:spacing w:after="80" w:line="276" w:lineRule="auto"/>
        <w:ind w:left="720" w:hanging="360"/>
      </w:pPr>
      <w:r>
        <w:rPr>
          <w:rFonts w:ascii="Calibri" w:hAnsi="Calibri"/>
          <w:color w:val="17212B"/>
        </w:rPr>
        <w:t>Content and SEO owner: original service copy, pest facts, metadata, internal links, and review governance.</w:t>
      </w:r>
    </w:p>
    <w:p>
      <w:pPr>
        <w:pStyle w:val="ListBullet"/>
        <w:spacing w:after="80" w:line="276" w:lineRule="auto"/>
        <w:ind w:left="720" w:hanging="360"/>
      </w:pPr>
      <w:r>
        <w:rPr>
          <w:rFonts w:ascii="Calibri" w:hAnsi="Calibri"/>
          <w:color w:val="17212B"/>
        </w:rPr>
        <w:t>QA reviewer: functional, responsive, accessibility, performance, privacy, and lead-delivery verification.</w:t>
      </w:r>
    </w:p>
    <w:p>
      <w:pPr>
        <w:pStyle w:val="Heading1"/>
      </w:pPr>
      <w:r>
        <w:t>12. Release acceptance criteria</w:t>
      </w:r>
    </w:p>
    <w:p>
      <w:pPr>
        <w:pStyle w:val="Heading2"/>
      </w:pPr>
      <w:r>
        <w:t>Product and content</w:t>
      </w:r>
    </w:p>
    <w:p>
      <w:pPr>
        <w:pStyle w:val="ListBullet"/>
        <w:spacing w:after="80" w:line="276" w:lineRule="auto"/>
        <w:ind w:left="720" w:hanging="360"/>
      </w:pPr>
      <w:r>
        <w:rPr>
          <w:rFonts w:ascii="Calibri" w:hAnsi="Calibri"/>
          <w:color w:val="17212B"/>
        </w:rPr>
        <w:t>All P0 routes are complete; no menu item leads to an empty, placeholder, or “coming soon” page.</w:t>
      </w:r>
    </w:p>
    <w:p>
      <w:pPr>
        <w:pStyle w:val="ListBullet"/>
        <w:spacing w:after="80" w:line="276" w:lineRule="auto"/>
        <w:ind w:left="720" w:hanging="360"/>
      </w:pPr>
      <w:r>
        <w:rPr>
          <w:rFonts w:ascii="Calibri" w:hAnsi="Calibri"/>
          <w:color w:val="17212B"/>
        </w:rPr>
        <w:t>The two service modes use approved features, exclusions, and follow-up terms.</w:t>
      </w:r>
    </w:p>
    <w:p>
      <w:pPr>
        <w:pStyle w:val="ListBullet"/>
        <w:spacing w:after="80" w:line="276" w:lineRule="auto"/>
        <w:ind w:left="720" w:hanging="360"/>
      </w:pPr>
      <w:r>
        <w:rPr>
          <w:rFonts w:ascii="Calibri" w:hAnsi="Calibri"/>
          <w:color w:val="17212B"/>
        </w:rPr>
        <w:t>Six pest pages contain original reviewed content and share one consistent template.</w:t>
      </w:r>
    </w:p>
    <w:p>
      <w:pPr>
        <w:pStyle w:val="ListBullet"/>
        <w:spacing w:after="80" w:line="276" w:lineRule="auto"/>
        <w:ind w:left="720" w:hanging="360"/>
      </w:pPr>
      <w:r>
        <w:rPr>
          <w:rFonts w:ascii="Calibri" w:hAnsi="Calibri"/>
          <w:color w:val="17212B"/>
        </w:rPr>
        <w:t>Every primary CTA leads to area verification or the correct checkout step and retains campaign attribution safely.</w:t>
      </w:r>
    </w:p>
    <w:p>
      <w:pPr>
        <w:pStyle w:val="ListBullet"/>
        <w:spacing w:after="80" w:line="276" w:lineRule="auto"/>
        <w:ind w:left="720" w:hanging="360"/>
      </w:pPr>
      <w:r>
        <w:rPr>
          <w:rFonts w:ascii="Calibri" w:hAnsi="Calibri"/>
          <w:color w:val="17212B"/>
        </w:rPr>
        <w:t>Phone, support hours, service area, and response expectations are accurate.</w:t>
      </w:r>
    </w:p>
    <w:p>
      <w:pPr>
        <w:pStyle w:val="Heading2"/>
      </w:pPr>
      <w:r>
        <w:t>Functional</w:t>
      </w:r>
    </w:p>
    <w:p>
      <w:pPr>
        <w:pStyle w:val="ListBullet"/>
        <w:spacing w:after="80" w:line="276" w:lineRule="auto"/>
        <w:ind w:left="720" w:hanging="360"/>
      </w:pPr>
      <w:r>
        <w:rPr>
          <w:rFonts w:ascii="Calibri" w:hAnsi="Calibri"/>
          <w:color w:val="17212B"/>
        </w:rPr>
        <w:t>Service-area validation works for eligible, ineligible, ambiguous, and provider-error cases.</w:t>
      </w:r>
    </w:p>
    <w:p>
      <w:pPr>
        <w:pStyle w:val="ListBullet"/>
        <w:spacing w:after="80" w:line="276" w:lineRule="auto"/>
        <w:ind w:left="720" w:hanging="360"/>
      </w:pPr>
      <w:r>
        <w:rPr>
          <w:rFonts w:ascii="Calibri" w:hAnsi="Calibri"/>
          <w:color w:val="17212B"/>
        </w:rPr>
        <w:t>The multi-step funnel preserves data, validates on client and server, prevents duplicate submission, and generates a versioned quote identifier.</w:t>
      </w:r>
    </w:p>
    <w:p>
      <w:pPr>
        <w:pStyle w:val="ListBullet"/>
        <w:spacing w:after="80" w:line="276" w:lineRule="auto"/>
        <w:ind w:left="720" w:hanging="360"/>
      </w:pPr>
      <w:r>
        <w:rPr>
          <w:rFonts w:ascii="Calibri" w:hAnsi="Calibri"/>
          <w:color w:val="17212B"/>
        </w:rPr>
        <w:t>Recurring and one-time test purchases show the correct area price, initial charge, cadence, currency, and tax treatment.</w:t>
      </w:r>
    </w:p>
    <w:p>
      <w:pPr>
        <w:pStyle w:val="ListBullet"/>
        <w:spacing w:after="80" w:line="276" w:lineRule="auto"/>
        <w:ind w:left="720" w:hanging="360"/>
      </w:pPr>
      <w:r>
        <w:rPr>
          <w:rFonts w:ascii="Calibri" w:hAnsi="Calibri"/>
          <w:color w:val="17212B"/>
        </w:rPr>
        <w:t>Verified webhooks create or update exactly one customer, order, subscription mirror, and onboarding record even after replay or out-of-order delivery.</w:t>
      </w:r>
    </w:p>
    <w:p>
      <w:pPr>
        <w:pStyle w:val="ListBullet"/>
        <w:spacing w:after="80" w:line="276" w:lineRule="auto"/>
        <w:ind w:left="720" w:hanging="360"/>
      </w:pPr>
      <w:r>
        <w:rPr>
          <w:rFonts w:ascii="Calibri" w:hAnsi="Calibri"/>
          <w:color w:val="17212B"/>
        </w:rPr>
        <w:t>Failed, incomplete, past-due, canceled, refunded, and expired-quote paths produce correct customer and operator states.</w:t>
      </w:r>
    </w:p>
    <w:p>
      <w:pPr>
        <w:pStyle w:val="ListBullet"/>
        <w:spacing w:after="80" w:line="276" w:lineRule="auto"/>
        <w:ind w:left="720" w:hanging="360"/>
      </w:pPr>
      <w:r>
        <w:rPr>
          <w:rFonts w:ascii="Calibri" w:hAnsi="Calibri"/>
          <w:color w:val="17212B"/>
        </w:rPr>
        <w:t>The operations console allows authorized staff to find a customer, inspect history, update appointment or job status, add notes, and follow an audit trail.</w:t>
      </w:r>
    </w:p>
    <w:p>
      <w:pPr>
        <w:pStyle w:val="ListBullet"/>
        <w:spacing w:after="80" w:line="276" w:lineRule="auto"/>
        <w:ind w:left="720" w:hanging="360"/>
      </w:pPr>
      <w:r>
        <w:rPr>
          <w:rFonts w:ascii="Calibri" w:hAnsi="Calibri"/>
          <w:color w:val="17212B"/>
        </w:rPr>
        <w:t>Confirmation email or SMS delivery is verified, and the customer billing portal opens only for the authenticated owner.</w:t>
      </w:r>
    </w:p>
    <w:p>
      <w:pPr>
        <w:pStyle w:val="ListBullet"/>
        <w:spacing w:after="80" w:line="276" w:lineRule="auto"/>
        <w:ind w:left="720" w:hanging="360"/>
      </w:pPr>
      <w:r>
        <w:rPr>
          <w:rFonts w:ascii="Calibri" w:hAnsi="Calibri"/>
          <w:color w:val="17212B"/>
        </w:rPr>
        <w:t>CMS editors can draft, preview, publish, unpublish, and expire an offer without code changes.</w:t>
      </w:r>
    </w:p>
    <w:p>
      <w:pPr>
        <w:pStyle w:val="ListBullet"/>
        <w:spacing w:after="80" w:line="276" w:lineRule="auto"/>
        <w:ind w:left="720" w:hanging="360"/>
      </w:pPr>
      <w:r>
        <w:rPr>
          <w:rFonts w:ascii="Calibri" w:hAnsi="Calibri"/>
          <w:color w:val="17212B"/>
        </w:rPr>
        <w:t>An authorized editor can replace the provisional logo and every temporary photograph without editing application components.</w:t>
      </w:r>
    </w:p>
    <w:p>
      <w:pPr>
        <w:pStyle w:val="ListBullet"/>
        <w:spacing w:after="80" w:line="276" w:lineRule="auto"/>
        <w:ind w:left="720" w:hanging="360"/>
      </w:pPr>
      <w:r>
        <w:rPr>
          <w:rFonts w:ascii="Calibri" w:hAnsi="Calibri"/>
          <w:color w:val="17212B"/>
        </w:rPr>
        <w:t>Errors are monitored and do not expose personal data.</w:t>
      </w:r>
    </w:p>
    <w:p>
      <w:pPr>
        <w:pStyle w:val="Heading2"/>
      </w:pPr>
      <w:r>
        <w:t>Design and quality</w:t>
      </w:r>
    </w:p>
    <w:p>
      <w:pPr>
        <w:pStyle w:val="ListBullet"/>
        <w:spacing w:after="80" w:line="276" w:lineRule="auto"/>
        <w:ind w:left="720" w:hanging="360"/>
      </w:pPr>
      <w:r>
        <w:rPr>
          <w:rFonts w:ascii="Calibri" w:hAnsi="Calibri"/>
          <w:color w:val="17212B"/>
        </w:rPr>
        <w:t>Layouts are approved at mobile, tablet, laptop, and wide desktop sizes.</w:t>
      </w:r>
    </w:p>
    <w:p>
      <w:pPr>
        <w:pStyle w:val="ListBullet"/>
        <w:spacing w:after="80" w:line="276" w:lineRule="auto"/>
        <w:ind w:left="720" w:hanging="360"/>
      </w:pPr>
      <w:r>
        <w:rPr>
          <w:rFonts w:ascii="Calibri" w:hAnsi="Calibri"/>
          <w:color w:val="17212B"/>
        </w:rPr>
        <w:t>Buttons, cards, icons, inputs, spacing, and heading widths match documented tokens.</w:t>
      </w:r>
    </w:p>
    <w:p>
      <w:pPr>
        <w:pStyle w:val="ListBullet"/>
        <w:spacing w:after="80" w:line="276" w:lineRule="auto"/>
        <w:ind w:left="720" w:hanging="360"/>
      </w:pPr>
      <w:r>
        <w:rPr>
          <w:rFonts w:ascii="Calibri" w:hAnsi="Calibri"/>
          <w:color w:val="17212B"/>
        </w:rPr>
        <w:t>No generic AI artwork, copied Terminix imagery, cloned copy, mismatched icons, or decorative filler remains.</w:t>
      </w:r>
    </w:p>
    <w:p>
      <w:pPr>
        <w:pStyle w:val="ListBullet"/>
        <w:spacing w:after="80" w:line="276" w:lineRule="auto"/>
        <w:ind w:left="720" w:hanging="360"/>
      </w:pPr>
      <w:r>
        <w:rPr>
          <w:rFonts w:ascii="Calibri" w:hAnsi="Calibri"/>
          <w:color w:val="17212B"/>
        </w:rPr>
        <w:t>Keyboard, screen-reader, zoom, and color-contrast testing passes the agreed accessibility baseline.</w:t>
      </w:r>
    </w:p>
    <w:p>
      <w:pPr>
        <w:pStyle w:val="ListBullet"/>
        <w:spacing w:after="80" w:line="276" w:lineRule="auto"/>
        <w:ind w:left="720" w:hanging="360"/>
      </w:pPr>
      <w:r>
        <w:rPr>
          <w:rFonts w:ascii="Calibri" w:hAnsi="Calibri"/>
          <w:color w:val="17212B"/>
        </w:rPr>
        <w:t>Performance budgets and real-user monitoring are configured before launch.</w:t>
      </w:r>
    </w:p>
    <w:p>
      <w:pPr>
        <w:keepLines/>
        <w:spacing w:before="100" w:after="160"/>
        <w:ind w:left="115" w:right="115"/>
        <w:shd w:fill="E8F4ED"/>
        <w:pBdr>
          <w:left w:val="single" w:sz="18" w:space="6" w:color="2F8F63"/>
        </w:pBdr>
      </w:pPr>
      <w:r>
        <w:rPr>
          <w:rFonts w:ascii="Calibri" w:hAnsi="Calibri"/>
          <w:b/>
          <w:color w:val="2F8F63"/>
        </w:rPr>
        <w:t xml:space="preserve">Definition of done  </w:t>
      </w:r>
      <w:r>
        <w:rPr>
          <w:rFonts w:ascii="Calibri" w:hAnsi="Calibri"/>
          <w:color w:val="17212B"/>
        </w:rPr>
        <w:t>A visitor can discover a relevant pest service, verify an eligible area, receive the correct price, purchase recurring or one-time service, and receive an accurate onboarding confirmation. The owner can see and operate that customer in the Pest Operations Console, while payment credentials remain with the billing provider.</w:t>
      </w:r>
    </w:p>
    <w:p>
      <w:pPr>
        <w:pStyle w:val="Heading1"/>
      </w:pPr>
      <w:r>
        <w:t>13. Risks, open decisions, and next action</w:t>
      </w:r>
    </w:p>
    <w:tbl>
      <w:tblPr>
        <w:tblStyle w:val="TableGrid"/>
        <w:tblW w:type="dxa" w:w="9360"/>
        <w:jc w:val="left"/>
        <w:tblLayout w:type="fixed"/>
        <w:tblLook w:firstColumn="1" w:firstRow="1" w:lastColumn="0" w:lastRow="0" w:noHBand="0" w:noVBand="1" w:val="04A0"/>
        <w:tblInd w:w="120" w:type="dxa"/>
      </w:tblPr>
      <w:tblGrid>
        <w:gridCol w:w="2250"/>
        <w:gridCol w:w="3550"/>
        <w:gridCol w:w="3560"/>
      </w:tblGrid>
      <w:tr>
        <w:trPr>
          <w:tblHeader w:val="true"/>
          <w:cantSplit w:val="true"/>
        </w:trPr>
        <w:tc>
          <w:tcPr>
            <w:tcW w:type="dxa" w:w="2250"/>
            <w:shd w:fill="0D2640"/>
            <w:tcMar>
              <w:top w:w="80" w:type="dxa"/>
              <w:start w:w="120" w:type="dxa"/>
              <w:bottom w:w="80" w:type="dxa"/>
              <w:end w:w="120" w:type="dxa"/>
            </w:tcMar>
            <w:vAlign w:val="center"/>
          </w:tcPr>
          <w:p>
            <w:pPr>
              <w:spacing w:after="0"/>
            </w:pPr>
            <w:r>
              <w:rPr>
                <w:rFonts w:ascii="Calibri" w:hAnsi="Calibri"/>
                <w:b/>
                <w:color w:val="FFFFFF"/>
                <w:sz w:val="19"/>
              </w:rPr>
              <w:t>Risk or decision</w:t>
            </w:r>
          </w:p>
        </w:tc>
        <w:tc>
          <w:tcPr>
            <w:tcW w:type="dxa" w:w="3550"/>
            <w:shd w:fill="0D2640"/>
            <w:tcMar>
              <w:top w:w="80" w:type="dxa"/>
              <w:start w:w="120" w:type="dxa"/>
              <w:bottom w:w="80" w:type="dxa"/>
              <w:end w:w="120" w:type="dxa"/>
            </w:tcMar>
            <w:vAlign w:val="center"/>
          </w:tcPr>
          <w:p>
            <w:pPr>
              <w:spacing w:after="0"/>
            </w:pPr>
            <w:r>
              <w:rPr>
                <w:rFonts w:ascii="Calibri" w:hAnsi="Calibri"/>
                <w:b/>
                <w:color w:val="FFFFFF"/>
                <w:sz w:val="19"/>
              </w:rPr>
              <w:t>Why it matters</w:t>
            </w:r>
          </w:p>
        </w:tc>
        <w:tc>
          <w:tcPr>
            <w:tcW w:type="dxa" w:w="3560"/>
            <w:shd w:fill="0D2640"/>
            <w:tcMar>
              <w:top w:w="80" w:type="dxa"/>
              <w:start w:w="120" w:type="dxa"/>
              <w:bottom w:w="80" w:type="dxa"/>
              <w:end w:w="120" w:type="dxa"/>
            </w:tcMar>
            <w:vAlign w:val="center"/>
          </w:tcPr>
          <w:p>
            <w:pPr>
              <w:spacing w:after="0"/>
            </w:pPr>
            <w:r>
              <w:rPr>
                <w:rFonts w:ascii="Calibri" w:hAnsi="Calibri"/>
                <w:b/>
                <w:color w:val="FFFFFF"/>
                <w:sz w:val="19"/>
              </w:rPr>
              <w:t>Required resolution</w:t>
            </w:r>
          </w:p>
        </w:tc>
      </w:tr>
      <w:tr>
        <w:trPr>
          <w:cantSplit w:val="true"/>
        </w:trPr>
        <w:tc>
          <w:tcPr>
            <w:tcW w:type="dxa" w:w="2250"/>
            <w:tcMar>
              <w:top w:w="80" w:type="dxa"/>
              <w:start w:w="120" w:type="dxa"/>
              <w:bottom w:w="80" w:type="dxa"/>
              <w:end w:w="120" w:type="dxa"/>
            </w:tcMar>
            <w:vAlign w:val="center"/>
          </w:tcPr>
          <w:p>
            <w:pPr>
              <w:spacing w:after="0" w:line="252" w:lineRule="auto"/>
            </w:pPr>
            <w:r>
              <w:rPr>
                <w:rFonts w:ascii="Calibri" w:hAnsi="Calibri"/>
                <w:color w:val="17212B"/>
                <w:sz w:val="18"/>
              </w:rPr>
              <w:t>Business identity and domain — resolved</w:t>
            </w:r>
          </w:p>
        </w:tc>
        <w:tc>
          <w:tcPr>
            <w:tcW w:type="dxa" w:w="3550"/>
            <w:tcMar>
              <w:top w:w="80" w:type="dxa"/>
              <w:start w:w="120" w:type="dxa"/>
              <w:bottom w:w="80" w:type="dxa"/>
              <w:end w:w="120" w:type="dxa"/>
            </w:tcMar>
            <w:vAlign w:val="center"/>
          </w:tcPr>
          <w:p>
            <w:pPr>
              <w:spacing w:after="0" w:line="252" w:lineRule="auto"/>
            </w:pPr>
            <w:r>
              <w:rPr>
                <w:rFonts w:ascii="Calibri" w:hAnsi="Calibri"/>
                <w:color w:val="17212B"/>
                <w:sz w:val="18"/>
              </w:rPr>
              <w:t>The company name is cleared and the domain is already purchased.</w:t>
            </w:r>
          </w:p>
        </w:tc>
        <w:tc>
          <w:tcPr>
            <w:tcW w:type="dxa" w:w="3560"/>
            <w:tcMar>
              <w:top w:w="80" w:type="dxa"/>
              <w:start w:w="120" w:type="dxa"/>
              <w:bottom w:w="80" w:type="dxa"/>
              <w:end w:w="120" w:type="dxa"/>
            </w:tcMar>
            <w:vAlign w:val="center"/>
          </w:tcPr>
          <w:p>
            <w:pPr>
              <w:spacing w:after="0" w:line="252" w:lineRule="auto"/>
            </w:pPr>
            <w:r>
              <w:rPr>
                <w:rFonts w:ascii="Calibri" w:hAnsi="Calibri"/>
                <w:color w:val="17212B"/>
                <w:sz w:val="18"/>
              </w:rPr>
              <w:t>Provide exact spelling and domain to the project configuration when implementation begins.</w:t>
            </w:r>
          </w:p>
        </w:tc>
      </w:tr>
      <w:tr>
        <w:trPr>
          <w:cantSplit w:val="true"/>
        </w:trPr>
        <w:tc>
          <w:tcPr>
            <w:tcW w:type="dxa" w:w="2250"/>
            <w:shd w:fill="F3F6F4"/>
            <w:tcMar>
              <w:top w:w="80" w:type="dxa"/>
              <w:start w:w="120" w:type="dxa"/>
              <w:bottom w:w="80" w:type="dxa"/>
              <w:end w:w="120" w:type="dxa"/>
            </w:tcMar>
            <w:vAlign w:val="center"/>
          </w:tcPr>
          <w:p>
            <w:pPr>
              <w:spacing w:after="0" w:line="252" w:lineRule="auto"/>
            </w:pPr>
            <w:r>
              <w:rPr>
                <w:rFonts w:ascii="Calibri" w:hAnsi="Calibri"/>
                <w:color w:val="17212B"/>
                <w:sz w:val="18"/>
              </w:rPr>
              <w:t>Country and currency — resolved</w:t>
            </w:r>
          </w:p>
        </w:tc>
        <w:tc>
          <w:tcPr>
            <w:tcW w:type="dxa" w:w="3550"/>
            <w:shd w:fill="F3F6F4"/>
            <w:tcMar>
              <w:top w:w="80" w:type="dxa"/>
              <w:start w:w="120" w:type="dxa"/>
              <w:bottom w:w="80" w:type="dxa"/>
              <w:end w:w="120" w:type="dxa"/>
            </w:tcMar>
            <w:vAlign w:val="center"/>
          </w:tcPr>
          <w:p>
            <w:pPr>
              <w:spacing w:after="0" w:line="252" w:lineRule="auto"/>
            </w:pPr>
            <w:r>
              <w:rPr>
                <w:rFonts w:ascii="Calibri" w:hAnsi="Calibri"/>
                <w:color w:val="17212B"/>
                <w:sz w:val="18"/>
              </w:rPr>
              <w:t>The release operates in New York, United States, and charges in USD.</w:t>
            </w:r>
          </w:p>
        </w:tc>
        <w:tc>
          <w:tcPr>
            <w:tcW w:type="dxa" w:w="3560"/>
            <w:shd w:fill="F3F6F4"/>
            <w:tcMar>
              <w:top w:w="80" w:type="dxa"/>
              <w:start w:w="120" w:type="dxa"/>
              <w:bottom w:w="80" w:type="dxa"/>
              <w:end w:w="120" w:type="dxa"/>
            </w:tcMar>
            <w:vAlign w:val="center"/>
          </w:tcPr>
          <w:p>
            <w:pPr>
              <w:spacing w:after="0" w:line="252" w:lineRule="auto"/>
            </w:pPr>
            <w:r>
              <w:rPr>
                <w:rFonts w:ascii="Calibri" w:hAnsi="Calibri"/>
                <w:color w:val="17212B"/>
                <w:sz w:val="18"/>
              </w:rPr>
              <w:t>Confirm the exact legal business entity, address, tax treatment, and service licenses before live payment activation.</w:t>
            </w:r>
          </w:p>
        </w:tc>
      </w:tr>
      <w:tr>
        <w:trPr>
          <w:cantSplit w:val="true"/>
        </w:trPr>
        <w:tc>
          <w:tcPr>
            <w:tcW w:type="dxa" w:w="2250"/>
            <w:tcMar>
              <w:top w:w="80" w:type="dxa"/>
              <w:start w:w="120" w:type="dxa"/>
              <w:bottom w:w="80" w:type="dxa"/>
              <w:end w:w="120" w:type="dxa"/>
            </w:tcMar>
            <w:vAlign w:val="center"/>
          </w:tcPr>
          <w:p>
            <w:pPr>
              <w:spacing w:after="0" w:line="252" w:lineRule="auto"/>
            </w:pPr>
            <w:r>
              <w:rPr>
                <w:rFonts w:ascii="Calibri" w:hAnsi="Calibri"/>
                <w:color w:val="17212B"/>
                <w:sz w:val="18"/>
              </w:rPr>
              <w:t>Service areas and prices — provisional</w:t>
            </w:r>
          </w:p>
        </w:tc>
        <w:tc>
          <w:tcPr>
            <w:tcW w:type="dxa" w:w="3550"/>
            <w:tcMar>
              <w:top w:w="80" w:type="dxa"/>
              <w:start w:w="120" w:type="dxa"/>
              <w:bottom w:w="80" w:type="dxa"/>
              <w:end w:w="120" w:type="dxa"/>
            </w:tcMar>
            <w:vAlign w:val="center"/>
          </w:tcPr>
          <w:p>
            <w:pPr>
              <w:spacing w:after="0" w:line="252" w:lineRule="auto"/>
            </w:pPr>
            <w:r>
              <w:rPr>
                <w:rFonts w:ascii="Calibri" w:hAnsi="Calibri"/>
                <w:color w:val="17212B"/>
                <w:sz w:val="18"/>
              </w:rPr>
              <w:t>The area engine has functional New York seed groups and amounts, but software cannot approve commercial pricing.</w:t>
            </w:r>
          </w:p>
        </w:tc>
        <w:tc>
          <w:tcPr>
            <w:tcW w:type="dxa" w:w="3560"/>
            <w:tcMar>
              <w:top w:w="80" w:type="dxa"/>
              <w:start w:w="120" w:type="dxa"/>
              <w:bottom w:w="80" w:type="dxa"/>
              <w:end w:w="120" w:type="dxa"/>
            </w:tcMar>
            <w:vAlign w:val="center"/>
          </w:tcPr>
          <w:p>
            <w:pPr>
              <w:spacing w:after="0" w:line="252" w:lineRule="auto"/>
            </w:pPr>
            <w:r>
              <w:rPr>
                <w:rFonts w:ascii="Calibri" w:hAnsi="Calibri"/>
                <w:color w:val="17212B"/>
                <w:sz w:val="18"/>
              </w:rPr>
              <w:t>Owner confirms borough and city coverage and changes each price row from provisional to approved before live checkout.</w:t>
            </w:r>
          </w:p>
        </w:tc>
      </w:tr>
      <w:tr>
        <w:trPr>
          <w:cantSplit w:val="true"/>
        </w:trPr>
        <w:tc>
          <w:tcPr>
            <w:tcW w:type="dxa" w:w="2250"/>
            <w:shd w:fill="F3F6F4"/>
            <w:tcMar>
              <w:top w:w="80" w:type="dxa"/>
              <w:start w:w="120" w:type="dxa"/>
              <w:bottom w:w="80" w:type="dxa"/>
              <w:end w:w="120" w:type="dxa"/>
            </w:tcMar>
            <w:vAlign w:val="center"/>
          </w:tcPr>
          <w:p>
            <w:pPr>
              <w:spacing w:after="0" w:line="252" w:lineRule="auto"/>
            </w:pPr>
            <w:r>
              <w:rPr>
                <w:rFonts w:ascii="Calibri" w:hAnsi="Calibri"/>
                <w:color w:val="17212B"/>
                <w:sz w:val="18"/>
              </w:rPr>
              <w:t>Actual plan policy</w:t>
            </w:r>
          </w:p>
        </w:tc>
        <w:tc>
          <w:tcPr>
            <w:tcW w:type="dxa" w:w="3550"/>
            <w:shd w:fill="F3F6F4"/>
            <w:tcMar>
              <w:top w:w="80" w:type="dxa"/>
              <w:start w:w="120" w:type="dxa"/>
              <w:bottom w:w="80" w:type="dxa"/>
              <w:end w:w="120" w:type="dxa"/>
            </w:tcMar>
            <w:vAlign w:val="center"/>
          </w:tcPr>
          <w:p>
            <w:pPr>
              <w:spacing w:after="0" w:line="252" w:lineRule="auto"/>
            </w:pPr>
            <w:r>
              <w:rPr>
                <w:rFonts w:ascii="Calibri" w:hAnsi="Calibri"/>
                <w:color w:val="17212B"/>
                <w:sz w:val="18"/>
              </w:rPr>
              <w:t>The design cannot safely imply coverage, price, return visits, cancellation, or refunds.</w:t>
            </w:r>
          </w:p>
        </w:tc>
        <w:tc>
          <w:tcPr>
            <w:tcW w:type="dxa" w:w="3560"/>
            <w:shd w:fill="F3F6F4"/>
            <w:tcMar>
              <w:top w:w="80" w:type="dxa"/>
              <w:start w:w="120" w:type="dxa"/>
              <w:bottom w:w="80" w:type="dxa"/>
              <w:end w:w="120" w:type="dxa"/>
            </w:tcMar>
            <w:vAlign w:val="center"/>
          </w:tcPr>
          <w:p>
            <w:pPr>
              <w:spacing w:after="0" w:line="252" w:lineRule="auto"/>
            </w:pPr>
            <w:r>
              <w:rPr>
                <w:rFonts w:ascii="Calibri" w:hAnsi="Calibri"/>
                <w:color w:val="17212B"/>
                <w:sz w:val="18"/>
              </w:rPr>
              <w:t>Approve recurring and one-time inclusions, exclusions, cadence, cancellation, refund, and guarantee wording.</w:t>
            </w:r>
          </w:p>
        </w:tc>
      </w:tr>
      <w:tr>
        <w:trPr>
          <w:cantSplit w:val="true"/>
        </w:trPr>
        <w:tc>
          <w:tcPr>
            <w:tcW w:type="dxa" w:w="2250"/>
            <w:tcMar>
              <w:top w:w="80" w:type="dxa"/>
              <w:start w:w="120" w:type="dxa"/>
              <w:bottom w:w="80" w:type="dxa"/>
              <w:end w:w="120" w:type="dxa"/>
            </w:tcMar>
            <w:vAlign w:val="center"/>
          </w:tcPr>
          <w:p>
            <w:pPr>
              <w:spacing w:after="0" w:line="252" w:lineRule="auto"/>
            </w:pPr>
            <w:r>
              <w:rPr>
                <w:rFonts w:ascii="Calibri" w:hAnsi="Calibri"/>
                <w:color w:val="17212B"/>
                <w:sz w:val="18"/>
              </w:rPr>
              <w:t>Scheduling model</w:t>
            </w:r>
          </w:p>
        </w:tc>
        <w:tc>
          <w:tcPr>
            <w:tcW w:type="dxa" w:w="3550"/>
            <w:tcMar>
              <w:top w:w="80" w:type="dxa"/>
              <w:start w:w="120" w:type="dxa"/>
              <w:bottom w:w="80" w:type="dxa"/>
              <w:end w:w="120" w:type="dxa"/>
            </w:tcMar>
            <w:vAlign w:val="center"/>
          </w:tcPr>
          <w:p>
            <w:pPr>
              <w:spacing w:after="0" w:line="252" w:lineRule="auto"/>
            </w:pPr>
            <w:r>
              <w:rPr>
                <w:rFonts w:ascii="Calibri" w:hAnsi="Calibri"/>
                <w:color w:val="17212B"/>
                <w:sz w:val="18"/>
              </w:rPr>
              <w:t>A visit preference is different from a confirmed appointment.</w:t>
            </w:r>
          </w:p>
        </w:tc>
        <w:tc>
          <w:tcPr>
            <w:tcW w:type="dxa" w:w="3560"/>
            <w:tcMar>
              <w:top w:w="80" w:type="dxa"/>
              <w:start w:w="120" w:type="dxa"/>
              <w:bottom w:w="80" w:type="dxa"/>
              <w:end w:w="120" w:type="dxa"/>
            </w:tcMar>
            <w:vAlign w:val="center"/>
          </w:tcPr>
          <w:p>
            <w:pPr>
              <w:spacing w:after="0" w:line="252" w:lineRule="auto"/>
            </w:pPr>
            <w:r>
              <w:rPr>
                <w:rFonts w:ascii="Calibri" w:hAnsi="Calibri"/>
                <w:color w:val="17212B"/>
                <w:sz w:val="18"/>
              </w:rPr>
              <w:t>Choose visit preference for release 1 or provide a real capacity source for confirmed slots.</w:t>
            </w:r>
          </w:p>
        </w:tc>
      </w:tr>
      <w:tr>
        <w:trPr>
          <w:cantSplit w:val="true"/>
        </w:trPr>
        <w:tc>
          <w:tcPr>
            <w:tcW w:type="dxa" w:w="2250"/>
            <w:shd w:fill="F3F6F4"/>
            <w:tcMar>
              <w:top w:w="80" w:type="dxa"/>
              <w:start w:w="120" w:type="dxa"/>
              <w:bottom w:w="80" w:type="dxa"/>
              <w:end w:w="120" w:type="dxa"/>
            </w:tcMar>
            <w:vAlign w:val="center"/>
          </w:tcPr>
          <w:p>
            <w:pPr>
              <w:spacing w:after="0" w:line="252" w:lineRule="auto"/>
            </w:pPr>
            <w:r>
              <w:rPr>
                <w:rFonts w:ascii="Calibri" w:hAnsi="Calibri"/>
                <w:color w:val="17212B"/>
                <w:sz w:val="18"/>
              </w:rPr>
              <w:t>CRM and payment boundary — finalized</w:t>
            </w:r>
          </w:p>
        </w:tc>
        <w:tc>
          <w:tcPr>
            <w:tcW w:type="dxa" w:w="3550"/>
            <w:shd w:fill="F3F6F4"/>
            <w:tcMar>
              <w:top w:w="80" w:type="dxa"/>
              <w:start w:w="120" w:type="dxa"/>
              <w:bottom w:w="80" w:type="dxa"/>
              <w:end w:w="120" w:type="dxa"/>
            </w:tcMar>
            <w:vAlign w:val="center"/>
          </w:tcPr>
          <w:p>
            <w:pPr>
              <w:spacing w:after="0" w:line="252" w:lineRule="auto"/>
            </w:pPr>
            <w:r>
              <w:rPr>
                <w:rFonts w:ascii="Calibri" w:hAnsi="Calibri"/>
                <w:color w:val="17212B"/>
                <w:sz w:val="18"/>
              </w:rPr>
              <w:t>The custom console models operations while Stripe owns financial data and lifecycle.</w:t>
            </w:r>
          </w:p>
        </w:tc>
        <w:tc>
          <w:tcPr>
            <w:tcW w:type="dxa" w:w="3560"/>
            <w:shd w:fill="F3F6F4"/>
            <w:tcMar>
              <w:top w:w="80" w:type="dxa"/>
              <w:start w:w="120" w:type="dxa"/>
              <w:bottom w:w="80" w:type="dxa"/>
              <w:end w:w="120" w:type="dxa"/>
            </w:tcMar>
            <w:vAlign w:val="center"/>
          </w:tcPr>
          <w:p>
            <w:pPr>
              <w:spacing w:after="0" w:line="252" w:lineRule="auto"/>
            </w:pPr>
            <w:r>
              <w:rPr>
                <w:rFonts w:ascii="Calibri" w:hAnsi="Calibri"/>
                <w:color w:val="17212B"/>
                <w:sz w:val="18"/>
              </w:rPr>
              <w:t>Create the Supabase and Stripe accounts; PayPal and general-purpose CRM integrations are deferred.</w:t>
            </w:r>
          </w:p>
        </w:tc>
      </w:tr>
      <w:tr>
        <w:trPr>
          <w:cantSplit w:val="true"/>
        </w:trPr>
        <w:tc>
          <w:tcPr>
            <w:tcW w:type="dxa" w:w="2250"/>
            <w:tcMar>
              <w:top w:w="80" w:type="dxa"/>
              <w:start w:w="120" w:type="dxa"/>
              <w:bottom w:w="80" w:type="dxa"/>
              <w:end w:w="120" w:type="dxa"/>
            </w:tcMar>
            <w:vAlign w:val="center"/>
          </w:tcPr>
          <w:p>
            <w:pPr>
              <w:spacing w:after="0" w:line="252" w:lineRule="auto"/>
            </w:pPr>
            <w:r>
              <w:rPr>
                <w:rFonts w:ascii="Calibri" w:hAnsi="Calibri"/>
                <w:color w:val="17212B"/>
                <w:sz w:val="18"/>
              </w:rPr>
              <w:t>Logo and media — pending approval</w:t>
            </w:r>
          </w:p>
        </w:tc>
        <w:tc>
          <w:tcPr>
            <w:tcW w:type="dxa" w:w="3550"/>
            <w:tcMar>
              <w:top w:w="80" w:type="dxa"/>
              <w:start w:w="120" w:type="dxa"/>
              <w:bottom w:w="80" w:type="dxa"/>
              <w:end w:w="120" w:type="dxa"/>
            </w:tcMar>
            <w:vAlign w:val="center"/>
          </w:tcPr>
          <w:p>
            <w:pPr>
              <w:spacing w:after="0" w:line="252" w:lineRule="auto"/>
            </w:pPr>
            <w:r>
              <w:rPr>
                <w:rFonts w:ascii="Calibri" w:hAnsi="Calibri"/>
                <w:color w:val="17212B"/>
                <w:sz w:val="18"/>
              </w:rPr>
              <w:t>Authentic photography is central to the mature visual result, but final assets are not approved.</w:t>
            </w:r>
          </w:p>
        </w:tc>
        <w:tc>
          <w:tcPr>
            <w:tcW w:type="dxa" w:w="3560"/>
            <w:tcMar>
              <w:top w:w="80" w:type="dxa"/>
              <w:start w:w="120" w:type="dxa"/>
              <w:bottom w:w="80" w:type="dxa"/>
              <w:end w:w="120" w:type="dxa"/>
            </w:tcMar>
            <w:vAlign w:val="center"/>
          </w:tcPr>
          <w:p>
            <w:pPr>
              <w:spacing w:after="0" w:line="252" w:lineRule="auto"/>
            </w:pPr>
            <w:r>
              <w:rPr>
                <w:rFonts w:ascii="Calibri" w:hAnsi="Calibri"/>
                <w:color w:val="17212B"/>
                <w:sz w:val="18"/>
              </w:rPr>
              <w:t>Use a provisional text mark and licensed real photography for the demo; replace through the CMS after owner approval.</w:t>
            </w:r>
          </w:p>
        </w:tc>
      </w:tr>
      <w:tr>
        <w:trPr>
          <w:cantSplit w:val="true"/>
        </w:trPr>
        <w:tc>
          <w:tcPr>
            <w:tcW w:type="dxa" w:w="2250"/>
            <w:shd w:fill="F3F6F4"/>
            <w:tcMar>
              <w:top w:w="80" w:type="dxa"/>
              <w:start w:w="120" w:type="dxa"/>
              <w:bottom w:w="80" w:type="dxa"/>
              <w:end w:w="120" w:type="dxa"/>
            </w:tcMar>
            <w:vAlign w:val="center"/>
          </w:tcPr>
          <w:p>
            <w:pPr>
              <w:spacing w:after="0" w:line="252" w:lineRule="auto"/>
            </w:pPr>
            <w:r>
              <w:rPr>
                <w:rFonts w:ascii="Calibri" w:hAnsi="Calibri"/>
                <w:color w:val="17212B"/>
                <w:sz w:val="18"/>
              </w:rPr>
              <w:t>Claims and reviews</w:t>
            </w:r>
          </w:p>
        </w:tc>
        <w:tc>
          <w:tcPr>
            <w:tcW w:type="dxa" w:w="3550"/>
            <w:shd w:fill="F3F6F4"/>
            <w:tcMar>
              <w:top w:w="80" w:type="dxa"/>
              <w:start w:w="120" w:type="dxa"/>
              <w:bottom w:w="80" w:type="dxa"/>
              <w:end w:w="120" w:type="dxa"/>
            </w:tcMar>
            <w:vAlign w:val="center"/>
          </w:tcPr>
          <w:p>
            <w:pPr>
              <w:spacing w:after="0" w:line="252" w:lineRule="auto"/>
            </w:pPr>
            <w:r>
              <w:rPr>
                <w:rFonts w:ascii="Calibri" w:hAnsi="Calibri"/>
                <w:color w:val="17212B"/>
                <w:sz w:val="18"/>
              </w:rPr>
              <w:t>Unverified proof creates legal and trust risk.</w:t>
            </w:r>
          </w:p>
        </w:tc>
        <w:tc>
          <w:tcPr>
            <w:tcW w:type="dxa" w:w="3560"/>
            <w:shd w:fill="F3F6F4"/>
            <w:tcMar>
              <w:top w:w="80" w:type="dxa"/>
              <w:start w:w="120" w:type="dxa"/>
              <w:bottom w:w="80" w:type="dxa"/>
              <w:end w:w="120" w:type="dxa"/>
            </w:tcMar>
            <w:vAlign w:val="center"/>
          </w:tcPr>
          <w:p>
            <w:pPr>
              <w:spacing w:after="0" w:line="252" w:lineRule="auto"/>
            </w:pPr>
            <w:r>
              <w:rPr>
                <w:rFonts w:ascii="Calibri" w:hAnsi="Calibri"/>
                <w:color w:val="17212B"/>
                <w:sz w:val="18"/>
              </w:rPr>
              <w:t>Provide review source, license credentials, operating history, environmental policy, and approved claim owner.</w:t>
            </w:r>
          </w:p>
        </w:tc>
      </w:tr>
    </w:tbl>
    <w:p>
      <w:pPr>
        <w:spacing w:after="40"/>
      </w:pPr>
    </w:p>
    <w:p>
      <w:pPr>
        <w:pStyle w:val="Heading2"/>
      </w:pPr>
      <w:r>
        <w:t>Recommended immediate next step</w:t>
      </w:r>
    </w:p>
    <w:p>
      <w:pPr>
        <w:keepLines w:val="0"/>
      </w:pPr>
      <w:r>
        <w:rPr>
          <w:rFonts w:ascii="Calibri" w:hAnsi="Calibri"/>
          <w:i w:val="0"/>
          <w:color w:val="17212B"/>
        </w:rPr>
        <w:t>Start the one-week sprint by creating the Stripe, Supabase, Resend, Git, and Vercel accounts; provide the exact business name, domain, owner notification email, phone, support hours, and cancellation policy; and confirm whether the proposed New York City and Lower Westchester areas are truly served. Build the commercial vertical slice in Stripe test mode first. Live checkout remains disabled until prices, tax treatment, policies, and credentials are owner-approved.</w:t>
      </w:r>
    </w:p>
    <w:p>
      <w:pPr>
        <w:pStyle w:val="Heading2"/>
      </w:pPr>
      <w:r>
        <w:t>Proposed implementation sequence</w:t>
      </w:r>
    </w:p>
    <w:p>
      <w:pPr>
        <w:numPr>
          <w:ilvl w:val="0"/>
          <w:numId w:val="12"/>
        </w:numPr>
        <w:spacing w:after="100"/>
        <w:ind w:left="720" w:hanging="360"/>
      </w:pPr>
      <w:r>
        <w:rPr>
          <w:rFonts w:ascii="Calibri" w:hAnsi="Calibri"/>
          <w:color w:val="17212B"/>
        </w:rPr>
        <w:t>Create business-owned Stripe, Supabase, Resend, Git, and Vercel accounts and configure non-secret project metadata.</w:t>
      </w:r>
    </w:p>
    <w:p>
      <w:pPr>
        <w:numPr>
          <w:ilvl w:val="0"/>
          <w:numId w:val="12"/>
        </w:numPr>
        <w:spacing w:after="100"/>
        <w:ind w:left="720" w:hanging="360"/>
      </w:pPr>
      <w:r>
        <w:rPr>
          <w:rFonts w:ascii="Calibri" w:hAnsi="Calibri"/>
          <w:color w:val="17212B"/>
        </w:rPr>
        <w:t>Create the repository, environments, database schema, authentication roles, New York service areas, and provisional price rows.</w:t>
      </w:r>
    </w:p>
    <w:p>
      <w:pPr>
        <w:numPr>
          <w:ilvl w:val="0"/>
          <w:numId w:val="12"/>
        </w:numPr>
        <w:spacing w:after="100"/>
        <w:ind w:left="720" w:hanging="360"/>
      </w:pPr>
      <w:r>
        <w:rPr>
          <w:rFonts w:ascii="Calibri" w:hAnsi="Calibri"/>
          <w:color w:val="17212B"/>
        </w:rPr>
        <w:t>Build one end-to-end commercial vertical slice and verify billing webhooks under replay and failure cases.</w:t>
      </w:r>
    </w:p>
    <w:p>
      <w:pPr>
        <w:numPr>
          <w:ilvl w:val="0"/>
          <w:numId w:val="12"/>
        </w:numPr>
        <w:spacing w:after="100"/>
        <w:ind w:left="720" w:hanging="360"/>
      </w:pPr>
      <w:r>
        <w:rPr>
          <w:rFonts w:ascii="Calibri" w:hAnsi="Calibri"/>
          <w:color w:val="17212B"/>
        </w:rPr>
        <w:t>Build the Pest Operations Console around the proven customer, subscription, and appointment records.</w:t>
      </w:r>
    </w:p>
    <w:p>
      <w:pPr>
        <w:numPr>
          <w:ilvl w:val="0"/>
          <w:numId w:val="12"/>
        </w:numPr>
        <w:spacing w:after="100"/>
        <w:ind w:left="720" w:hanging="360"/>
      </w:pPr>
      <w:r>
        <w:rPr>
          <w:rFonts w:ascii="Calibri" w:hAnsi="Calibri"/>
          <w:color w:val="17212B"/>
        </w:rPr>
        <w:t>Design the distinct visual system, source licensed real photography, and implement replaceable brand assets.</w:t>
      </w:r>
    </w:p>
    <w:p>
      <w:pPr>
        <w:numPr>
          <w:ilvl w:val="0"/>
          <w:numId w:val="12"/>
        </w:numPr>
        <w:spacing w:after="100"/>
        <w:ind w:left="720" w:hanging="360"/>
      </w:pPr>
      <w:r>
        <w:rPr>
          <w:rFonts w:ascii="Calibri" w:hAnsi="Calibri"/>
          <w:color w:val="17212B"/>
        </w:rPr>
        <w:t>Complete public pages and six pest templates, harden, train the owner, and launch.</w:t>
      </w:r>
    </w:p>
    <w:p>
      <w:pPr>
        <w:pStyle w:val="Heading1"/>
      </w:pPr>
      <w:r>
        <w:t>Source register</w:t>
      </w:r>
    </w:p>
    <w:p>
      <w:pPr>
        <w:keepLines w:val="0"/>
      </w:pPr>
      <w:r>
        <w:rPr>
          <w:rFonts w:ascii="Calibri" w:hAnsi="Calibri"/>
          <w:i/>
          <w:color w:val="17212B"/>
        </w:rPr>
        <w:t>All sources were accessed on 19 July 2026. Terminix pages are used only as reference evidence for this analysis. Promotions, counts, ratings, and availability can change and must not be copied into the new product without independent approval.</w:t>
      </w:r>
    </w:p>
    <w:p>
      <w:pPr>
        <w:spacing w:after="100"/>
      </w:pPr>
      <w:r>
        <w:rPr>
          <w:rFonts w:ascii="Calibri" w:hAnsi="Calibri"/>
          <w:b/>
          <w:color w:val="0D2640"/>
          <w:sz w:val="19"/>
        </w:rPr>
        <w:t xml:space="preserve">[S1]  Terminix homepage. </w:t>
      </w:r>
      <w:hyperlink r:id="rId11">
        <w:r>
          <w:rPr>
            <w:color w:val="2F8F63"/>
            <w:u w:val="single"/>
          </w:rPr>
          <w:t>Open page</w:t>
        </w:r>
      </w:hyperlink>
      <w:r>
        <w:rPr>
          <w:rFonts w:ascii="Calibri" w:hAnsi="Calibri"/>
          <w:color w:val="5B6773"/>
          <w:sz w:val="19"/>
        </w:rPr>
        <w:t xml:space="preserve"> Homepage structure, navigation, trust modules, services, reviews, and CTAs.</w:t>
      </w:r>
    </w:p>
    <w:p>
      <w:pPr>
        <w:spacing w:after="100"/>
      </w:pPr>
      <w:r>
        <w:rPr>
          <w:rFonts w:ascii="Calibri" w:hAnsi="Calibri"/>
          <w:b/>
          <w:color w:val="0D2640"/>
          <w:sz w:val="19"/>
        </w:rPr>
        <w:t xml:space="preserve">[S2]  General pest control and plans. </w:t>
      </w:r>
      <w:hyperlink r:id="rId12">
        <w:r>
          <w:rPr>
            <w:color w:val="2F8F63"/>
            <w:u w:val="single"/>
          </w:rPr>
          <w:t>Open page</w:t>
        </w:r>
      </w:hyperlink>
      <w:r>
        <w:rPr>
          <w:rFonts w:ascii="Calibri" w:hAnsi="Calibri"/>
          <w:color w:val="5B6773"/>
          <w:sz w:val="19"/>
        </w:rPr>
        <w:t xml:space="preserve"> Plan comparison, covered-pest counts, process, FAQs, and repeated conversion modules.</w:t>
      </w:r>
    </w:p>
    <w:p>
      <w:pPr>
        <w:spacing w:after="100"/>
      </w:pPr>
      <w:r>
        <w:rPr>
          <w:rFonts w:ascii="Calibri" w:hAnsi="Calibri"/>
          <w:b/>
          <w:color w:val="0D2640"/>
          <w:sz w:val="19"/>
        </w:rPr>
        <w:t xml:space="preserve">[S3]  PestFree365 plan detail. </w:t>
      </w:r>
      <w:hyperlink r:id="rId13">
        <w:r>
          <w:rPr>
            <w:color w:val="2F8F63"/>
            <w:u w:val="single"/>
          </w:rPr>
          <w:t>Open page</w:t>
        </w:r>
      </w:hyperlink>
      <w:r>
        <w:rPr>
          <w:rFonts w:ascii="Calibri" w:hAnsi="Calibri"/>
          <w:color w:val="5B6773"/>
          <w:sz w:val="19"/>
        </w:rPr>
        <w:t xml:space="preserve"> Recurring protection pattern and plan education.</w:t>
      </w:r>
    </w:p>
    <w:p>
      <w:pPr>
        <w:spacing w:after="100"/>
      </w:pPr>
      <w:r>
        <w:rPr>
          <w:rFonts w:ascii="Calibri" w:hAnsi="Calibri"/>
          <w:b/>
          <w:color w:val="0D2640"/>
          <w:sz w:val="19"/>
        </w:rPr>
        <w:t xml:space="preserve">[S4]  Ant control. </w:t>
      </w:r>
      <w:hyperlink r:id="rId14">
        <w:r>
          <w:rPr>
            <w:color w:val="2F8F63"/>
            <w:u w:val="single"/>
          </w:rPr>
          <w:t>Open page</w:t>
        </w:r>
      </w:hyperlink>
      <w:r>
        <w:rPr>
          <w:rFonts w:ascii="Calibri" w:hAnsi="Calibri"/>
          <w:color w:val="5B6773"/>
          <w:sz w:val="19"/>
        </w:rPr>
        <w:t xml:space="preserve"> Representative pest-specific page template and plan variants.</w:t>
      </w:r>
    </w:p>
    <w:p>
      <w:pPr>
        <w:spacing w:after="100"/>
      </w:pPr>
      <w:r>
        <w:rPr>
          <w:rFonts w:ascii="Calibri" w:hAnsi="Calibri"/>
          <w:b/>
          <w:color w:val="0D2640"/>
          <w:sz w:val="19"/>
        </w:rPr>
        <w:t xml:space="preserve">[S5]  Bed bug control. </w:t>
      </w:r>
      <w:hyperlink r:id="rId15">
        <w:r>
          <w:rPr>
            <w:color w:val="2F8F63"/>
            <w:u w:val="single"/>
          </w:rPr>
          <w:t>Open page</w:t>
        </w:r>
      </w:hyperlink>
      <w:r>
        <w:rPr>
          <w:rFonts w:ascii="Calibri" w:hAnsi="Calibri"/>
          <w:color w:val="5B6773"/>
          <w:sz w:val="19"/>
        </w:rPr>
        <w:t xml:space="preserve"> Specialized inspection and treatment page pattern.</w:t>
      </w:r>
    </w:p>
    <w:p>
      <w:pPr>
        <w:spacing w:after="100"/>
      </w:pPr>
      <w:r>
        <w:rPr>
          <w:rFonts w:ascii="Calibri" w:hAnsi="Calibri"/>
          <w:b/>
          <w:color w:val="0D2640"/>
          <w:sz w:val="19"/>
        </w:rPr>
        <w:t xml:space="preserve">[S6]  Mosquito control. </w:t>
      </w:r>
      <w:hyperlink r:id="rId16">
        <w:r>
          <w:rPr>
            <w:color w:val="2F8F63"/>
            <w:u w:val="single"/>
          </w:rPr>
          <w:t>Open page</w:t>
        </w:r>
      </w:hyperlink>
      <w:r>
        <w:rPr>
          <w:rFonts w:ascii="Calibri" w:hAnsi="Calibri"/>
          <w:color w:val="5B6773"/>
          <w:sz w:val="19"/>
        </w:rPr>
        <w:t xml:space="preserve"> Seasonal, monthly, combined, and one-time service presentation.</w:t>
      </w:r>
    </w:p>
    <w:p>
      <w:pPr>
        <w:spacing w:after="100"/>
      </w:pPr>
      <w:r>
        <w:rPr>
          <w:rFonts w:ascii="Calibri" w:hAnsi="Calibri"/>
          <w:b/>
          <w:color w:val="0D2640"/>
          <w:sz w:val="19"/>
        </w:rPr>
        <w:t xml:space="preserve">[S7]  Cockroach control. </w:t>
      </w:r>
      <w:hyperlink r:id="rId17">
        <w:r>
          <w:rPr>
            <w:color w:val="2F8F63"/>
            <w:u w:val="single"/>
          </w:rPr>
          <w:t>Open page</w:t>
        </w:r>
      </w:hyperlink>
      <w:r>
        <w:rPr>
          <w:rFonts w:ascii="Calibri" w:hAnsi="Calibri"/>
          <w:color w:val="5B6773"/>
          <w:sz w:val="19"/>
        </w:rPr>
        <w:t xml:space="preserve"> Representative covered-pest conversion page.</w:t>
      </w:r>
    </w:p>
    <w:p>
      <w:pPr>
        <w:spacing w:after="100"/>
      </w:pPr>
      <w:r>
        <w:rPr>
          <w:rFonts w:ascii="Calibri" w:hAnsi="Calibri"/>
          <w:b/>
          <w:color w:val="0D2640"/>
          <w:sz w:val="19"/>
        </w:rPr>
        <w:t xml:space="preserve">[S8]  Rodent control. </w:t>
      </w:r>
      <w:hyperlink r:id="rId18">
        <w:r>
          <w:rPr>
            <w:color w:val="2F8F63"/>
            <w:u w:val="single"/>
          </w:rPr>
          <w:t>Open page</w:t>
        </w:r>
      </w:hyperlink>
      <w:r>
        <w:rPr>
          <w:rFonts w:ascii="Calibri" w:hAnsi="Calibri"/>
          <w:color w:val="5B6773"/>
          <w:sz w:val="19"/>
        </w:rPr>
        <w:t xml:space="preserve"> Exclusion and treatment service pattern.</w:t>
      </w:r>
    </w:p>
    <w:p>
      <w:pPr>
        <w:spacing w:after="100"/>
      </w:pPr>
      <w:r>
        <w:rPr>
          <w:rFonts w:ascii="Calibri" w:hAnsi="Calibri"/>
          <w:b/>
          <w:color w:val="0D2640"/>
          <w:sz w:val="19"/>
        </w:rPr>
        <w:t xml:space="preserve">[S9]  Spider control. </w:t>
      </w:r>
      <w:hyperlink r:id="rId19">
        <w:r>
          <w:rPr>
            <w:color w:val="2F8F63"/>
            <w:u w:val="single"/>
          </w:rPr>
          <w:t>Open page</w:t>
        </w:r>
      </w:hyperlink>
      <w:r>
        <w:rPr>
          <w:rFonts w:ascii="Calibri" w:hAnsi="Calibri"/>
          <w:color w:val="5B6773"/>
          <w:sz w:val="19"/>
        </w:rPr>
        <w:t xml:space="preserve"> Representative pest-specific hero and content hierarchy.</w:t>
      </w:r>
    </w:p>
    <w:p>
      <w:pPr>
        <w:spacing w:after="100"/>
      </w:pPr>
      <w:r>
        <w:rPr>
          <w:rFonts w:ascii="Calibri" w:hAnsi="Calibri"/>
          <w:b/>
          <w:color w:val="0D2640"/>
          <w:sz w:val="19"/>
        </w:rPr>
        <w:t xml:space="preserve">[S10]  Free inspection. </w:t>
      </w:r>
      <w:hyperlink r:id="rId20">
        <w:r>
          <w:rPr>
            <w:color w:val="2F8F63"/>
            <w:u w:val="single"/>
          </w:rPr>
          <w:t>Open page</w:t>
        </w:r>
      </w:hyperlink>
      <w:r>
        <w:rPr>
          <w:rFonts w:ascii="Calibri" w:hAnsi="Calibri"/>
          <w:color w:val="5B6773"/>
          <w:sz w:val="19"/>
        </w:rPr>
        <w:t xml:space="preserve"> Three-stage address, contact, and scheduling flow.</w:t>
      </w:r>
    </w:p>
    <w:p>
      <w:pPr>
        <w:spacing w:after="100"/>
      </w:pPr>
      <w:r>
        <w:rPr>
          <w:rFonts w:ascii="Calibri" w:hAnsi="Calibri"/>
          <w:b/>
          <w:color w:val="0D2640"/>
          <w:sz w:val="19"/>
        </w:rPr>
        <w:t xml:space="preserve">[S11]  Pest research library. </w:t>
      </w:r>
      <w:hyperlink r:id="rId21">
        <w:r>
          <w:rPr>
            <w:color w:val="2F8F63"/>
            <w:u w:val="single"/>
          </w:rPr>
          <w:t>Open page</w:t>
        </w:r>
      </w:hyperlink>
      <w:r>
        <w:rPr>
          <w:rFonts w:ascii="Calibri" w:hAnsi="Calibri"/>
          <w:color w:val="5B6773"/>
          <w:sz w:val="19"/>
        </w:rPr>
        <w:t xml:space="preserve"> Pest taxonomy and education index.</w:t>
      </w:r>
    </w:p>
    <w:p>
      <w:pPr>
        <w:spacing w:after="100"/>
      </w:pPr>
      <w:r>
        <w:rPr>
          <w:rFonts w:ascii="Calibri" w:hAnsi="Calibri"/>
          <w:b/>
          <w:color w:val="0D2640"/>
          <w:sz w:val="19"/>
        </w:rPr>
        <w:t xml:space="preserve">[S12]  Terminix reviews. </w:t>
      </w:r>
      <w:hyperlink r:id="rId22">
        <w:r>
          <w:rPr>
            <w:color w:val="2F8F63"/>
            <w:u w:val="single"/>
          </w:rPr>
          <w:t>Open page</w:t>
        </w:r>
      </w:hyperlink>
      <w:r>
        <w:rPr>
          <w:rFonts w:ascii="Calibri" w:hAnsi="Calibri"/>
          <w:color w:val="5B6773"/>
          <w:sz w:val="19"/>
        </w:rPr>
        <w:t xml:space="preserve"> Review aggregation, rating summary, and review list pattern.</w:t>
      </w:r>
    </w:p>
    <w:p>
      <w:pPr>
        <w:spacing w:after="100"/>
      </w:pPr>
      <w:r>
        <w:rPr>
          <w:rFonts w:ascii="Calibri" w:hAnsi="Calibri"/>
          <w:b/>
          <w:color w:val="0D2640"/>
          <w:sz w:val="19"/>
        </w:rPr>
        <w:t xml:space="preserve">[S13]  Contact. </w:t>
      </w:r>
      <w:hyperlink r:id="rId23">
        <w:r>
          <w:rPr>
            <w:color w:val="2F8F63"/>
            <w:u w:val="single"/>
          </w:rPr>
          <w:t>Open page</w:t>
        </w:r>
      </w:hyperlink>
      <w:r>
        <w:rPr>
          <w:rFonts w:ascii="Calibri" w:hAnsi="Calibri"/>
          <w:color w:val="5B6773"/>
          <w:sz w:val="19"/>
        </w:rPr>
        <w:t xml:space="preserve"> Channel hierarchy, customer categories, and inquiry fields.</w:t>
      </w:r>
    </w:p>
    <w:p>
      <w:pPr>
        <w:spacing w:after="100"/>
      </w:pPr>
      <w:r>
        <w:rPr>
          <w:rFonts w:ascii="Calibri" w:hAnsi="Calibri"/>
          <w:b/>
          <w:color w:val="0D2640"/>
          <w:sz w:val="19"/>
        </w:rPr>
        <w:t xml:space="preserve">[S14]  About Terminix. </w:t>
      </w:r>
      <w:hyperlink r:id="rId24">
        <w:r>
          <w:rPr>
            <w:color w:val="2F8F63"/>
            <w:u w:val="single"/>
          </w:rPr>
          <w:t>Open page</w:t>
        </w:r>
      </w:hyperlink>
      <w:r>
        <w:rPr>
          <w:rFonts w:ascii="Calibri" w:hAnsi="Calibri"/>
          <w:color w:val="5B6773"/>
          <w:sz w:val="19"/>
        </w:rPr>
        <w:t xml:space="preserve"> History, scale, values, and trust framing.</w:t>
      </w:r>
    </w:p>
    <w:p>
      <w:pPr>
        <w:spacing w:after="100"/>
      </w:pPr>
      <w:r>
        <w:rPr>
          <w:rFonts w:ascii="Calibri" w:hAnsi="Calibri"/>
          <w:b/>
          <w:color w:val="0D2640"/>
          <w:sz w:val="19"/>
        </w:rPr>
        <w:t xml:space="preserve">[S15]  Official sitemap. </w:t>
      </w:r>
      <w:hyperlink r:id="rId25">
        <w:r>
          <w:rPr>
            <w:color w:val="2F8F63"/>
            <w:u w:val="single"/>
          </w:rPr>
          <w:t>Open page</w:t>
        </w:r>
      </w:hyperlink>
      <w:r>
        <w:rPr>
          <w:rFonts w:ascii="Calibri" w:hAnsi="Calibri"/>
          <w:color w:val="5B6773"/>
          <w:sz w:val="19"/>
        </w:rPr>
        <w:t xml:space="preserve"> Page inventory and template-family coverage.</w:t>
      </w:r>
    </w:p>
    <w:p>
      <w:pPr>
        <w:spacing w:after="100"/>
      </w:pPr>
      <w:r>
        <w:rPr>
          <w:rFonts w:ascii="Calibri" w:hAnsi="Calibri"/>
          <w:b/>
          <w:color w:val="0D2640"/>
          <w:sz w:val="19"/>
        </w:rPr>
        <w:t xml:space="preserve">[S16]  Stripe subscription lifecycle. </w:t>
      </w:r>
      <w:hyperlink r:id="rId26">
        <w:r>
          <w:rPr>
            <w:color w:val="2F8F63"/>
            <w:u w:val="single"/>
          </w:rPr>
          <w:t>Open page</w:t>
        </w:r>
      </w:hyperlink>
      <w:r>
        <w:rPr>
          <w:rFonts w:ascii="Calibri" w:hAnsi="Calibri"/>
          <w:color w:val="5B6773"/>
          <w:sz w:val="19"/>
        </w:rPr>
        <w:t xml:space="preserve"> Recurring invoice creation, payment collection, retries, subscription states, and webhook-driven lifecycle behavior.</w:t>
      </w:r>
    </w:p>
    <w:p>
      <w:pPr>
        <w:spacing w:after="100"/>
      </w:pPr>
      <w:r>
        <w:rPr>
          <w:rFonts w:ascii="Calibri" w:hAnsi="Calibri"/>
          <w:b/>
          <w:color w:val="0D2640"/>
          <w:sz w:val="19"/>
        </w:rPr>
        <w:t xml:space="preserve">[S17]  Stripe webhooks. </w:t>
      </w:r>
      <w:hyperlink r:id="rId27">
        <w:r>
          <w:rPr>
            <w:color w:val="2F8F63"/>
            <w:u w:val="single"/>
          </w:rPr>
          <w:t>Open page</w:t>
        </w:r>
      </w:hyperlink>
      <w:r>
        <w:rPr>
          <w:rFonts w:ascii="Calibri" w:hAnsi="Calibri"/>
          <w:color w:val="5B6773"/>
          <w:sz w:val="19"/>
        </w:rPr>
        <w:t xml:space="preserve"> Verified asynchronous event delivery and webhook endpoint implementation guidance.</w:t>
      </w:r>
    </w:p>
    <w:p>
      <w:pPr>
        <w:spacing w:after="100"/>
      </w:pPr>
      <w:r>
        <w:rPr>
          <w:rFonts w:ascii="Calibri" w:hAnsi="Calibri"/>
          <w:b/>
          <w:color w:val="0D2640"/>
          <w:sz w:val="19"/>
        </w:rPr>
        <w:t xml:space="preserve">[S18]  Stripe customer management. </w:t>
      </w:r>
      <w:hyperlink r:id="rId28">
        <w:r>
          <w:rPr>
            <w:color w:val="2F8F63"/>
            <w:u w:val="single"/>
          </w:rPr>
          <w:t>Open page</w:t>
        </w:r>
      </w:hyperlink>
      <w:r>
        <w:rPr>
          <w:rFonts w:ascii="Calibri" w:hAnsi="Calibri"/>
          <w:color w:val="5B6773"/>
          <w:sz w:val="19"/>
        </w:rPr>
        <w:t xml:space="preserve"> Hosted customer billing portal and customer self-service patterns.</w:t>
      </w:r>
    </w:p>
    <w:p>
      <w:pPr>
        <w:spacing w:after="100"/>
      </w:pPr>
      <w:r>
        <w:rPr>
          <w:rFonts w:ascii="Calibri" w:hAnsi="Calibri"/>
          <w:b/>
          <w:color w:val="0D2640"/>
          <w:sz w:val="19"/>
        </w:rPr>
        <w:t xml:space="preserve">[S19]  Supabase database overview. </w:t>
      </w:r>
      <w:hyperlink r:id="rId29">
        <w:r>
          <w:rPr>
            <w:color w:val="2F8F63"/>
            <w:u w:val="single"/>
          </w:rPr>
          <w:t>Open page</w:t>
        </w:r>
      </w:hyperlink>
      <w:r>
        <w:rPr>
          <w:rFonts w:ascii="Calibri" w:hAnsi="Calibri"/>
          <w:color w:val="5B6773"/>
          <w:sz w:val="19"/>
        </w:rPr>
        <w:t xml:space="preserve"> Managed PostgreSQL option and database platform capabilities.</w:t>
      </w:r>
    </w:p>
    <w:p>
      <w:pPr>
        <w:spacing w:after="100"/>
      </w:pPr>
      <w:r>
        <w:rPr>
          <w:rFonts w:ascii="Calibri" w:hAnsi="Calibri"/>
          <w:b/>
          <w:color w:val="0D2640"/>
          <w:sz w:val="19"/>
        </w:rPr>
        <w:t xml:space="preserve">[S20]  Supabase Row Level Security. </w:t>
      </w:r>
      <w:hyperlink r:id="rId30">
        <w:r>
          <w:rPr>
            <w:color w:val="2F8F63"/>
            <w:u w:val="single"/>
          </w:rPr>
          <w:t>Open page</w:t>
        </w:r>
      </w:hyperlink>
      <w:r>
        <w:rPr>
          <w:rFonts w:ascii="Calibri" w:hAnsi="Calibri"/>
          <w:color w:val="5B6773"/>
          <w:sz w:val="19"/>
        </w:rPr>
        <w:t xml:space="preserve"> Database authorization controls relevant to customer and staff record separation.</w:t>
      </w:r>
    </w:p>
    <w:p>
      <w:pPr>
        <w:spacing w:after="100"/>
      </w:pPr>
      <w:r>
        <w:rPr>
          <w:rFonts w:ascii="Calibri" w:hAnsi="Calibri"/>
          <w:b/>
          <w:color w:val="0D2640"/>
          <w:sz w:val="19"/>
        </w:rPr>
        <w:t xml:space="preserve">[S21]  Unsplash License. </w:t>
      </w:r>
      <w:hyperlink r:id="rId31">
        <w:r>
          <w:rPr>
            <w:color w:val="2F8F63"/>
            <w:u w:val="single"/>
          </w:rPr>
          <w:t>Open page</w:t>
        </w:r>
      </w:hyperlink>
      <w:r>
        <w:rPr>
          <w:rFonts w:ascii="Calibri" w:hAnsi="Calibri"/>
          <w:color w:val="5B6773"/>
          <w:sz w:val="19"/>
        </w:rPr>
        <w:t xml:space="preserve"> Current terms for using licensed real photography; each selected asset still needs a recorded source and approval.</w:t>
      </w:r>
    </w:p>
    <w:p>
      <w:pPr>
        <w:spacing w:after="100"/>
      </w:pPr>
      <w:r>
        <w:rPr>
          <w:rFonts w:ascii="Calibri" w:hAnsi="Calibri"/>
          <w:b/>
          <w:color w:val="0D2640"/>
          <w:sz w:val="19"/>
        </w:rPr>
        <w:t xml:space="preserve">[S22]  Pexels License. </w:t>
      </w:r>
      <w:hyperlink r:id="rId32">
        <w:r>
          <w:rPr>
            <w:color w:val="2F8F63"/>
            <w:u w:val="single"/>
          </w:rPr>
          <w:t>Open page</w:t>
        </w:r>
      </w:hyperlink>
      <w:r>
        <w:rPr>
          <w:rFonts w:ascii="Calibri" w:hAnsi="Calibri"/>
          <w:color w:val="5B6773"/>
          <w:sz w:val="19"/>
        </w:rPr>
        <w:t xml:space="preserve"> Current terms for using licensed real photography; each selected asset still needs a recorded source and approval.</w:t>
      </w:r>
    </w:p>
    <w:p>
      <w:pPr>
        <w:spacing w:after="100"/>
      </w:pPr>
      <w:r>
        <w:rPr>
          <w:rFonts w:ascii="Calibri" w:hAnsi="Calibri"/>
          <w:b/>
          <w:color w:val="0D2640"/>
          <w:sz w:val="19"/>
        </w:rPr>
        <w:t xml:space="preserve">[S23]  Stripe pricing. </w:t>
      </w:r>
      <w:hyperlink r:id="rId33">
        <w:r>
          <w:rPr>
            <w:color w:val="2F8F63"/>
            <w:u w:val="single"/>
          </w:rPr>
          <w:t>Open page</w:t>
        </w:r>
      </w:hyperlink>
      <w:r>
        <w:rPr>
          <w:rFonts w:ascii="Calibri" w:hAnsi="Calibri"/>
          <w:color w:val="5B6773"/>
          <w:sz w:val="19"/>
        </w:rPr>
        <w:t xml:space="preserve"> Current US payment and Billing pricing; fees must be rechecked before launch.</w:t>
      </w:r>
    </w:p>
    <w:p>
      <w:pPr>
        <w:spacing w:after="100"/>
      </w:pPr>
      <w:r>
        <w:rPr>
          <w:rFonts w:ascii="Calibri" w:hAnsi="Calibri"/>
          <w:b/>
          <w:color w:val="0D2640"/>
          <w:sz w:val="19"/>
        </w:rPr>
        <w:t xml:space="preserve">[S24]  Stripe API keys. </w:t>
      </w:r>
      <w:hyperlink r:id="rId34">
        <w:r>
          <w:rPr>
            <w:color w:val="2F8F63"/>
            <w:u w:val="single"/>
          </w:rPr>
          <w:t>Open page</w:t>
        </w:r>
      </w:hyperlink>
      <w:r>
        <w:rPr>
          <w:rFonts w:ascii="Calibri" w:hAnsi="Calibri"/>
          <w:color w:val="5B6773"/>
          <w:sz w:val="19"/>
        </w:rPr>
        <w:t xml:space="preserve"> Restricted keys, secret storage, rotation, and access-policy guidance.</w:t>
      </w:r>
    </w:p>
    <w:p>
      <w:pPr>
        <w:spacing w:after="100"/>
      </w:pPr>
      <w:r>
        <w:rPr>
          <w:rFonts w:ascii="Calibri" w:hAnsi="Calibri"/>
          <w:b/>
          <w:color w:val="0D2640"/>
          <w:sz w:val="19"/>
        </w:rPr>
        <w:t xml:space="preserve">[S25]  Stripe Checkout subscriptions. </w:t>
      </w:r>
      <w:hyperlink r:id="rId35">
        <w:r>
          <w:rPr>
            <w:color w:val="2F8F63"/>
            <w:u w:val="single"/>
          </w:rPr>
          <w:t>Open page</w:t>
        </w:r>
      </w:hyperlink>
      <w:r>
        <w:rPr>
          <w:rFonts w:ascii="Calibri" w:hAnsi="Calibri"/>
          <w:color w:val="5B6773"/>
          <w:sz w:val="19"/>
        </w:rPr>
        <w:t xml:space="preserve"> Recurring Checkout integration and separate one-time setup or initial-fee line item.</w:t>
      </w:r>
    </w:p>
    <w:p>
      <w:pPr>
        <w:spacing w:after="100"/>
      </w:pPr>
      <w:r>
        <w:rPr>
          <w:rFonts w:ascii="Calibri" w:hAnsi="Calibri"/>
          <w:b/>
          <w:color w:val="0D2640"/>
          <w:sz w:val="19"/>
        </w:rPr>
        <w:t xml:space="preserve">[S26]  PayPal subscriptions. </w:t>
      </w:r>
      <w:hyperlink r:id="rId36">
        <w:r>
          <w:rPr>
            <w:color w:val="2F8F63"/>
            <w:u w:val="single"/>
          </w:rPr>
          <w:t>Open page</w:t>
        </w:r>
      </w:hyperlink>
      <w:r>
        <w:rPr>
          <w:rFonts w:ascii="Calibri" w:hAnsi="Calibri"/>
          <w:color w:val="5B6773"/>
          <w:sz w:val="19"/>
        </w:rPr>
        <w:t xml:space="preserve"> Alternative subscription API reviewed and deferred to avoid dual billing systems in release one.</w:t>
      </w:r>
    </w:p>
    <w:p>
      <w:pPr>
        <w:spacing w:after="100"/>
      </w:pPr>
      <w:r>
        <w:rPr>
          <w:rFonts w:ascii="Calibri" w:hAnsi="Calibri"/>
          <w:b/>
          <w:color w:val="0D2640"/>
          <w:sz w:val="19"/>
        </w:rPr>
        <w:t xml:space="preserve">[S27]  Supabase Auth. </w:t>
      </w:r>
      <w:hyperlink r:id="rId37">
        <w:r>
          <w:rPr>
            <w:color w:val="2F8F63"/>
            <w:u w:val="single"/>
          </w:rPr>
          <w:t>Open page</w:t>
        </w:r>
      </w:hyperlink>
      <w:r>
        <w:rPr>
          <w:rFonts w:ascii="Calibri" w:hAnsi="Calibri"/>
          <w:color w:val="5B6773"/>
          <w:sz w:val="19"/>
        </w:rPr>
        <w:t xml:space="preserve"> Staff authentication and database authorization integration.</w:t>
      </w:r>
    </w:p>
    <w:p>
      <w:pPr>
        <w:spacing w:after="100"/>
      </w:pPr>
      <w:r>
        <w:rPr>
          <w:rFonts w:ascii="Calibri" w:hAnsi="Calibri"/>
          <w:b/>
          <w:color w:val="0D2640"/>
          <w:sz w:val="19"/>
        </w:rPr>
        <w:t xml:space="preserve">[S28]  Supabase Storage. </w:t>
      </w:r>
      <w:hyperlink r:id="rId38">
        <w:r>
          <w:rPr>
            <w:color w:val="2F8F63"/>
            <w:u w:val="single"/>
          </w:rPr>
          <w:t>Open page</w:t>
        </w:r>
      </w:hyperlink>
      <w:r>
        <w:rPr>
          <w:rFonts w:ascii="Calibri" w:hAnsi="Calibri"/>
          <w:color w:val="5B6773"/>
          <w:sz w:val="19"/>
        </w:rPr>
        <w:t xml:space="preserve"> Media storage, transformations, CDN delivery, and access controls.</w:t>
      </w:r>
    </w:p>
    <w:p>
      <w:pPr>
        <w:spacing w:after="100"/>
      </w:pPr>
      <w:r>
        <w:rPr>
          <w:rFonts w:ascii="Calibri" w:hAnsi="Calibri"/>
          <w:b/>
          <w:color w:val="0D2640"/>
          <w:sz w:val="19"/>
        </w:rPr>
        <w:t xml:space="preserve">[S29]  Resend with Next.js. </w:t>
      </w:r>
      <w:hyperlink r:id="rId39">
        <w:r>
          <w:rPr>
            <w:color w:val="2F8F63"/>
            <w:u w:val="single"/>
          </w:rPr>
          <w:t>Open page</w:t>
        </w:r>
      </w:hyperlink>
      <w:r>
        <w:rPr>
          <w:rFonts w:ascii="Calibri" w:hAnsi="Calibri"/>
          <w:color w:val="5B6773"/>
          <w:sz w:val="19"/>
        </w:rPr>
        <w:t xml:space="preserve"> Transactional email integration for the selected application stack.</w:t>
      </w:r>
    </w:p>
    <w:p>
      <w:pPr>
        <w:spacing w:after="100"/>
      </w:pPr>
      <w:r>
        <w:rPr>
          <w:rFonts w:ascii="Calibri" w:hAnsi="Calibri"/>
          <w:b/>
          <w:color w:val="0D2640"/>
          <w:sz w:val="19"/>
        </w:rPr>
        <w:t xml:space="preserve">[S30]  Vercel environment variables. </w:t>
      </w:r>
      <w:hyperlink r:id="rId40">
        <w:r>
          <w:rPr>
            <w:color w:val="2F8F63"/>
            <w:u w:val="single"/>
          </w:rPr>
          <w:t>Open page</w:t>
        </w:r>
      </w:hyperlink>
      <w:r>
        <w:rPr>
          <w:rFonts w:ascii="Calibri" w:hAnsi="Calibri"/>
          <w:color w:val="5B6773"/>
          <w:sz w:val="19"/>
        </w:rPr>
        <w:t xml:space="preserve"> Separate production and preview configuration outside source code.</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3"/>
        <w:sz w:val="17"/>
      </w:rPr>
      <w:t>PEST CONTROL WEBSITE  |  DISCOVERY &amp; DELIVERY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D264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D264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C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erminix.com/" TargetMode="External"/><Relationship Id="rId12" Type="http://schemas.openxmlformats.org/officeDocument/2006/relationships/hyperlink" Target="https://www.terminix.com/pest-control/" TargetMode="External"/><Relationship Id="rId13" Type="http://schemas.openxmlformats.org/officeDocument/2006/relationships/hyperlink" Target="https://www.terminix.com/pest-control/pestfree365/" TargetMode="External"/><Relationship Id="rId14" Type="http://schemas.openxmlformats.org/officeDocument/2006/relationships/hyperlink" Target="https://www.terminix.com/ant-control/" TargetMode="External"/><Relationship Id="rId15" Type="http://schemas.openxmlformats.org/officeDocument/2006/relationships/hyperlink" Target="https://www.terminix.com/bed-bug-control/" TargetMode="External"/><Relationship Id="rId16" Type="http://schemas.openxmlformats.org/officeDocument/2006/relationships/hyperlink" Target="https://www.terminix.com/mosquito-control/" TargetMode="External"/><Relationship Id="rId17" Type="http://schemas.openxmlformats.org/officeDocument/2006/relationships/hyperlink" Target="https://www.terminix.com/roach-control/" TargetMode="External"/><Relationship Id="rId18" Type="http://schemas.openxmlformats.org/officeDocument/2006/relationships/hyperlink" Target="https://www.terminix.com/rodent-control/" TargetMode="External"/><Relationship Id="rId19" Type="http://schemas.openxmlformats.org/officeDocument/2006/relationships/hyperlink" Target="https://www.terminix.com/spider-control/" TargetMode="External"/><Relationship Id="rId20" Type="http://schemas.openxmlformats.org/officeDocument/2006/relationships/hyperlink" Target="https://www.terminix.com/free-inspection/" TargetMode="External"/><Relationship Id="rId21" Type="http://schemas.openxmlformats.org/officeDocument/2006/relationships/hyperlink" Target="https://www.terminix.com/pest-research/" TargetMode="External"/><Relationship Id="rId22" Type="http://schemas.openxmlformats.org/officeDocument/2006/relationships/hyperlink" Target="https://www.terminix.com/reviews/" TargetMode="External"/><Relationship Id="rId23" Type="http://schemas.openxmlformats.org/officeDocument/2006/relationships/hyperlink" Target="https://www.terminix.com/contact-us/" TargetMode="External"/><Relationship Id="rId24" Type="http://schemas.openxmlformats.org/officeDocument/2006/relationships/hyperlink" Target="https://www.terminix.com/about/" TargetMode="External"/><Relationship Id="rId25" Type="http://schemas.openxmlformats.org/officeDocument/2006/relationships/hyperlink" Target="https://www.terminix.com/sitemap/" TargetMode="External"/><Relationship Id="rId26" Type="http://schemas.openxmlformats.org/officeDocument/2006/relationships/hyperlink" Target="https://docs.stripe.com/billing/subscriptions/overview" TargetMode="External"/><Relationship Id="rId27" Type="http://schemas.openxmlformats.org/officeDocument/2006/relationships/hyperlink" Target="https://docs.stripe.com/webhooks" TargetMode="External"/><Relationship Id="rId28" Type="http://schemas.openxmlformats.org/officeDocument/2006/relationships/hyperlink" Target="https://docs.stripe.com/customer-management" TargetMode="External"/><Relationship Id="rId29" Type="http://schemas.openxmlformats.org/officeDocument/2006/relationships/hyperlink" Target="https://supabase.com/docs/guides/database/overview" TargetMode="External"/><Relationship Id="rId30" Type="http://schemas.openxmlformats.org/officeDocument/2006/relationships/hyperlink" Target="https://supabase.com/docs/guides/database/postgres/row-level-security" TargetMode="External"/><Relationship Id="rId31" Type="http://schemas.openxmlformats.org/officeDocument/2006/relationships/hyperlink" Target="https://unsplash.com/license" TargetMode="External"/><Relationship Id="rId32" Type="http://schemas.openxmlformats.org/officeDocument/2006/relationships/hyperlink" Target="https://www.pexels.com/license/" TargetMode="External"/><Relationship Id="rId33" Type="http://schemas.openxmlformats.org/officeDocument/2006/relationships/hyperlink" Target="https://stripe.com/pricing" TargetMode="External"/><Relationship Id="rId34" Type="http://schemas.openxmlformats.org/officeDocument/2006/relationships/hyperlink" Target="https://docs.stripe.com/keys" TargetMode="External"/><Relationship Id="rId35" Type="http://schemas.openxmlformats.org/officeDocument/2006/relationships/hyperlink" Target="https://docs.stripe.com/payments/checkout/build-subscriptions" TargetMode="External"/><Relationship Id="rId36" Type="http://schemas.openxmlformats.org/officeDocument/2006/relationships/hyperlink" Target="https://developer.paypal.com/docs/subscriptions/integrate/" TargetMode="External"/><Relationship Id="rId37" Type="http://schemas.openxmlformats.org/officeDocument/2006/relationships/hyperlink" Target="https://supabase.com/docs/guides/auth" TargetMode="External"/><Relationship Id="rId38" Type="http://schemas.openxmlformats.org/officeDocument/2006/relationships/hyperlink" Target="https://supabase.com/docs/guides/storage" TargetMode="External"/><Relationship Id="rId39" Type="http://schemas.openxmlformats.org/officeDocument/2006/relationships/hyperlink" Target="https://resend.com/docs/send-with-nextjs" TargetMode="External"/><Relationship Id="rId40" Type="http://schemas.openxmlformats.org/officeDocument/2006/relationships/hyperlink" Target="https://vercel.com/docs/environment-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Pest Control Website Project Blueprint</dc:title>
  <dc:subject>Terminix reference analysis and pest-control-only implementation plan</dc:subject>
  <dc:creator>OpenAI</dc:creator>
  <cp:keywords>pest control, website, UX, full stack, project blueprint, product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