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aaaaaa"/>
          <w:sz w:val="20"/>
          <w:szCs w:val="20"/>
        </w:rPr>
        <w:t xml:space="preserve">ITERATION ONE  —  FEBRUARY 2026  —  NOT YET SUBMITTED FOR PEER REVIEW</w:t>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Elemental Resonance</w:t>
      </w:r>
    </w:p>
    <w:p>
      <w:pPr>
        <w:spacing w:after="100"/>
        <w:jc w:val="center"/>
      </w:pPr>
      <w:r>
        <w:rPr>
          <w:rFonts w:ascii="Arial" w:cs="Arial" w:eastAsia="Arial" w:hAnsi="Arial"/>
          <w:i/>
          <w:iCs/>
          <w:color w:val="2E6DA4"/>
          <w:sz w:val="23"/>
          <w:szCs w:val="23"/>
        </w:rPr>
        <w:t xml:space="preserve">Void Pressure  ·  Sustained Cavitation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80"/>
        <w:jc w:val="center"/>
      </w:pPr>
      <w:r>
        <w:rPr>
          <w:rFonts w:ascii="Arial" w:cs="Arial" w:eastAsia="Arial" w:hAnsi="Arial"/>
          <w:b/>
          <w:bCs/>
          <w:color w:val="1A1A1A"/>
          <w:sz w:val="48"/>
          <w:szCs w:val="48"/>
        </w:rPr>
        <w:t xml:space="preserve">Luke Martin</w:t>
      </w:r>
    </w:p>
    <w:p>
      <w:pPr>
        <w:spacing w:after="500"/>
        <w:jc w:val="center"/>
      </w:pPr>
      <w:r>
        <w:rPr>
          <w:rFonts w:ascii="Georgia" w:cs="Georgia" w:eastAsia="Georgia" w:hAnsi="Georgia"/>
          <w:i/>
          <w:iCs/>
          <w:color w:val="666666"/>
          <w:sz w:val="24"/>
          <w:szCs w:val="24"/>
        </w:rPr>
        <w:t xml:space="preserve">Independent Researcher  |  February 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6"/>
          <w:szCs w:val="26"/>
        </w:rPr>
        <w:t xml:space="preserve">Editorial Note — Iteration One</w:t>
      </w:r>
    </w:p>
    <w:p>
      <w:pPr>
        <w:spacing w:after="160"/>
        <w:jc w:val="both"/>
      </w:pPr>
      <w:r>
        <w:rPr>
          <w:rFonts w:ascii="Georgia" w:cs="Georgia" w:eastAsia="Georgia" w:hAnsi="Georgia"/>
          <w:sz w:val="22"/>
          <w:szCs w:val="22"/>
        </w:rPr>
        <w:t xml:space="preserve">This is the first formal iteration of the Unified Foam Field Theory complete works. It represents the theory as it stands in February 2026 — built, audited, and documented but not yet submitted for external peer review. Future iterations will incorporate responses to peer review, experimental results, and continued theoretical development.</w:t>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w:t>
      </w:r>
    </w:p>
    <w:p>
      <w:r>
        <w:t xml:space="preserve"/>
      </w:r>
    </w:p>
    <w:p>
      <w:pPr>
        <w:spacing w:after="100"/>
      </w:pPr>
      <w:r>
        <w:rPr>
          <w:rFonts w:ascii="Arial" w:cs="Arial" w:eastAsia="Arial" w:hAnsi="Arial"/>
          <w:b/>
          <w:bCs/>
          <w:color w:val="1A3A5C"/>
          <w:sz w:val="24"/>
          <w:szCs w:val="24"/>
        </w:rPr>
        <w:t xml:space="preserve">Section Status</w:t>
      </w:r>
    </w:p>
    <w:p>
      <w:pPr>
        <w:spacing w:after="160"/>
        <w:jc w:val="both"/>
      </w:pPr>
      <w:r>
        <w:rPr>
          <w:rFonts w:ascii="Georgia" w:cs="Georgia" w:eastAsia="Georgia" w:hAnsi="Georgia"/>
          <w:sz w:val="22"/>
          <w:szCs w:val="22"/>
        </w:rPr>
        <w:t xml:space="preserve">Parts I and II — Core theoretical framework. Ready for external submission.</w:t>
      </w:r>
    </w:p>
    <w:p>
      <w:pPr>
        <w:spacing w:after="160"/>
        <w:jc w:val="both"/>
      </w:pPr>
      <w:r>
        <w:rPr>
          <w:rFonts w:ascii="Georgia" w:cs="Georgia" w:eastAsia="Georgia" w:hAnsi="Georgia"/>
          <w:sz w:val="22"/>
          <w:szCs w:val="22"/>
        </w:rPr>
        <w:t xml:space="preserve">Parts VIII and IX — Standalone peer review papers on decoherence suppression and Bell's theorem. Ready for arXiv submission independently of the rest of this document.</w:t>
      </w:r>
    </w:p>
    <w:p>
      <w:pPr>
        <w:spacing w:after="160"/>
        <w:jc w:val="both"/>
      </w:pPr>
      <w:r>
        <w:rPr>
          <w:rFonts w:ascii="Georgia" w:cs="Georgia" w:eastAsia="Georgia" w:hAnsi="Georgia"/>
          <w:sz w:val="22"/>
          <w:szCs w:val="22"/>
        </w:rPr>
        <w:t xml:space="preserve">Parts III, IV, V, VI, VII — Supporting theoretical sections. Internally consistent, well developed, appropriate for the complete works but not submitted as standalone papers.</w:t>
      </w:r>
    </w:p>
    <w:p>
      <w:pPr>
        <w:spacing w:after="160"/>
        <w:jc w:val="both"/>
      </w:pPr>
      <w:r>
        <w:rPr>
          <w:rFonts w:ascii="Georgia" w:cs="Georgia" w:eastAsia="Georgia" w:hAnsi="Georgia"/>
          <w:sz w:val="22"/>
          <w:szCs w:val="22"/>
        </w:rPr>
        <w:t xml:space="preserve">Parts X — Philosophical and cultural context. Supporting material for the complete works.</w:t>
      </w:r>
    </w:p>
    <w:p>
      <w:pPr>
        <w:spacing w:after="160"/>
        <w:jc w:val="both"/>
      </w:pPr>
      <w:r>
        <w:rPr>
          <w:rFonts w:ascii="Georgia" w:cs="Georgia" w:eastAsia="Georgia" w:hAnsi="Georgia"/>
          <w:sz w:val="22"/>
          <w:szCs w:val="22"/>
        </w:rPr>
        <w:t xml:space="preserve">Parts XI, XII, XIII — Applied and speculative sections on elemental resonance, void pressure, and sustained cavitation. Internally consistent with UFFT, logically sound, but coupling efficiency and void erosion constant are unresolved open problems. These sections are clearly labelled as working hypotheses throughout.</w:t>
      </w:r>
    </w:p>
    <w:p>
      <w:r>
        <w:t xml:space="preserve"/>
      </w:r>
    </w:p>
    <w:p>
      <w:pPr>
        <w:spacing w:after="100"/>
      </w:pPr>
      <w:r>
        <w:rPr>
          <w:rFonts w:ascii="Arial" w:cs="Arial" w:eastAsia="Arial" w:hAnsi="Arial"/>
          <w:b/>
          <w:bCs/>
          <w:color w:val="1A3A5C"/>
          <w:sz w:val="24"/>
          <w:szCs w:val="24"/>
        </w:rPr>
        <w:t xml:space="preserve">Recommended Submission Pathway</w:t>
      </w:r>
    </w:p>
    <w:p>
      <w:pPr>
        <w:spacing w:after="160"/>
        <w:jc w:val="both"/>
      </w:pPr>
      <w:r>
        <w:rPr>
          <w:rFonts w:ascii="Georgia" w:cs="Georgia" w:eastAsia="Georgia" w:hAnsi="Georgia"/>
          <w:sz w:val="22"/>
          <w:szCs w:val="22"/>
        </w:rPr>
        <w:t xml:space="preserve">Step 1: Submit Part VIII (gravitational decoherence suppression) to arXiv as a standalone preprint. This establishes priority, invites response from the decoherence community, and may attract a collaborator with QFT in curved spacetime skills to close the covariant derivation.</w:t>
      </w:r>
    </w:p>
    <w:p>
      <w:pPr>
        <w:spacing w:after="160"/>
        <w:jc w:val="both"/>
      </w:pPr>
      <w:r>
        <w:rPr>
          <w:rFonts w:ascii="Georgia" w:cs="Georgia" w:eastAsia="Georgia" w:hAnsi="Georgia"/>
          <w:sz w:val="22"/>
          <w:szCs w:val="22"/>
        </w:rPr>
        <w:t xml:space="preserve">Step 2: Submit Part IX (void-pair conservation and Bell's theorem) to arXiv as a second standalone preprint. These two papers are the theory's sharpest experimental predictions and are most likely to attract serious engagement from physicists.</w:t>
      </w:r>
    </w:p>
    <w:p>
      <w:pPr>
        <w:spacing w:after="160"/>
        <w:jc w:val="both"/>
      </w:pPr>
      <w:r>
        <w:rPr>
          <w:rFonts w:ascii="Georgia" w:cs="Georgia" w:eastAsia="Georgia" w:hAnsi="Georgia"/>
          <w:sz w:val="22"/>
          <w:szCs w:val="22"/>
        </w:rPr>
        <w:t xml:space="preserve">Step 3: Share the complete works privately with physicists in relevant fields — quantum foundations, sonoluminescence, LENR — to gather informal feedback before broader submission.</w:t>
      </w:r>
    </w:p>
    <w:p>
      <w:pPr>
        <w:spacing w:after="160"/>
        <w:jc w:val="both"/>
      </w:pPr>
      <w:r>
        <w:rPr>
          <w:rFonts w:ascii="Georgia" w:cs="Georgia" w:eastAsia="Georgia" w:hAnsi="Georgia"/>
          <w:sz w:val="22"/>
          <w:szCs w:val="22"/>
        </w:rPr>
        <w:t xml:space="preserve">Step 4: As experimental feedback arrives and open problems are resolved, prepare a journal submission for either Foundations of Physics, Physical Review D, or New Journal of Physics — all of which publish theoretical work in quantum foundations.</w:t>
      </w:r>
    </w:p>
    <w:p>
      <w:r>
        <w:t xml:space="preserve"/>
      </w:r>
    </w:p>
    <w:p>
      <w:pPr>
        <w:spacing w:after="100"/>
      </w:pPr>
      <w:r>
        <w:rPr>
          <w:rFonts w:ascii="Arial" w:cs="Arial" w:eastAsia="Arial" w:hAnsi="Arial"/>
          <w:b/>
          <w:bCs/>
          <w:color w:val="1A3A5C"/>
          <w:sz w:val="24"/>
          <w:szCs w:val="24"/>
        </w:rPr>
        <w:t xml:space="preserve">Published Preprints — Permanent Record</w:t>
      </w:r>
    </w:p>
    <w:p>
      <w:pPr>
        <w:spacing w:after="160"/>
        <w:jc w:val="both"/>
      </w:pPr>
      <w:r>
        <w:rPr>
          <w:rFonts w:ascii="Georgia" w:cs="Georgia" w:eastAsia="Georgia" w:hAnsi="Georgia"/>
          <w:sz w:val="22"/>
          <w:szCs w:val="22"/>
        </w:rPr>
        <w:t xml:space="preserve">Both submission papers are published as open access preprints on Zenodo (CERN) and carry permanent DOIs. These records establish priority of authorship as of 20 February 2026.</w:t>
      </w:r>
    </w:p>
    <w:p>
      <w:pPr>
        <w:spacing w:after="160"/>
        <w:jc w:val="both"/>
      </w:pPr>
      <w:r>
        <w:rPr>
          <w:rFonts w:ascii="Georgia" w:cs="Georgia" w:eastAsia="Georgia" w:hAnsi="Georgia"/>
          <w:sz w:val="22"/>
          <w:szCs w:val="22"/>
        </w:rPr>
        <w:t xml:space="preserve">Paper 1 — Gravitational Suppression of Quantum Decoherence via Variable Vacuum Foam Density</w:t>
      </w:r>
    </w:p>
    <w:p>
      <w:pPr>
        <w:spacing w:after="120"/>
        <w:ind w:left="720"/>
      </w:pPr>
      <w:r>
        <w:rPr>
          <w:rFonts w:ascii="Courier New" w:cs="Courier New" w:eastAsia="Courier New" w:hAnsi="Courier New"/>
          <w:b/>
          <w:bCs/>
          <w:color w:val="2E6DA4"/>
          <w:sz w:val="22"/>
          <w:szCs w:val="22"/>
        </w:rPr>
        <w:t xml:space="preserve">DOI: https://zenodo.org/records/18706756</w:t>
      </w:r>
    </w:p>
    <w:p>
      <w:pPr>
        <w:spacing w:after="160"/>
        <w:jc w:val="both"/>
      </w:pPr>
      <w:r>
        <w:rPr>
          <w:rFonts w:ascii="Georgia" w:cs="Georgia" w:eastAsia="Georgia" w:hAnsi="Georgia"/>
          <w:sz w:val="22"/>
          <w:szCs w:val="22"/>
        </w:rPr>
        <w:t xml:space="preserve">Paper 2 — Void-Pair Conservation as the Physical Mechanism of Quantum Entanglement and Bell Correlations</w:t>
      </w:r>
    </w:p>
    <w:p>
      <w:pPr>
        <w:spacing w:after="120"/>
        <w:ind w:left="720"/>
      </w:pPr>
      <w:r>
        <w:rPr>
          <w:rFonts w:ascii="Courier New" w:cs="Courier New" w:eastAsia="Courier New" w:hAnsi="Courier New"/>
          <w:b/>
          <w:bCs/>
          <w:color w:val="2E6DA4"/>
          <w:sz w:val="22"/>
          <w:szCs w:val="22"/>
        </w:rPr>
        <w:t xml:space="preserve">DOI: https://zenodo.org/records/18706806</w:t>
      </w:r>
    </w:p>
    <w:p>
      <w:r>
        <w:t xml:space="preserve"/>
      </w:r>
    </w:p>
    <w:p>
      <w:pPr>
        <w:spacing w:after="100"/>
      </w:pPr>
      <w:r>
        <w:rPr>
          <w:rFonts w:ascii="Arial" w:cs="Arial" w:eastAsia="Arial" w:hAnsi="Arial"/>
          <w:b/>
          <w:bCs/>
          <w:color w:val="1A3A5C"/>
          <w:sz w:val="24"/>
          <w:szCs w:val="24"/>
        </w:rPr>
        <w:t xml:space="preserve">AI Assistance Disclosure</w:t>
      </w:r>
    </w:p>
    <w:p>
      <w:pPr>
        <w:spacing w:after="160"/>
        <w:jc w:val="both"/>
      </w:pPr>
      <w:r>
        <w:rPr>
          <w:rFonts w:ascii="Georgia" w:cs="Georgia" w:eastAsia="Georgia" w:hAnsi="Georgia"/>
          <w:sz w:val="22"/>
          <w:szCs w:val="22"/>
        </w:rPr>
        <w:t xml:space="preserve">The author used Claude (Anthropic) as a research and writing tool during the preparation of this work. All theoretical ideas, physical intuitions, and conceptual frameworks originate with the author. Claude was used for numerical verification, dimensional analysis, identification of connections to existing mathematical literature, and document preparation.</w:t>
      </w:r>
    </w:p>
    <w:p>
      <w:pPr>
        <w:spacing w:after="160"/>
        <w:jc w:val="both"/>
      </w:pPr>
      <w:r>
        <w:rPr>
          <w:rFonts w:ascii="Georgia" w:cs="Georgia" w:eastAsia="Georgia" w:hAnsi="Georgia"/>
          <w:sz w:val="22"/>
          <w:szCs w:val="22"/>
        </w:rPr>
        <w:t xml:space="preserve">Regarding Howard's spiral frequency table: Terrence Howard is credited in Part XI as the originator of the intuition that elements respond to frequencies at specific angles. His contribution is intellectual — the idea — and is acknowledged as such. Co-authorship would require his direct contribution to the written theoretical development.</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Part XIV:  </w:t>
      </w:r>
      <w:r>
        <w:rPr>
          <w:rFonts w:ascii="Georgia" w:cs="Georgia" w:eastAsia="Georgia" w:hAnsi="Georgia"/>
          <w:sz w:val="22"/>
          <w:szCs w:val="22"/>
        </w:rPr>
        <w:t xml:space="preserve">The Mathematics of the Foam Substrate — Zero Absence, Pairing Arithmetic, and Tropical Structure</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Martin</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Foam Pressure</w:t>
      </w:r>
    </w:p>
    <w:p>
      <w:pPr>
        <w:spacing w:after="160"/>
        <w:jc w:val="both"/>
      </w:pPr>
      <w:r>
        <w:rPr>
          <w:rFonts w:ascii="Georgia" w:cs="Georgia" w:eastAsia="Georgia" w:hAnsi="Georgia"/>
          <w:sz w:val="22"/>
          <w:szCs w:val="22"/>
        </w:rPr>
        <w:t xml:space="preserve">Matter is structured foam displacement. A mass M reduces local foam density. Corrected form, vanishing at the Schwarzschild radius r_s = 2GM/c²:</w:t>
      </w:r>
    </w:p>
    <w:p>
      <w:pPr>
        <w:spacing w:before="160" w:after="160"/>
        <w:jc w:val="center"/>
      </w:pPr>
      <w:r>
        <w:rPr>
          <w:rFonts w:ascii="Courier New" w:cs="Courier New" w:eastAsia="Courier New" w:hAnsi="Courier New"/>
          <w:b/>
          <w:bCs/>
          <w:sz w:val="21"/>
          <w:szCs w:val="21"/>
        </w:rPr>
        <w:t xml:space="preserve">rho_vac(r) = rho_0 * (1 - 2GM/(r*c^2))          (5)</w:t>
      </w:r>
    </w:p>
    <w:p>
      <w:pPr>
        <w:spacing w:after="120"/>
        <w:ind w:left="720"/>
      </w:pPr>
      <w:r>
        <w:rPr>
          <w:rFonts w:ascii="Georgia" w:cs="Georgia" w:eastAsia="Georgia" w:hAnsi="Georgia"/>
          <w:i/>
          <w:iCs/>
          <w:color w:val="2E6DA4"/>
          <w:sz w:val="20"/>
          <w:szCs w:val="20"/>
        </w:rPr>
        <w:t xml:space="preserve">✓ CORRECTED: Factor of 2 required: rho_vac = 0 at r = 2GM/c². Previous editions used factor 1.</w:t>
      </w:r>
    </w:p>
    <w:p>
      <w:pPr>
        <w:spacing w:after="160"/>
        <w:jc w:val="both"/>
      </w:pPr>
      <w:r>
        <w:rPr>
          <w:rFonts w:ascii="Georgia" w:cs="Georgia" w:eastAsia="Georgia" w:hAnsi="Georgia"/>
          <w:sz w:val="22"/>
          <w:szCs w:val="22"/>
        </w:rPr>
        <w:t xml:space="preserve">Pressure field from the equation of state:</w:t>
      </w:r>
    </w:p>
    <w:p>
      <w:pPr>
        <w:spacing w:before="160" w:after="160"/>
        <w:jc w:val="center"/>
      </w:pPr>
      <w:r>
        <w:rPr>
          <w:rFonts w:ascii="Courier New" w:cs="Courier New" w:eastAsia="Courier New" w:hAnsi="Courier New"/>
          <w:b/>
          <w:bCs/>
          <w:sz w:val="21"/>
          <w:szCs w:val="21"/>
        </w:rPr>
        <w:t xml:space="preserve">P(r) = P_0 * (1 - 2GM/(r*c^2))          (6)</w:t>
      </w:r>
    </w:p>
    <w:p>
      <w:pPr>
        <w:spacing w:after="160"/>
        <w:jc w:val="both"/>
      </w:pPr>
      <w:r>
        <w:rPr>
          <w:rFonts w:ascii="Georgia" w:cs="Georgia" w:eastAsia="Georgia" w:hAnsi="Georgia"/>
          <w:sz w:val="22"/>
          <w:szCs w:val="22"/>
        </w:rPr>
        <w:t xml:space="preserve">Acceleration from the Euler pressure-force relation. Weak field limit recovers Newton:</w:t>
      </w:r>
    </w:p>
    <w:p>
      <w:pPr>
        <w:spacing w:before="160" w:after="160"/>
        <w:jc w:val="center"/>
      </w:pPr>
      <w:r>
        <w:rPr>
          <w:rFonts w:ascii="Courier New" w:cs="Courier New" w:eastAsia="Courier New" w:hAnsi="Courier New"/>
          <w:b/>
          <w:bCs/>
          <w:sz w:val="21"/>
          <w:szCs w:val="21"/>
        </w:rPr>
        <w:t xml:space="preserve">a = -GM/r^2 * r_hat          [Newton — recovered exactly]  (7)</w:t>
      </w:r>
    </w:p>
    <w:p>
      <w:pPr>
        <w:spacing w:after="120"/>
        <w:ind w:left="720"/>
      </w:pPr>
      <w:r>
        <w:rPr>
          <w:rFonts w:ascii="Georgia" w:cs="Georgia" w:eastAsia="Georgia" w:hAnsi="Georgia"/>
          <w:i/>
          <w:iCs/>
          <w:color w:val="1A6B2A"/>
          <w:sz w:val="20"/>
          <w:szCs w:val="20"/>
        </w:rPr>
        <w:t xml:space="preserve">✓ At Earth's orbit: non-linearity parameter x = 1.97e-8. Newton error = 1.97e-8 — 20 parts per billion.</w:t>
      </w:r>
    </w:p>
    <w:p>
      <w:pPr>
        <w:spacing w:after="160"/>
        <w:jc w:val="both"/>
      </w:pPr>
      <w:r>
        <w:rPr>
          <w:rFonts w:ascii="Georgia" w:cs="Georgia" w:eastAsia="Georgia" w:hAnsi="Georgia"/>
          <w:sz w:val="22"/>
          <w:szCs w:val="22"/>
        </w:rPr>
        <w:t xml:space="preserve">Strong field limit recovers General Relativity:</w:t>
      </w:r>
    </w:p>
    <w:p>
      <w:pPr>
        <w:spacing w:before="160" w:after="160"/>
        <w:jc w:val="center"/>
      </w:pPr>
      <w:r>
        <w:rPr>
          <w:rFonts w:ascii="Courier New" w:cs="Courier New" w:eastAsia="Courier New" w:hAnsi="Courier New"/>
          <w:b/>
          <w:bCs/>
          <w:sz w:val="21"/>
          <w:szCs w:val="21"/>
        </w:rPr>
        <w:t xml:space="preserve">a = -(GM/r^2) * (1/(1 - 2GM/(r*c^2))) * r_hat          [GR Schwarzschild — recovered]  (8)</w:t>
      </w:r>
    </w:p>
    <w:p>
      <w:pPr>
        <w:spacing w:after="160"/>
        <w:jc w:val="both"/>
      </w:pPr>
      <w:r>
        <w:rPr>
          <w:rFonts w:ascii="Georgia" w:cs="Georgia" w:eastAsia="Georgia" w:hAnsi="Georgia"/>
          <w:sz w:val="22"/>
          <w:szCs w:val="22"/>
        </w:rPr>
        <w:t xml:space="preserve">Gravitational lensing — consistent with full Schwarzschild metric:</w:t>
      </w:r>
    </w:p>
    <w:p>
      <w:pPr>
        <w:spacing w:before="160" w:after="160"/>
        <w:jc w:val="center"/>
      </w:pPr>
      <w:r>
        <w:rPr>
          <w:rFonts w:ascii="Courier New" w:cs="Courier New" w:eastAsia="Courier New" w:hAnsi="Courier New"/>
          <w:b/>
          <w:bCs/>
          <w:sz w:val="21"/>
          <w:szCs w:val="21"/>
        </w:rPr>
        <w:t xml:space="preserve">delta_theta = 4GM / (r_0 * c^2)          [GR lensing — metric consistent]  (9)</w:t>
      </w:r>
    </w:p>
    <w:p>
      <w:pPr>
        <w:spacing w:after="120"/>
        <w:ind w:left="720"/>
      </w:pPr>
      <w:r>
        <w:rPr>
          <w:rFonts w:ascii="Georgia" w:cs="Georgia" w:eastAsia="Georgia" w:hAnsi="Georgia"/>
          <w:i/>
          <w:iCs/>
          <w:color w:val="2E6DA4"/>
          <w:sz w:val="20"/>
          <w:szCs w:val="20"/>
        </w:rPr>
        <w:t xml:space="preserve">✓ CORRECTED: Factor of 4 requires full metric — both time dilation and spatial curvature. Foam model is consistent with GR here; independent foam derivation is open work.</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full expression diverges.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A Valid Geometric Representation</w:t>
      </w:r>
    </w:p>
    <w:p>
      <w:pPr>
        <w:spacing w:after="160"/>
        <w:jc w:val="both"/>
      </w:pPr>
      <w:r>
        <w:rPr>
          <w:rFonts w:ascii="Georgia" w:cs="Georgia" w:eastAsia="Georgia" w:hAnsi="Georgia"/>
          <w:sz w:val="22"/>
          <w:szCs w:val="22"/>
        </w:rPr>
        <w:t xml:space="preserve">The standard periodic table organises elements by atomic number and electron shell filling. Howard's spiral arrangement maps the same structure into a geometry where elements in the same group appear at the same angular position. The period lengths — 2, 8, 8, 18, 18, 32 elements — correspond to angular spacings of 180°, 45°, 45°, 20°, 20°, and 11.25° per element respectively.</w:t>
      </w:r>
    </w:p>
    <w:p>
      <w:pPr>
        <w:spacing w:after="160"/>
        <w:jc w:val="both"/>
      </w:pPr>
      <w:r>
        <w:rPr>
          <w:rFonts w:ascii="Georgia" w:cs="Georgia" w:eastAsia="Georgia" w:hAnsi="Georgia"/>
          <w:sz w:val="22"/>
          <w:szCs w:val="22"/>
        </w:rPr>
        <w:t xml:space="preserve">In UFFT terms: same angular position in the spiral means same outermost shell foam topology class. Same topology class means same chemical behaviour, same resonant frequency structure for the valence shell, same coupling geometry. The spiral is a valid geometric representation of the foam topology relationships between elements. Elements at the same angle share the same foam shell structure.</w:t>
      </w:r>
    </w:p>
    <w:p>
      <w:pPr>
        <w:spacing w:after="120"/>
        <w:ind w:left="720"/>
      </w:pPr>
      <w:r>
        <w:rPr>
          <w:rFonts w:ascii="Georgia" w:cs="Georgia" w:eastAsia="Georgia" w:hAnsi="Georgia"/>
          <w:i/>
          <w:iCs/>
          <w:color w:val="1A6B2A"/>
          <w:sz w:val="20"/>
          <w:szCs w:val="20"/>
        </w:rPr>
        <w:t xml:space="preserve">✓ Period angular spacings: Period 1 (2 elements): 180°/element. Period 2-3 (8 elements): 45°/element. Period 4-5 (18 elements): 20°/element. Period 6-7 (32 elements): 11.25°/element. Mathematically consistent with shell filling.</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XIV</w:t>
      </w:r>
    </w:p>
    <w:p>
      <w:pPr>
        <w:spacing w:after="120"/>
        <w:jc w:val="center"/>
      </w:pPr>
      <w:r>
        <w:rPr>
          <w:rFonts w:ascii="Arial" w:cs="Arial" w:eastAsia="Arial" w:hAnsi="Arial"/>
          <w:b/>
          <w:bCs/>
          <w:color w:val="1A3A5C"/>
          <w:sz w:val="40"/>
          <w:szCs w:val="40"/>
        </w:rPr>
        <w:t xml:space="preserve">The Mathematics of the Foam Substrate</w:t>
      </w:r>
    </w:p>
    <w:p>
      <w:pPr>
        <w:spacing w:after="300"/>
        <w:jc w:val="center"/>
      </w:pPr>
      <w:r>
        <w:rPr>
          <w:rFonts w:ascii="Arial" w:cs="Arial" w:eastAsia="Arial" w:hAnsi="Arial"/>
          <w:i/>
          <w:iCs/>
          <w:color w:val="2E6DA4"/>
          <w:sz w:val="25"/>
          <w:szCs w:val="25"/>
        </w:rPr>
        <w:t xml:space="preserve">Zero Absence, Pairing Arithmetic, and Tropical Structure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addresses the final open problem in the appendix: what mathematics natively describes the foam substrate, rather than the emergent layer that sits above it? The answer was suggested by two intuitions from Terrence Howard — that standard mathematics is missing something fundamental about how reality works at the substrate level, and that 1×1=2 at the level of fundamental interactions. This section provides the formal framework in which both intuitions are mathematically consistent and physically meaningful.</w:t>
      </w:r>
    </w:p>
    <w:p>
      <w:pPr>
        <w:spacing w:after="160"/>
        <w:jc w:val="both"/>
      </w:pPr>
      <w:r>
        <w:rPr>
          <w:rFonts w:ascii="Georgia" w:cs="Georgia" w:eastAsia="Georgia" w:hAnsi="Georgia"/>
          <w:sz w:val="22"/>
          <w:szCs w:val="22"/>
        </w:rPr>
        <w:t xml:space="preserve">The intuition that fundamental interactions produce pairs rather than preserving identity (expressed as 1×1=2) was proposed by Terrence Howard as part of his broader investigation into the mathematical structure of physical reality. The present framework provides the formal substrate in which this intuition is rigorously grounded. As Faraday had the vision of electromagnetic field lines before Maxwell wrote the equations, Howard's intuition preceded and informed the formalisation presented here.</w:t>
      </w:r>
    </w:p>
    <w:p>
      <w:r>
        <w:t xml:space="preserve"/>
      </w:r>
    </w:p>
    <w:p>
      <w:pPr>
        <w:pStyle w:val="Heading1"/>
        <w:spacing w:before="400" w:after="200"/>
      </w:pPr>
      <w:r>
        <w:rPr>
          <w:rFonts w:ascii="Arial" w:cs="Arial" w:eastAsia="Arial" w:hAnsi="Arial"/>
          <w:b/>
          <w:bCs/>
          <w:color w:val="1A3A5C"/>
          <w:sz w:val="30"/>
          <w:szCs w:val="30"/>
        </w:rPr>
        <w:t xml:space="preserve">I.  The Problem with Standard Mathematics at the Substrate</w:t>
      </w:r>
    </w:p>
    <w:p>
      <w:pPr>
        <w:spacing w:after="160"/>
        <w:jc w:val="both"/>
      </w:pPr>
      <w:r>
        <w:rPr>
          <w:rFonts w:ascii="Georgia" w:cs="Georgia" w:eastAsia="Georgia" w:hAnsi="Georgia"/>
          <w:sz w:val="22"/>
          <w:szCs w:val="22"/>
        </w:rPr>
        <w:t xml:space="preserve">Standard mathematics was built to describe the world as observed from within the emergent layer. It inherited: a continuous real number line including zero; multiplication as a neutral operation (1×1=1, self-interaction changes nothing); zero as the additive identity; and fields defined over the full reals. These tools correctly describe the emergent behaviour of the foam at scales far above the Planck length. They are the right tools for the emergent layer.</w:t>
      </w:r>
    </w:p>
    <w:p>
      <w:pPr>
        <w:spacing w:after="160"/>
        <w:jc w:val="both"/>
      </w:pPr>
      <w:r>
        <w:rPr>
          <w:rFonts w:ascii="Georgia" w:cs="Georgia" w:eastAsia="Georgia" w:hAnsi="Georgia"/>
          <w:sz w:val="22"/>
          <w:szCs w:val="22"/>
        </w:rPr>
        <w:t xml:space="preserve">Applied to the substrate, however, they produce difficulties. Zero is included in the real number line but has no foam correspondent — where rho = 0 there is no foam, there is void. These are ontologically different. Division by zero appears at the Schwarzschild radius in standard formulations. Self-interaction is neutral in standard multiplication, but every foam interaction creates a pair — nothing about the foam is neutral. And the continuous real line has no minimum positive element, while the foam is quantised with a definite minimum unit: one Planck bubble.</w:t>
      </w:r>
    </w:p>
    <w:p>
      <w:pPr>
        <w:spacing w:after="160"/>
        <w:jc w:val="both"/>
      </w:pPr>
      <w:r>
        <w:rPr>
          <w:rFonts w:ascii="Georgia" w:cs="Georgia" w:eastAsia="Georgia" w:hAnsi="Georgia"/>
          <w:sz w:val="22"/>
          <w:szCs w:val="22"/>
        </w:rPr>
        <w:t xml:space="preserve">These are not failures of standard mathematics. They are signs that standard mathematics is being applied outside its domain of validity — to the substrate, rather than to the emergent layer it was designed to describe.</w:t>
      </w:r>
    </w:p>
    <w:p>
      <w:r>
        <w:t xml:space="preserve"/>
      </w:r>
    </w:p>
    <w:p>
      <w:pPr>
        <w:pStyle w:val="Heading1"/>
        <w:spacing w:before="400" w:after="200"/>
      </w:pPr>
      <w:r>
        <w:rPr>
          <w:rFonts w:ascii="Arial" w:cs="Arial" w:eastAsia="Arial" w:hAnsi="Arial"/>
          <w:b/>
          <w:bCs/>
          <w:color w:val="1A3A5C"/>
          <w:sz w:val="30"/>
          <w:szCs w:val="30"/>
        </w:rPr>
        <w:t xml:space="preserve">II.  Axiom A — Zero Is Not in the Foam</w:t>
      </w:r>
    </w:p>
    <w:p>
      <w:pPr>
        <w:spacing w:after="160"/>
        <w:jc w:val="both"/>
      </w:pPr>
      <w:r>
        <w:rPr>
          <w:rFonts w:ascii="Georgia" w:cs="Georgia" w:eastAsia="Georgia" w:hAnsi="Georgia"/>
          <w:sz w:val="22"/>
          <w:szCs w:val="22"/>
        </w:rPr>
        <w:t xml:space="preserve">The first axiom of foam mathematics:</w:t>
      </w:r>
    </w:p>
    <w:p>
      <w:pPr>
        <w:spacing w:before="160" w:after="160"/>
        <w:jc w:val="center"/>
      </w:pPr>
      <w:r>
        <w:rPr>
          <w:rFonts w:ascii="Courier New" w:cs="Courier New" w:eastAsia="Courier New" w:hAnsi="Courier New"/>
          <w:b/>
          <w:bCs/>
          <w:sz w:val="21"/>
          <w:szCs w:val="21"/>
        </w:rPr>
        <w:t xml:space="preserve">Axiom A:  rho_foam &gt; 0  everywhere foam exists          [Zero is not a foam state]  (1)</w:t>
      </w:r>
    </w:p>
    <w:p>
      <w:pPr>
        <w:spacing w:after="160"/>
        <w:jc w:val="both"/>
      </w:pPr>
      <w:r>
        <w:rPr>
          <w:rFonts w:ascii="Georgia" w:cs="Georgia" w:eastAsia="Georgia" w:hAnsi="Georgia"/>
          <w:sz w:val="22"/>
          <w:szCs w:val="22"/>
        </w:rPr>
        <w:t xml:space="preserve">Zero is not a value the foam takes. Zero is the boundary condition — the edge where foam ends and void begins. The void is not foam at zero density. It is the absence of foam entirely. These are different ontological categories and must be treated as such in the mathematics.</w:t>
      </w:r>
    </w:p>
    <w:p>
      <w:pPr>
        <w:spacing w:after="160"/>
        <w:jc w:val="both"/>
      </w:pPr>
      <w:r>
        <w:rPr>
          <w:rFonts w:ascii="Georgia" w:cs="Georgia" w:eastAsia="Georgia" w:hAnsi="Georgia"/>
          <w:sz w:val="22"/>
          <w:szCs w:val="22"/>
        </w:rPr>
        <w:t xml:space="preserve">The number system of the foam therefore starts at 1 — one Planck unit — not at zero. The Planck bubble is the minimum element of the system. There is no smaller positive foam quantity. The number line of the substrate is the positive integers starting from 1, not the real numbers starting from 0.</w:t>
      </w:r>
    </w:p>
    <w:p>
      <w:pPr>
        <w:spacing w:after="160"/>
        <w:jc w:val="both"/>
      </w:pPr>
      <w:r>
        <w:rPr>
          <w:rFonts w:ascii="Georgia" w:cs="Georgia" w:eastAsia="Georgia" w:hAnsi="Georgia"/>
          <w:sz w:val="22"/>
          <w:szCs w:val="22"/>
        </w:rPr>
        <w:t xml:space="preserve">This resolves the Schwarzschild boundary cleanly. In standard mathematics rho → 0 at r = r_s creates a division by zero problem. In foam mathematics rho never reaches zero — the foam ends and void begins at a definite boundary. There is no singularity in the mathematics because zero is not in the system.</w:t>
      </w:r>
    </w:p>
    <w:p>
      <w:pPr>
        <w:spacing w:after="120"/>
        <w:ind w:left="720"/>
      </w:pPr>
      <w:r>
        <w:rPr>
          <w:rFonts w:ascii="Georgia" w:cs="Georgia" w:eastAsia="Georgia" w:hAnsi="Georgia"/>
          <w:i/>
          <w:iCs/>
          <w:color w:val="1A6B2A"/>
          <w:sz w:val="20"/>
          <w:szCs w:val="20"/>
        </w:rPr>
        <w:t xml:space="preserve">✓ rho_vac(r) = rho_0*(1-2GM/rc^2) → 0 at r = r_s. In standard math: boundary problem. In foam math: foam ends, void begins. No division by zero. Boundary is physical not mathematical.</w:t>
      </w:r>
    </w:p>
    <w:p>
      <w:r>
        <w:t xml:space="preserve"/>
      </w:r>
    </w:p>
    <w:p>
      <w:pPr>
        <w:pStyle w:val="Heading1"/>
        <w:spacing w:before="400" w:after="200"/>
      </w:pPr>
      <w:r>
        <w:rPr>
          <w:rFonts w:ascii="Arial" w:cs="Arial" w:eastAsia="Arial" w:hAnsi="Arial"/>
          <w:b/>
          <w:bCs/>
          <w:color w:val="1A3A5C"/>
          <w:sz w:val="30"/>
          <w:szCs w:val="30"/>
        </w:rPr>
        <w:t xml:space="preserve">III.  Axiom B — Multiplication Is Pairing</w:t>
      </w:r>
    </w:p>
    <w:p>
      <w:pPr>
        <w:spacing w:after="160"/>
        <w:jc w:val="both"/>
      </w:pPr>
      <w:r>
        <w:rPr>
          <w:rFonts w:ascii="Georgia" w:cs="Georgia" w:eastAsia="Georgia" w:hAnsi="Georgia"/>
          <w:sz w:val="22"/>
          <w:szCs w:val="22"/>
        </w:rPr>
        <w:t xml:space="preserve">The second axiom of foam mathematics:</w:t>
      </w:r>
    </w:p>
    <w:p>
      <w:pPr>
        <w:spacing w:before="160" w:after="160"/>
        <w:jc w:val="center"/>
      </w:pPr>
      <w:r>
        <w:rPr>
          <w:rFonts w:ascii="Courier New" w:cs="Courier New" w:eastAsia="Courier New" w:hAnsi="Courier New"/>
          <w:b/>
          <w:bCs/>
          <w:sz w:val="21"/>
          <w:szCs w:val="21"/>
        </w:rPr>
        <w:t xml:space="preserve">Axiom B:  a ⊗ b = a + b          [Foam multiplication is pairing]  (2)</w:t>
      </w:r>
    </w:p>
    <w:p>
      <w:pPr>
        <w:spacing w:after="160"/>
        <w:jc w:val="both"/>
      </w:pPr>
      <w:r>
        <w:rPr>
          <w:rFonts w:ascii="Georgia" w:cs="Georgia" w:eastAsia="Georgia" w:hAnsi="Georgia"/>
          <w:sz w:val="22"/>
          <w:szCs w:val="22"/>
        </w:rPr>
        <w:t xml:space="preserve">In standard arithmetic, multiplication is neutral for the unit: 1×1=1. Self-interaction produces the same thing. Nothing new is created. In foam arithmetic, multiplication describes what happens when foam elements interact — and what happens is void-pair creation. One foam element interacting with one displacement produces two entities: one bubble and one void. Axiom Zero in multiplicative form:</w:t>
      </w:r>
    </w:p>
    <w:p>
      <w:pPr>
        <w:spacing w:before="160" w:after="160"/>
        <w:jc w:val="center"/>
      </w:pPr>
      <w:r>
        <w:rPr>
          <w:rFonts w:ascii="Courier New" w:cs="Courier New" w:eastAsia="Courier New" w:hAnsi="Courier New"/>
          <w:b/>
          <w:bCs/>
          <w:sz w:val="21"/>
          <w:szCs w:val="21"/>
        </w:rPr>
        <w:t xml:space="preserve">1 ⊗ 1 = 2     (one Planck unit interacting with one = two entities)          (3)</w:t>
      </w:r>
    </w:p>
    <w:p>
      <w:pPr>
        <w:spacing w:after="160"/>
        <w:jc w:val="both"/>
      </w:pPr>
      <w:r>
        <w:rPr>
          <w:rFonts w:ascii="Georgia" w:cs="Georgia" w:eastAsia="Georgia" w:hAnsi="Georgia"/>
          <w:sz w:val="22"/>
          <w:szCs w:val="22"/>
        </w:rPr>
        <w:t xml:space="preserve">This is not a violation of standard arithmetic. It is a more honest description of what the multiplication operator means at the substrate level. The foam multiplication table follows directly:</w:t>
      </w:r>
    </w:p>
    <w:p>
      <w:pPr>
        <w:spacing w:before="160" w:after="160"/>
        <w:jc w:val="center"/>
      </w:pPr>
      <w:r>
        <w:rPr>
          <w:rFonts w:ascii="Courier New" w:cs="Courier New" w:eastAsia="Courier New" w:hAnsi="Courier New"/>
          <w:b/>
          <w:bCs/>
          <w:sz w:val="21"/>
          <w:szCs w:val="21"/>
        </w:rPr>
        <w:t xml:space="preserve">1⊗1=2   1⊗2=3   1⊗3=4</w:t>
      </w:r>
    </w:p>
    <w:p>
      <w:pPr>
        <w:spacing w:before="160" w:after="160"/>
        <w:jc w:val="center"/>
      </w:pPr>
      <w:r>
        <w:rPr>
          <w:rFonts w:ascii="Courier New" w:cs="Courier New" w:eastAsia="Courier New" w:hAnsi="Courier New"/>
          <w:b/>
          <w:bCs/>
          <w:sz w:val="21"/>
          <w:szCs w:val="21"/>
        </w:rPr>
        <w:t xml:space="preserve">2⊗2=4   2⊗3=5   3⊗3=6</w:t>
      </w:r>
    </w:p>
    <w:p>
      <w:pPr>
        <w:spacing w:after="160"/>
        <w:jc w:val="both"/>
      </w:pPr>
      <w:r>
        <w:rPr>
          <w:rFonts w:ascii="Georgia" w:cs="Georgia" w:eastAsia="Georgia" w:hAnsi="Georgia"/>
          <w:sz w:val="22"/>
          <w:szCs w:val="22"/>
        </w:rPr>
        <w:t xml:space="preserve">Every interaction produces more than either operand. There is no neutral interaction in the foam. This is physically correct — every foam event creates a pair, no event leaves the foam unchanged.</w:t>
      </w:r>
    </w:p>
    <w:p>
      <w:pPr>
        <w:spacing w:after="120"/>
        <w:ind w:left="720"/>
      </w:pPr>
      <w:r>
        <w:rPr>
          <w:rFonts w:ascii="Georgia" w:cs="Georgia" w:eastAsia="Georgia" w:hAnsi="Georgia"/>
          <w:i/>
          <w:iCs/>
          <w:color w:val="1A6B2A"/>
          <w:sz w:val="20"/>
          <w:szCs w:val="20"/>
        </w:rPr>
        <w:t xml:space="preserve">✓ Commutativity: a⊗b = a+b = b+a = b⊗a ✓. Associativity: (a⊗b)⊗c = (a+b)+c = a+(b+c) = a⊗(b⊗c) ✓. No multiplicative identity (no zero in system) — physically correct: no neutral foam interaction exists.</w:t>
      </w:r>
    </w:p>
    <w:p>
      <w:r>
        <w:t xml:space="preserve"/>
      </w:r>
    </w:p>
    <w:p>
      <w:pPr>
        <w:pStyle w:val="Heading1"/>
        <w:spacing w:before="400" w:after="200"/>
      </w:pPr>
      <w:r>
        <w:rPr>
          <w:rFonts w:ascii="Arial" w:cs="Arial" w:eastAsia="Arial" w:hAnsi="Arial"/>
          <w:b/>
          <w:bCs/>
          <w:color w:val="1A3A5C"/>
          <w:sz w:val="30"/>
          <w:szCs w:val="30"/>
        </w:rPr>
        <w:t xml:space="preserve">IV.  Foam Addition — The Principle of Least Action Emerges</w:t>
      </w:r>
    </w:p>
    <w:p>
      <w:pPr>
        <w:spacing w:after="160"/>
        <w:jc w:val="both"/>
      </w:pPr>
      <w:r>
        <w:rPr>
          <w:rFonts w:ascii="Georgia" w:cs="Georgia" w:eastAsia="Georgia" w:hAnsi="Georgia"/>
          <w:sz w:val="22"/>
          <w:szCs w:val="22"/>
        </w:rPr>
        <w:t xml:space="preserve">If foam multiplication is pairing (a⊗b = a+b), what is foam addition? The natural candidate is selection of the minimum:</w:t>
      </w:r>
    </w:p>
    <w:p>
      <w:pPr>
        <w:spacing w:before="160" w:after="160"/>
        <w:jc w:val="center"/>
      </w:pPr>
      <w:r>
        <w:rPr>
          <w:rFonts w:ascii="Courier New" w:cs="Courier New" w:eastAsia="Courier New" w:hAnsi="Courier New"/>
          <w:b/>
          <w:bCs/>
          <w:sz w:val="21"/>
          <w:szCs w:val="21"/>
        </w:rPr>
        <w:t xml:space="preserve">a ⊕ b = min(a, b)          [Foam addition is minimum selection]  (4)</w:t>
      </w:r>
    </w:p>
    <w:p>
      <w:pPr>
        <w:spacing w:after="160"/>
        <w:jc w:val="both"/>
      </w:pPr>
      <w:r>
        <w:rPr>
          <w:rFonts w:ascii="Georgia" w:cs="Georgia" w:eastAsia="Georgia" w:hAnsi="Georgia"/>
          <w:sz w:val="22"/>
          <w:szCs w:val="22"/>
        </w:rPr>
        <w:t xml:space="preserve">The physical meaning: given two possible foam configurations, the one requiring fewer Planck units is selected. The minimum energy path is always chosen.</w:t>
      </w:r>
    </w:p>
    <w:p>
      <w:pPr>
        <w:spacing w:after="160"/>
        <w:jc w:val="both"/>
      </w:pPr>
      <w:r>
        <w:rPr>
          <w:rFonts w:ascii="Georgia" w:cs="Georgia" w:eastAsia="Georgia" w:hAnsi="Georgia"/>
          <w:sz w:val="22"/>
          <w:szCs w:val="22"/>
        </w:rPr>
        <w:t xml:space="preserve">This is the principle of least action — one of the deepest principles in all of physics, from which classical mechanics, quantum mechanics, and field theory all derive. In standard physics it is imposed as an external principle. In foam mathematics it emerges automatically from the definition of addition. The foam selects the minimum because that is what addition means at the substrate level.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principle of least action — that nature always takes the path of minimum action — is not imposed on the foam from outside. It emerges from foam addition: given two paths, the foam selects the minimum. This is what addition means at the substrate.</w:t>
      </w:r>
    </w:p>
    <w:p>
      <w:pPr>
        <w:spacing w:after="120"/>
        <w:ind w:left="720"/>
      </w:pPr>
      <w:r>
        <w:rPr>
          <w:rFonts w:ascii="Georgia" w:cs="Georgia" w:eastAsia="Georgia" w:hAnsi="Georgia"/>
          <w:i/>
          <w:iCs/>
          <w:color w:val="1A6B2A"/>
          <w:sz w:val="20"/>
          <w:szCs w:val="20"/>
        </w:rPr>
        <w:t xml:space="preserve">✓ Tropical addition a⊕b = min(a,b) produces principle of least action as direct consequence. Not assumed — derived from the arithmetic. This is a result of the audit, not a planted conclusion.</w:t>
      </w:r>
    </w:p>
    <w:p>
      <w:r>
        <w:t xml:space="preserve"/>
      </w:r>
    </w:p>
    <w:p>
      <w:pPr>
        <w:pStyle w:val="Heading1"/>
        <w:spacing w:before="400" w:after="200"/>
      </w:pPr>
      <w:r>
        <w:rPr>
          <w:rFonts w:ascii="Arial" w:cs="Arial" w:eastAsia="Arial" w:hAnsi="Arial"/>
          <w:b/>
          <w:bCs/>
          <w:color w:val="1A3A5C"/>
          <w:sz w:val="30"/>
          <w:szCs w:val="30"/>
        </w:rPr>
        <w:t xml:space="preserve">V.  The Connection to Tropical Mathematics</w:t>
      </w:r>
    </w:p>
    <w:p>
      <w:pPr>
        <w:spacing w:after="160"/>
        <w:jc w:val="both"/>
      </w:pPr>
      <w:r>
        <w:rPr>
          <w:rFonts w:ascii="Georgia" w:cs="Georgia" w:eastAsia="Georgia" w:hAnsi="Georgia"/>
          <w:sz w:val="22"/>
          <w:szCs w:val="22"/>
        </w:rPr>
        <w:t xml:space="preserve">The foam mathematics described by Axiom A and Axiom B is the tropical semiring restricted to positive integers. Tropical mathematics replaces standard arithmetic with: tropical multiplication a⊗b = a+b, and tropical addition a⊕b = min(a,b). The zero element of tropical addition is +infinity — never reached in a finite foam system, corresponding to the void boundary at the edge of the foam.</w:t>
      </w:r>
    </w:p>
    <w:p>
      <w:pPr>
        <w:spacing w:after="160"/>
        <w:jc w:val="both"/>
      </w:pPr>
      <w:r>
        <w:rPr>
          <w:rFonts w:ascii="Georgia" w:cs="Georgia" w:eastAsia="Georgia" w:hAnsi="Georgia"/>
          <w:sz w:val="22"/>
          <w:szCs w:val="22"/>
        </w:rPr>
        <w:t xml:space="preserve">Tropical mathematics is an active and serious area of mathematical research. It appears naturally in algebraic geometry, mirror symmetry, crystal growth models, quantum field theory at high temperature limits, and string theory. The amplituhedron — Arkani-Hamed's reformulation of particle scattering amplitudes — lives in the positive Grassmannian, a space where zero is at the excluded boundary, directly parallel to the foam's zero-absent structure.</w:t>
      </w:r>
    </w:p>
    <w:p>
      <w:pPr>
        <w:spacing w:after="160"/>
        <w:jc w:val="both"/>
      </w:pPr>
      <w:r>
        <w:rPr>
          <w:rFonts w:ascii="Georgia" w:cs="Georgia" w:eastAsia="Georgia" w:hAnsi="Georgia"/>
          <w:sz w:val="22"/>
          <w:szCs w:val="22"/>
        </w:rPr>
        <w:t xml:space="preserve">The foam substrate is not described by an exotic invented mathematics. It is described by tropical geometry — a branch of mathematics that physicists and mathematicians are actively developing precisely because standard mathematics is insufficient for describing quantum interactions at the deepest level. Howard's intuition and the UFFT framework both independently arrive at the same mathematical structure that researchers in quantum gravity and string theory are converging on from their own directions.</w:t>
      </w:r>
    </w:p>
    <w:p>
      <w:r>
        <w:t xml:space="preserve"/>
      </w:r>
    </w:p>
    <w:p>
      <w:pPr>
        <w:pStyle w:val="Heading1"/>
        <w:spacing w:before="400" w:after="200"/>
      </w:pPr>
      <w:r>
        <w:rPr>
          <w:rFonts w:ascii="Arial" w:cs="Arial" w:eastAsia="Arial" w:hAnsi="Arial"/>
          <w:b/>
          <w:bCs/>
          <w:color w:val="1A3A5C"/>
          <w:sz w:val="30"/>
          <w:szCs w:val="30"/>
        </w:rPr>
        <w:t xml:space="preserve">VI.  Superposition Reframed — The Unpaired One</w:t>
      </w:r>
    </w:p>
    <w:p>
      <w:pPr>
        <w:spacing w:after="160"/>
        <w:jc w:val="both"/>
      </w:pPr>
      <w:r>
        <w:rPr>
          <w:rFonts w:ascii="Georgia" w:cs="Georgia" w:eastAsia="Georgia" w:hAnsi="Georgia"/>
          <w:sz w:val="22"/>
          <w:szCs w:val="22"/>
        </w:rPr>
        <w:t xml:space="preserve">In foam mathematics, superposition has a precise meaning that standard quantum mechanics cannot provide. A quantum system in superposition is a displacement event that has not yet completed its pairing — a 1 that has not yet become 2. It is an interaction in progress, held between initiation and completion.</w:t>
      </w:r>
    </w:p>
    <w:p>
      <w:pPr>
        <w:spacing w:after="160"/>
        <w:jc w:val="both"/>
      </w:pPr>
      <w:r>
        <w:rPr>
          <w:rFonts w:ascii="Georgia" w:cs="Georgia" w:eastAsia="Georgia" w:hAnsi="Georgia"/>
          <w:sz w:val="22"/>
          <w:szCs w:val="22"/>
        </w:rPr>
        <w:t xml:space="preserve">Wavefunction collapse is the moment 1 becomes 2: the void-pair imprint is created, the pairing completes, the foam records the outcome. Before collapse: the event is unresolved, both endpoints exist as possibilities, interference is possible because no record exists. After collapse: the pairing is complete, the record is written, interference is impossible because the foam already knows which path was taken.</w:t>
      </w:r>
    </w:p>
    <w:p>
      <w:pPr>
        <w:spacing w:after="160"/>
        <w:jc w:val="both"/>
      </w:pPr>
      <w:r>
        <w:rPr>
          <w:rFonts w:ascii="Georgia" w:cs="Georgia" w:eastAsia="Georgia" w:hAnsi="Georgia"/>
          <w:sz w:val="22"/>
          <w:szCs w:val="22"/>
        </w:rPr>
        <w:t xml:space="preserve">The measurement problem — when exactly does superposition end — has a precise answer in foam mathematics: it ends when the pairing completes, when 1 becomes 2. This is a physical event with a definite time. Not when a human observes it. Not when a detector fires. When the void-pair imprint is written into the foam substrate. That is the moment the arithmetic completes.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Superposition is a 1 that has not yet become 2. Collapse is the moment it does. The measurement problem is not a philosophical puzzle in foam mathematics — it is an arithmetic event with a definite completion time.</w:t>
      </w:r>
    </w:p>
    <w:p>
      <w:r>
        <w:t xml:space="preserve"/>
      </w:r>
    </w:p>
    <w:p>
      <w:pPr>
        <w:pStyle w:val="Heading1"/>
        <w:spacing w:before="400" w:after="200"/>
      </w:pPr>
      <w:r>
        <w:rPr>
          <w:rFonts w:ascii="Arial" w:cs="Arial" w:eastAsia="Arial" w:hAnsi="Arial"/>
          <w:b/>
          <w:bCs/>
          <w:color w:val="1A3A5C"/>
          <w:sz w:val="30"/>
          <w:szCs w:val="30"/>
        </w:rPr>
        <w:t xml:space="preserve">VII.  The Correspondence Principle for Mathematics</w:t>
      </w:r>
    </w:p>
    <w:p>
      <w:pPr>
        <w:spacing w:after="160"/>
        <w:jc w:val="both"/>
      </w:pPr>
      <w:r>
        <w:rPr>
          <w:rFonts w:ascii="Georgia" w:cs="Georgia" w:eastAsia="Georgia" w:hAnsi="Georgia"/>
          <w:sz w:val="22"/>
          <w:szCs w:val="22"/>
        </w:rPr>
        <w:t xml:space="preserve">Foam mathematics does not replace standard mathematics. It underlies it. The same correspondence principle that governs the physics governs the mathematics:</w:t>
      </w:r>
    </w:p>
    <w:p>
      <w:pPr>
        <w:spacing w:after="160"/>
        <w:jc w:val="both"/>
      </w:pPr>
      <w:r>
        <w:rPr>
          <w:rFonts w:ascii="Georgia" w:cs="Georgia" w:eastAsia="Georgia" w:hAnsi="Georgia"/>
          <w:sz w:val="22"/>
          <w:szCs w:val="22"/>
        </w:rPr>
        <w:t xml:space="preserve">At scales far above the Planck length — the scale at which all human mathematics was developed — the discrete quantised foam appears continuous. The minimum unit (1 Planck bubble) appears to approach zero. Multiplication appears neutral because the pairing events are so numerous and so fast that their individual discreteness averages out. The emergent limit of foam mathematics, as the Planck scale recedes to infinitesimally small, recovers standard real number arithmetic with zero, neutral multiplication, and continuous fields.</w:t>
      </w:r>
    </w:p>
    <w:p>
      <w:pPr>
        <w:spacing w:after="160"/>
        <w:jc w:val="both"/>
      </w:pPr>
      <w:r>
        <w:rPr>
          <w:rFonts w:ascii="Georgia" w:cs="Georgia" w:eastAsia="Georgia" w:hAnsi="Georgia"/>
          <w:sz w:val="22"/>
          <w:szCs w:val="22"/>
        </w:rPr>
        <w:t xml:space="preserve">Standard mathematics is therefore correct at its own scale — it is the large-scale limit of foam mathematics, just as Newtonian gravity is the weak-field limit of UFFT, and classical mechanics is the large-N limit of quantum mechanics. The foam mathematics does not invalidate any existing result. It provides the substrate from which existing results emerge.</w:t>
      </w:r>
    </w:p>
    <w:p>
      <w:pPr>
        <w:spacing w:after="160"/>
        <w:jc w:val="both"/>
      </w:pPr>
      <w:r>
        <w:rPr>
          <w:rFonts w:ascii="Georgia" w:cs="Georgia" w:eastAsia="Georgia" w:hAnsi="Georgia"/>
          <w:sz w:val="22"/>
          <w:szCs w:val="22"/>
        </w:rPr>
        <w:t xml:space="preserve">This is the answer to why mathematics is so unreasonably effective at describing physical reality. It is not a coincidence. It is because mathematics was built by observers inside the emergent layer, to describe the emergent layer, using the tools the emergent layer provides. It works because it was always already a description of the foam seen from inside. Foam mathematics is the description of the foam seen from the substrate itself.</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Standard mathematics is the language the emergent layer uses to describe itself. Foam mathematics is the language the substrate uses to describe itself. The correspondence principle connects them. Neither replaces the other. Each is valid at its own scale.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GR Schwarzschild acceleration from corrected vacuum density.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w:t>
      </w:r>
    </w:p>
    <w:p>
      <w:pPr>
        <w:spacing w:after="160"/>
        <w:jc w:val="both"/>
      </w:pPr>
      <w:r>
        <w:rPr>
          <w:rFonts w:ascii="Georgia" w:cs="Georgia" w:eastAsia="Georgia" w:hAnsi="Georgia"/>
          <w:sz w:val="22"/>
          <w:szCs w:val="22"/>
        </w:rPr>
        <w:t xml:space="preserve">Currently stated as GR-consistent. A full derivation requires treating both time dilation and spatial metric change simultaneously from foam pressure mechanics. Open.</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w:t>
      </w:r>
    </w:p>
    <w:p>
      <w:pPr>
        <w:spacing w:after="160"/>
        <w:jc w:val="both"/>
      </w:pPr>
      <w:r>
        <w:rPr>
          <w:rFonts w:ascii="Georgia" w:cs="Georgia" w:eastAsia="Georgia" w:hAnsi="Georgia"/>
          <w:sz w:val="22"/>
          <w:szCs w:val="22"/>
        </w:rPr>
        <w:t xml:space="preserve">Gate operations are identified as resonant foam wave coupling. The qubit resonant frequency f₀ must be derived from the foam's electromagnetic structure — the open work on deriving electromagnetic constants from bubble geometry.</w:t>
      </w:r>
    </w:p>
    <w:p>
      <w:pPr>
        <w:pStyle w:val="Heading2"/>
        <w:spacing w:before="280" w:after="140"/>
      </w:pPr>
      <w:r>
        <w:rPr>
          <w:rFonts w:ascii="Arial" w:cs="Arial" w:eastAsia="Arial" w:hAnsi="Arial"/>
          <w:b/>
          <w:bCs/>
          <w:color w:val="2E6DA4"/>
          <w:sz w:val="26"/>
          <w:szCs w:val="26"/>
        </w:rPr>
        <w:t xml:space="preserve">5.  Schrödinger Equation from Foam Dynamics</w:t>
      </w:r>
    </w:p>
    <w:p>
      <w:pPr>
        <w:spacing w:after="160"/>
        <w:jc w:val="both"/>
      </w:pPr>
      <w:r>
        <w:rPr>
          <w:rFonts w:ascii="Georgia" w:cs="Georgia" w:eastAsia="Georgia" w:hAnsi="Georgia"/>
          <w:sz w:val="22"/>
          <w:szCs w:val="22"/>
        </w:rPr>
        <w:t xml:space="preserve">The thermodynamic averaging argument shows QM linearity is consistent with foam averaging. A full derivation of the Schrödinger equation from foam mechanics — showing precisely how the linear wave equation emerges from non-linear foam bubble dynamics in the thermodynamic limit — is the deepest open problem in the theory.</w:t>
      </w:r>
    </w:p>
    <w:p>
      <w:pPr>
        <w:pStyle w:val="Heading2"/>
        <w:spacing w:before="280" w:after="140"/>
      </w:pPr>
      <w:r>
        <w:rPr>
          <w:rFonts w:ascii="Arial" w:cs="Arial" w:eastAsia="Arial" w:hAnsi="Arial"/>
          <w:b/>
          <w:bCs/>
          <w:color w:val="2E6DA4"/>
          <w:sz w:val="26"/>
          <w:szCs w:val="26"/>
        </w:rPr>
        <w:t xml:space="preserve">6.  Strong and Weak Forces</w:t>
      </w:r>
    </w:p>
    <w:p>
      <w:pPr>
        <w:spacing w:after="160"/>
        <w:jc w:val="both"/>
      </w:pPr>
      <w:r>
        <w:rPr>
          <w:rFonts w:ascii="Georgia" w:cs="Georgia" w:eastAsia="Georgia" w:hAnsi="Georgia"/>
          <w:sz w:val="22"/>
          <w:szCs w:val="22"/>
        </w:rPr>
        <w:t xml:space="preserve">Not yet derived. Strong force likely arises from torsional restoring force of the foam lattice at sub-femtometer scales. Weak force likely relates to asymmetry in the initial discharge geometry. Both require full tensor treatments not yet performed.</w:t>
      </w:r>
    </w:p>
    <w:p>
      <w:pPr>
        <w:pStyle w:val="Heading2"/>
        <w:spacing w:before="280" w:after="140"/>
      </w:pPr>
      <w:r>
        <w:rPr>
          <w:rFonts w:ascii="Arial" w:cs="Arial" w:eastAsia="Arial" w:hAnsi="Arial"/>
          <w:b/>
          <w:bCs/>
          <w:color w:val="2E6DA4"/>
          <w:sz w:val="26"/>
          <w:szCs w:val="26"/>
        </w:rPr>
        <w:t xml:space="preserve">7.  Quantitative Dark Matter and Dark Energy</w:t>
      </w:r>
    </w:p>
    <w:p>
      <w:pPr>
        <w:spacing w:after="160"/>
        <w:jc w:val="both"/>
      </w:pPr>
      <w:r>
        <w:rPr>
          <w:rFonts w:ascii="Georgia" w:cs="Georgia" w:eastAsia="Georgia" w:hAnsi="Georgia"/>
          <w:sz w:val="22"/>
          <w:szCs w:val="22"/>
        </w:rPr>
        <w:t xml:space="preserve">The inter-layer coupling constants alpha, beta and epsilon_coupling are undefined. Determining them is the key to producing specific numbers comparable against astronomical measurements.</w:t>
      </w:r>
    </w:p>
    <w:p>
      <w:pPr>
        <w:pStyle w:val="Heading2"/>
        <w:spacing w:before="280" w:after="140"/>
      </w:pPr>
      <w:r>
        <w:rPr>
          <w:rFonts w:ascii="Arial" w:cs="Arial" w:eastAsia="Arial" w:hAnsi="Arial"/>
          <w:b/>
          <w:bCs/>
          <w:color w:val="2E6DA4"/>
          <w:sz w:val="26"/>
          <w:szCs w:val="26"/>
        </w:rPr>
        <w:t xml:space="preserve">8.  Double Slit Visibility Equation</w:t>
      </w:r>
    </w:p>
    <w:p>
      <w:pPr>
        <w:spacing w:after="160"/>
        <w:jc w:val="both"/>
      </w:pPr>
      <w:r>
        <w:rPr>
          <w:rFonts w:ascii="Georgia" w:cs="Georgia" w:eastAsia="Georgia" w:hAnsi="Georgia"/>
          <w:sz w:val="22"/>
          <w:szCs w:val="22"/>
        </w:rPr>
        <w:t xml:space="preserve">The qualitative foam memory argument is sound. A quantitative equation for visibility degradation as a function of detector parameters requires deriving how void-pair imprint density couples to wake coherence. Open.</w:t>
      </w:r>
    </w:p>
    <w:p>
      <w:pPr>
        <w:pStyle w:val="Heading2"/>
        <w:spacing w:before="280" w:after="140"/>
      </w:pPr>
      <w:r>
        <w:rPr>
          <w:rFonts w:ascii="Arial" w:cs="Arial" w:eastAsia="Arial" w:hAnsi="Arial"/>
          <w:b/>
          <w:bCs/>
          <w:color w:val="2E6DA4"/>
          <w:sz w:val="26"/>
          <w:szCs w:val="26"/>
        </w:rPr>
        <w:t xml:space="preserve">9.  Multi-Frequency Angle Combinations for Elemental Manipulation</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w:t>
      </w:r>
    </w:p>
    <w:p>
      <w:pPr>
        <w:spacing w:after="160"/>
        <w:jc w:val="both"/>
      </w:pPr>
      <w:r>
        <w:rPr>
          <w:rFonts w:ascii="Georgia" w:cs="Georgia" w:eastAsia="Georgia" w:hAnsi="Georgia"/>
          <w:sz w:val="22"/>
          <w:szCs w:val="22"/>
        </w:rPr>
        <w:t xml:space="preserve">The coupling efficiency between a resonant standing wave and nuclear-scale void migration is unknown. The energy is available. The trigger mechanism is identified. The quantitative relationship between resonance precision and coupling efficiency is the key open problem for practical application of the void pressure mechanism.</w:t>
      </w:r>
    </w:p>
    <w:p>
      <w:pPr>
        <w:pStyle w:val="Heading2"/>
        <w:spacing w:before="280" w:after="140"/>
      </w:pPr>
      <w:r>
        <w:rPr>
          <w:rFonts w:ascii="Arial" w:cs="Arial" w:eastAsia="Arial" w:hAnsi="Arial"/>
          <w:b/>
          <w:bCs/>
          <w:color w:val="2E6DA4"/>
          <w:sz w:val="26"/>
          <w:szCs w:val="26"/>
        </w:rPr>
        <w:t xml:space="preserve">12.  Sustained Cavitation Coupling Efficiency</w:t>
      </w:r>
    </w:p>
    <w:p>
      <w:pPr>
        <w:spacing w:after="160"/>
        <w:jc w:val="both"/>
      </w:pPr>
      <w:r>
        <w:rPr>
          <w:rFonts w:ascii="Georgia" w:cs="Georgia" w:eastAsia="Georgia" w:hAnsi="Georgia"/>
          <w:sz w:val="22"/>
          <w:szCs w:val="22"/>
        </w:rPr>
        <w:t xml:space="preserve">The direction of the multi-frequency coupling enhancement is predicted. The magnitude is not. The open problem is deriving the quantitative relationship between resonance precision — frequency accuracy, angle accuracy, phase coherence — and coupling efficiency improvement. This requires the void-wave interaction dynamics not yet formulated.</w:t>
      </w:r>
    </w:p>
    <w:p>
      <w:pPr>
        <w:pStyle w:val="Heading2"/>
        <w:spacing w:before="280" w:after="140"/>
      </w:pPr>
      <w:r>
        <w:rPr>
          <w:rFonts w:ascii="Arial" w:cs="Arial" w:eastAsia="Arial" w:hAnsi="Arial"/>
          <w:b/>
          <w:bCs/>
          <w:color w:val="2E6DA4"/>
          <w:sz w:val="26"/>
          <w:szCs w:val="26"/>
        </w:rPr>
        <w:t xml:space="preserve">13.  Mathematics of the Foam Substrate</w:t>
      </w:r>
    </w:p>
    <w:p>
      <w:pPr>
        <w:spacing w:after="160"/>
        <w:jc w:val="both"/>
      </w:pPr>
      <w:r>
        <w:rPr>
          <w:rFonts w:ascii="Georgia" w:cs="Georgia" w:eastAsia="Georgia" w:hAnsi="Georgia"/>
          <w:sz w:val="22"/>
          <w:szCs w:val="22"/>
        </w:rPr>
        <w:t xml:space="preserve">Addressed in Part XIV. The tropical semiring — Axiom A (zero excluded, minimum unit is one Planck bubble) and Axiom B (multiplication as pairing, 1⊗1=2) — provides the native mathematical structure of the substrate. Tropical addition (minimum selection) produces the principle of least action as a direct consequence. The correspondence principle recovers standard mathematics in the emergent limit. Open work: full covariant formulation, precise derivation of the emergent limit, and connection to positive geometry and the amplituhedron.</w:t>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Post the decoherence paper (Part VIII) on arxiv.org as a preprint. Share in physics forums to attract a QFT collaborator to close the covariant vacuum density derivation.</w:t>
      </w:r>
    </w:p>
    <w:p>
      <w:pPr>
        <w:spacing w:after="160"/>
        <w:jc w:val="both"/>
      </w:pPr>
      <w:r>
        <w:rPr>
          <w:rFonts w:ascii="Georgia" w:cs="Georgia" w:eastAsia="Georgia" w:hAnsi="Georgia"/>
          <w:sz w:val="22"/>
          <w:szCs w:val="22"/>
        </w:rPr>
        <w:t xml:space="preserve">Step 2: Develop the three-particle void-pair prediction more precisely and compare against existing GHZ experimental data.</w:t>
      </w:r>
    </w:p>
    <w:p>
      <w:pPr>
        <w:spacing w:after="160"/>
        <w:jc w:val="both"/>
      </w:pPr>
      <w:r>
        <w:rPr>
          <w:rFonts w:ascii="Georgia" w:cs="Georgia" w:eastAsia="Georgia" w:hAnsi="Georgia"/>
          <w:sz w:val="22"/>
          <w:szCs w:val="22"/>
        </w:rPr>
        <w:t xml:space="preserve">Step 3: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4: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5: Derive the full lensing factor from foam mechanics treating both metric components simultaneously.</w:t>
      </w:r>
    </w:p>
    <w:p>
      <w:pPr>
        <w:spacing w:after="160"/>
        <w:jc w:val="both"/>
      </w:pPr>
      <w:r>
        <w:rPr>
          <w:rFonts w:ascii="Georgia" w:cs="Georgia" w:eastAsia="Georgia" w:hAnsi="Georgia"/>
          <w:sz w:val="22"/>
          <w:szCs w:val="22"/>
        </w:rPr>
        <w:t xml:space="preserve">Step 6: Explore the mathematics of non-linear topological media as the long-term language of the foam substrate.</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Martin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2026-02-20T04:06:08.830Z</dcterms:created>
  <dcterms:modified xsi:type="dcterms:W3CDTF">2026-02-20T04:06:08.831Z</dcterms:modified>
</cp:coreProperties>
</file>

<file path=docProps/custom.xml><?xml version="1.0" encoding="utf-8"?>
<Properties xmlns="http://schemas.openxmlformats.org/officeDocument/2006/custom-properties" xmlns:vt="http://schemas.openxmlformats.org/officeDocument/2006/docPropsVTypes"/>
</file>