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0" w:after="80"/>
        <w:jc w:val="center"/>
      </w:pPr>
      <w:r>
        <w:rPr>
          <w:rFonts w:ascii="Georgia" w:cs="Georgia" w:eastAsia="Georgia" w:hAnsi="Georgia"/>
          <w:b/>
          <w:bCs/>
          <w:color w:val="1F3864"/>
          <w:sz w:val="40"/>
          <w:szCs w:val="40"/>
        </w:rPr>
        <w:t xml:space="preserve">The Matched Pair Bond Hierarchy Rule</w:t>
      </w:r>
    </w:p>
    <w:p>
      <w:pPr>
        <w:spacing w:before="40" w:after="80"/>
        <w:jc w:val="center"/>
      </w:pPr>
      <w:r>
        <w:rPr>
          <w:rFonts w:ascii="Georgia" w:cs="Georgia" w:eastAsia="Georgia" w:hAnsi="Georgia"/>
          <w:i/>
          <w:iCs/>
          <w:color w:val="444444"/>
          <w:sz w:val="28"/>
          <w:szCs w:val="28"/>
        </w:rPr>
        <w:t xml:space="preserve">A Geometric Regularity in Chemical Bond Energies</w:t>
      </w:r>
    </w:p>
    <w:p>
      <w:pPr>
        <w:spacing w:before="80" w:after="40"/>
        <w:jc w:val="center"/>
      </w:pPr>
      <w:r>
        <w:rPr>
          <w:rFonts w:ascii="Georgia" w:cs="Georgia" w:eastAsia="Georgia" w:hAnsi="Georgia"/>
          <w:color w:val="666666"/>
          <w:sz w:val="22"/>
          <w:szCs w:val="22"/>
        </w:rPr>
        <w:t xml:space="preserve">Derived from the Russell–Howard Spiral Periodic Table</w:t>
      </w:r>
    </w:p>
    <w:p>
      <w:pPr>
        <w:spacing w:before="60" w:after="240"/>
        <w:jc w:val="center"/>
      </w:pPr>
      <w:r>
        <w:rPr>
          <w:rFonts w:ascii="Georgia" w:cs="Georgia" w:eastAsia="Georgia" w:hAnsi="Georgia"/>
          <w:color w:val="888888"/>
          <w:sz w:val="20"/>
          <w:szCs w:val="20"/>
        </w:rPr>
        <w:t xml:space="preserve">Luke Martin  |  20 February 2026</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Abstract</w:t>
      </w:r>
    </w:p>
    <w:p>
      <w:pPr>
        <w:spacing w:before="80" w:after="120"/>
        <w:jc w:val="both"/>
      </w:pPr>
      <w:r>
        <w:rPr>
          <w:rFonts w:ascii="Georgia" w:cs="Georgia" w:eastAsia="Georgia" w:hAnsi="Georgia"/>
          <w:sz w:val="22"/>
          <w:szCs w:val="22"/>
        </w:rPr>
        <w:t xml:space="preserve">We report a geometric regularity in chemical bond energies that is visible in the Russell–Howard spiral arrangement of the periodic table but not in the standard rectangular table. Within each s–p block octave of the spiral table — defined as the sequence of elements between two consecutive noble gas boundaries — elements exist as matched pairs equidistant from the central midpoint element. We demonstrate that the bond energies of these matched pairs form a strict hierarchy: pairs at greater topological distance from the midpoint element have systematically higher bond energies than pairs closer to the centre.</w:t>
      </w:r>
    </w:p>
    <w:p>
      <w:pPr>
        <w:spacing w:before="80" w:after="120"/>
        <w:jc w:val="both"/>
      </w:pPr>
      <w:r>
        <w:rPr>
          <w:rFonts w:ascii="Georgia" w:cs="Georgia" w:eastAsia="Georgia" w:hAnsi="Georgia"/>
          <w:sz w:val="22"/>
          <w:szCs w:val="22"/>
        </w:rPr>
        <w:t xml:space="preserve">We verify this rule in two octaves: the carbon octave (He to Ne) yielding Li–F &gt; Be–O &gt; B–N (577 &gt; 435 &gt; 389 kJ/mol), and the silicon octave (Ne to Ar) yielding Na–Cl &gt; Mg–S &gt; Al–P (408 &gt; 347 &gt; 215 kJ/mol). The same ordering holds in both cases. Standard chemistry explains each bond individually through electronegativity differences; it provides no unified explanation for the cross-octave hierarchy. The spiral table geometry provides that explanation through a single principle: topological distance from the closed-shell midpoint.</w:t>
      </w:r>
    </w:p>
    <w:p>
      <w:pPr>
        <w:spacing w:before="80" w:after="120"/>
        <w:jc w:val="both"/>
      </w:pPr>
      <w:r>
        <w:rPr>
          <w:rFonts w:ascii="Georgia" w:cs="Georgia" w:eastAsia="Georgia" w:hAnsi="Georgia"/>
          <w:sz w:val="22"/>
          <w:szCs w:val="22"/>
        </w:rPr>
        <w:t xml:space="preserve">We derive a candidate power law E ∝ (ΔEN)⁰³⁵ fitted to the carbon octave that predicts the silicon octave ordering correctly. We state explicit predictions for the cobalt octave (Ar to Kr) and identify the transition metal d-orbital contribution as the expected point of departure from the simple rule. The rule constitutes a testable, falsifiable regularity in known bond energy data that can be verified or refuted from existing databases without new experiments.</w:t>
      </w:r>
    </w:p>
    <w:p>
      <w:pPr>
        <w:spacing w:before="60" w:after="60"/>
      </w:pPr>
    </w:p>
    <w:p>
      <w:pPr>
        <w:spacing w:before="0" w:after="80"/>
        <w:jc w:val="center"/>
      </w:pPr>
      <w:r>
        <w:rPr>
          <w:rFonts w:ascii="Georgia" w:cs="Georgia" w:eastAsia="Georgia" w:hAnsi="Georgia"/>
          <w:i/>
          <w:iCs/>
          <w:color w:val="888888"/>
          <w:sz w:val="18"/>
          <w:szCs w:val="18"/>
        </w:rPr>
        <w:t xml:space="preserve">AI Disclosure: theoretical framework and analysis by Luke Martin, with mathematical verification and document structuring assisted by Claude (Anthropic).</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1.  Introduction</w:t>
      </w:r>
    </w:p>
    <w:p>
      <w:pPr>
        <w:spacing w:before="80" w:after="120"/>
        <w:jc w:val="both"/>
      </w:pPr>
      <w:r>
        <w:rPr>
          <w:rFonts w:ascii="Georgia" w:cs="Georgia" w:eastAsia="Georgia" w:hAnsi="Georgia"/>
          <w:sz w:val="22"/>
          <w:szCs w:val="22"/>
        </w:rPr>
        <w:t xml:space="preserve">The standard periodic table, as arranged by Mendeleev and refined through the 20th century, organises elements in a rectangle ordered by atomic number with period breaks at the noble gases. This arrangement correctly identifies groups and periods, but disrupts certain geometric relationships that are visible only when elements are arranged in a continuous spiral.</w:t>
      </w:r>
    </w:p>
    <w:p>
      <w:pPr>
        <w:spacing w:before="80" w:after="120"/>
        <w:jc w:val="both"/>
      </w:pPr>
      <w:r>
        <w:rPr>
          <w:rFonts w:ascii="Georgia" w:cs="Georgia" w:eastAsia="Georgia" w:hAnsi="Georgia"/>
          <w:sz w:val="22"/>
          <w:szCs w:val="22"/>
        </w:rPr>
        <w:t xml:space="preserve">Walter Russell proposed a spiral arrangement of the periodic table in 1926, published in The Universal One. In Russell's model, elements wrap outward from a central axis, with each new period forming the next turn of the spiral and noble gases appearing at the turn boundaries. Terrence Howard independently identified and extended this model, observing that specific elements — hydrogen, carbon, silicon, cobalt, and rhodium — share related spectral properties, appearing at the same characteristic spectral colour on a spectrometer with frequencies doubling at each successive octave. Howard noted that these elements all sit at the midpoint between consecutive noble gas boundaries and proposed them as a connected series representing one substance at different scales.</w:t>
      </w:r>
    </w:p>
    <w:p>
      <w:pPr>
        <w:spacing w:before="80" w:after="120"/>
        <w:jc w:val="both"/>
      </w:pPr>
      <w:r>
        <w:rPr>
          <w:rFonts w:ascii="Georgia" w:cs="Georgia" w:eastAsia="Georgia" w:hAnsi="Georgia"/>
          <w:sz w:val="22"/>
          <w:szCs w:val="22"/>
        </w:rPr>
        <w:t xml:space="preserve">The spiral arrangement reveals a structure invisible in the rectangular table: within each octave (the sequence of elements between two consecutive noble gas boundaries), elements appear as matched pairs equidistant from the central midpoint element. This paper examines the bond energies of these matched pairs and demonstrates that they follow a strict geometric hierarchy that can be stated as a single unified rule.</w:t>
      </w:r>
    </w:p>
    <w:p>
      <w:pPr>
        <w:pStyle w:val="Heading2"/>
        <w:spacing w:before="200" w:after="100"/>
      </w:pPr>
      <w:r>
        <w:rPr>
          <w:rFonts w:ascii="Georgia" w:cs="Georgia" w:eastAsia="Georgia" w:hAnsi="Georgia"/>
          <w:b/>
          <w:bCs/>
          <w:color w:val="2E75B6"/>
          <w:sz w:val="24"/>
          <w:szCs w:val="24"/>
        </w:rPr>
        <w:t xml:space="preserve">1.1  The Midpoint Element Series</w:t>
      </w:r>
    </w:p>
    <w:p>
      <w:pPr>
        <w:spacing w:before="80" w:after="120"/>
        <w:jc w:val="both"/>
      </w:pPr>
      <w:r>
        <w:rPr>
          <w:rFonts w:ascii="Georgia" w:cs="Georgia" w:eastAsia="Georgia" w:hAnsi="Georgia"/>
          <w:sz w:val="22"/>
          <w:szCs w:val="22"/>
        </w:rPr>
        <w:t xml:space="preserve">Each octave of the spiral table has a central element sitting exactly halfway between the two noble gas boundaries. These midpoint elements form the series: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500"/>
        <w:gridCol w:w="2860"/>
      </w:tblGrid>
      <w:tr>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Element</w:t>
            </w:r>
          </w:p>
        </w:tc>
        <w:tc>
          <w:tcPr>
            <w:tcW w:type="dxa" w:w="1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Z</w:t>
            </w:r>
          </w:p>
        </w:tc>
        <w:tc>
          <w:tcPr>
            <w:tcW w:type="dxa" w:w="3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Noble gas boundaries</w:t>
            </w:r>
          </w:p>
        </w:tc>
        <w:tc>
          <w:tcPr>
            <w:tcW w:type="dxa" w:w="28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Howard frequency</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Hydrogen</w:t>
            </w:r>
          </w:p>
        </w:tc>
        <w:tc>
          <w:tcPr>
            <w:tcW w:type="dxa" w:w="1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(Z=0) → He (Z=2)</w:t>
            </w:r>
          </w:p>
        </w:tc>
        <w:tc>
          <w:tcPr>
            <w:tcW w:type="dxa" w:w="28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Courier New" w:cs="Courier New" w:eastAsia="Courier New" w:hAnsi="Courier New"/>
                <w:color w:val="000000"/>
                <w:sz w:val="20"/>
                <w:szCs w:val="20"/>
              </w:rPr>
              <w:t xml:space="preserve">40.5 Hz</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Carbon</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He (Z=2) → Ne (Z=10)</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Courier New" w:cs="Courier New" w:eastAsia="Courier New" w:hAnsi="Courier New"/>
                <w:color w:val="000000"/>
                <w:sz w:val="20"/>
                <w:szCs w:val="20"/>
              </w:rPr>
              <w:t xml:space="preserve">81.0 Hz</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Silicon</w:t>
            </w:r>
          </w:p>
        </w:tc>
        <w:tc>
          <w:tcPr>
            <w:tcW w:type="dxa" w:w="1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14</w:t>
            </w:r>
          </w:p>
        </w:tc>
        <w:tc>
          <w:tcPr>
            <w:tcW w:type="dxa" w:w="3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Ne (Z=10) → Ar (Z=18)</w:t>
            </w:r>
          </w:p>
        </w:tc>
        <w:tc>
          <w:tcPr>
            <w:tcW w:type="dxa" w:w="28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Courier New" w:cs="Courier New" w:eastAsia="Courier New" w:hAnsi="Courier New"/>
                <w:color w:val="000000"/>
                <w:sz w:val="20"/>
                <w:szCs w:val="20"/>
              </w:rPr>
              <w:t xml:space="preserve">162.0 Hz</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Cobalt</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27</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Ar (Z=18) → Kr (Z=36)</w:t>
            </w:r>
          </w:p>
        </w:tc>
        <w:tc>
          <w:tcPr>
            <w:tcW w:type="dxa" w:w="2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Courier New" w:cs="Courier New" w:eastAsia="Courier New" w:hAnsi="Courier New"/>
                <w:color w:val="000000"/>
                <w:sz w:val="20"/>
                <w:szCs w:val="20"/>
              </w:rPr>
              <w:t xml:space="preserve">324.0 Hz</w:t>
            </w:r>
          </w:p>
        </w:tc>
      </w:tr>
      <w:tr>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Rhodium</w:t>
            </w:r>
          </w:p>
        </w:tc>
        <w:tc>
          <w:tcPr>
            <w:tcW w:type="dxa" w:w="1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45</w:t>
            </w:r>
          </w:p>
        </w:tc>
        <w:tc>
          <w:tcPr>
            <w:tcW w:type="dxa" w:w="3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Kr (Z=36) → Xe (Z=54)</w:t>
            </w:r>
          </w:p>
        </w:tc>
        <w:tc>
          <w:tcPr>
            <w:tcW w:type="dxa" w:w="28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Courier New" w:cs="Courier New" w:eastAsia="Courier New" w:hAnsi="Courier New"/>
                <w:color w:val="000000"/>
                <w:sz w:val="20"/>
                <w:szCs w:val="20"/>
              </w:rPr>
              <w:t xml:space="preserve">648.0 Hz</w:t>
            </w:r>
          </w:p>
        </w:tc>
      </w:tr>
    </w:tbl>
    <w:p>
      <w:pPr>
        <w:spacing w:before="60" w:after="60"/>
      </w:pPr>
    </w:p>
    <w:p>
      <w:pPr>
        <w:spacing w:before="80" w:after="120"/>
        <w:jc w:val="both"/>
      </w:pPr>
      <w:r>
        <w:rPr>
          <w:rFonts w:ascii="Georgia" w:cs="Georgia" w:eastAsia="Georgia" w:hAnsi="Georgia"/>
          <w:sz w:val="22"/>
          <w:szCs w:val="22"/>
        </w:rPr>
        <w:t xml:space="preserve">Table 1. The midpoint element series. Each element sits at the exact centre of the octave between two noble gas closed shells. Howard's frequencies double at each step; the absolute base of 40.5 Hz is his empirical value and is not derived in this paper.</w:t>
      </w:r>
    </w:p>
    <w:p>
      <w:pPr>
        <w:spacing w:before="80" w:after="120"/>
        <w:jc w:val="both"/>
      </w:pPr>
      <w:r>
        <w:rPr>
          <w:rFonts w:ascii="Georgia" w:cs="Georgia" w:eastAsia="Georgia" w:hAnsi="Georgia"/>
          <w:sz w:val="22"/>
          <w:szCs w:val="22"/>
        </w:rPr>
        <w:t xml:space="preserve">The structural reason for this series: noble gases have fully closed electron shells — no available bonding capacity. The element at the midpoint of the octave has exactly half-filled shells, sitting equidistant from two closed configurations. This produces maximum chemical flexibility. It is not coincidental that carbon is the basis of organic chemistry, silicon the basis of semiconductor technology, and cobalt a biologically essential transition metal — each is the most topologically open element in its octave.</w:t>
      </w:r>
    </w:p>
    <w:p>
      <w:pPr>
        <w:pStyle w:val="Heading2"/>
        <w:spacing w:before="200" w:after="100"/>
      </w:pPr>
      <w:r>
        <w:rPr>
          <w:rFonts w:ascii="Georgia" w:cs="Georgia" w:eastAsia="Georgia" w:hAnsi="Georgia"/>
          <w:b/>
          <w:bCs/>
          <w:color w:val="2E75B6"/>
          <w:sz w:val="24"/>
          <w:szCs w:val="24"/>
        </w:rPr>
        <w:t xml:space="preserve">1.2  The Matched Pair Structure</w:t>
      </w:r>
    </w:p>
    <w:p>
      <w:pPr>
        <w:spacing w:before="80" w:after="120"/>
        <w:jc w:val="both"/>
      </w:pPr>
      <w:r>
        <w:rPr>
          <w:rFonts w:ascii="Georgia" w:cs="Georgia" w:eastAsia="Georgia" w:hAnsi="Georgia"/>
          <w:sz w:val="22"/>
          <w:szCs w:val="22"/>
        </w:rPr>
        <w:t xml:space="preserve">Within each octave, elements equidistant from the midpoint form matched pairs. In the carbon octave (He to Ne), with carbon at the centre:</w:t>
      </w:r>
    </w:p>
    <w:p>
      <w:pPr>
        <w:spacing w:before="60" w:after="60"/>
      </w:pPr>
    </w:p>
    <w:p>
      <w:pPr>
        <w:spacing w:before="120" w:after="120"/>
        <w:jc w:val="center"/>
      </w:pPr>
      <w:r>
        <w:rPr>
          <w:rFonts w:ascii="Courier New" w:cs="Courier New" w:eastAsia="Courier New" w:hAnsi="Courier New"/>
          <w:color w:val="1F3864"/>
          <w:sz w:val="20"/>
          <w:szCs w:val="20"/>
        </w:rPr>
        <w:t xml:space="preserve">He  Li  Be   B  [C]  N   O  F  Ne</w:t>
      </w:r>
    </w:p>
    <w:p>
      <w:pPr>
        <w:spacing w:before="120" w:after="120"/>
        <w:jc w:val="center"/>
      </w:pPr>
      <w:r>
        <w:rPr>
          <w:rFonts w:ascii="Courier New" w:cs="Courier New" w:eastAsia="Courier New" w:hAnsi="Courier New"/>
          <w:color w:val="1F3864"/>
          <w:sz w:val="20"/>
          <w:szCs w:val="20"/>
        </w:rPr>
        <w:t xml:space="preserve">    +1  +2  +3   ±4  -3  -2  -1</w:t>
      </w:r>
    </w:p>
    <w:p>
      <w:pPr>
        <w:spacing w:before="120" w:after="120"/>
        <w:jc w:val="center"/>
      </w:pPr>
      <w:r>
        <w:rPr>
          <w:rFonts w:ascii="Courier New" w:cs="Courier New" w:eastAsia="Courier New" w:hAnsi="Courier New"/>
          <w:color w:val="1F3864"/>
          <w:sz w:val="20"/>
          <w:szCs w:val="20"/>
        </w:rPr>
        <w:t xml:space="preserve">    ↔↔↔↔↔↔↔↔↔↔↔↔↔↔↔↔</w:t>
      </w:r>
    </w:p>
    <w:p>
      <w:pPr>
        <w:spacing w:before="120" w:after="120"/>
        <w:jc w:val="center"/>
      </w:pPr>
      <w:r>
        <w:rPr>
          <w:rFonts w:ascii="Courier New" w:cs="Courier New" w:eastAsia="Courier New" w:hAnsi="Courier New"/>
          <w:color w:val="1F3864"/>
          <w:sz w:val="20"/>
          <w:szCs w:val="20"/>
        </w:rPr>
        <w:t xml:space="preserve">    d=3      d=2      d=1      (centre)</w:t>
      </w:r>
    </w:p>
    <w:p>
      <w:pPr>
        <w:spacing w:before="60" w:after="60"/>
      </w:pPr>
    </w:p>
    <w:p>
      <w:pPr>
        <w:spacing w:before="80" w:after="120"/>
        <w:jc w:val="both"/>
      </w:pPr>
      <w:r>
        <w:rPr>
          <w:rFonts w:ascii="Georgia" w:cs="Georgia" w:eastAsia="Georgia" w:hAnsi="Georgia"/>
          <w:sz w:val="22"/>
          <w:szCs w:val="22"/>
        </w:rPr>
        <w:t xml:space="preserve">The matched pairs are: Li↔F (distance d = 3), Be↔O (d = 2), B↔N (d = 1). Each pair consists of elements with equal and opposite valence charges — one element has an excess of electrons relative to a closed shell; the other has a deficit of equal magnitude. Together, they complete a closed configuration. This is why they bond.</w:t>
      </w:r>
    </w:p>
    <w:p>
      <w:pPr>
        <w:spacing w:before="80" w:after="120"/>
        <w:jc w:val="both"/>
      </w:pPr>
      <w:r>
        <w:rPr>
          <w:rFonts w:ascii="Georgia" w:cs="Georgia" w:eastAsia="Georgia" w:hAnsi="Georgia"/>
          <w:sz w:val="22"/>
          <w:szCs w:val="22"/>
        </w:rPr>
        <w:t xml:space="preserve">This matching is already known individually in standard chemistry (Li and F bond strongly; Be and O bond strongly; B and N bond strongly). What is not stated in standard chemistry is that these bonds form a hierarchy ordered by their geometric position in the octave, and that this hierarchy is the same in every octave. That is the claim of this paper.</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2.  The Matched Pair Bond Hierarchy Rule</w:t>
      </w:r>
    </w:p>
    <w:p>
      <w:pPr>
        <w:spacing w:before="80" w:after="120"/>
        <w:jc w:val="both"/>
      </w:pPr>
      <w:r>
        <w:rPr>
          <w:rFonts w:ascii="Georgia" w:cs="Georgia" w:eastAsia="Georgia" w:hAnsi="Georgia"/>
          <w:sz w:val="22"/>
          <w:szCs w:val="22"/>
        </w:rPr>
        <w:t xml:space="preserve">We state the rule formally:</w:t>
      </w:r>
    </w:p>
    <w:p>
      <w:pPr>
        <w:spacing w:before="60" w:after="60"/>
      </w:pPr>
    </w:p>
    <w:p>
      <w:pPr>
        <w:spacing w:before="120" w:after="120"/>
        <w:ind w:left="720" w:right="720"/>
      </w:pPr>
      <w:r>
        <w:rPr>
          <w:rFonts w:ascii="Georgia" w:cs="Georgia" w:eastAsia="Georgia" w:hAnsi="Georgia"/>
          <w:i/>
          <w:iCs/>
          <w:sz w:val="22"/>
          <w:szCs w:val="22"/>
        </w:rPr>
        <w:t xml:space="preserve">Within any s–p block octave of the spiral periodic table, the bond energy of a matched pair (m−d, m+d) — where m is the midpoint element and d is the topological distance from the midpoint — is a strictly increasing function of d:</w:t>
      </w:r>
    </w:p>
    <w:p>
      <w:pPr>
        <w:spacing w:before="120" w:after="120"/>
        <w:jc w:val="center"/>
      </w:pPr>
      <w:r>
        <w:rPr>
          <w:rFonts w:ascii="Courier New" w:cs="Courier New" w:eastAsia="Courier New" w:hAnsi="Courier New"/>
          <w:color w:val="1F3864"/>
          <w:sz w:val="20"/>
          <w:szCs w:val="20"/>
        </w:rPr>
        <w:t xml:space="preserve">E_bond(d) &gt; E_bond(d−1)   for all d ∈ {1, 2, ..., d_max}</w:t>
      </w:r>
    </w:p>
    <w:p>
      <w:pPr>
        <w:spacing w:before="120" w:after="120"/>
        <w:ind w:left="720" w:right="720"/>
      </w:pPr>
      <w:r>
        <w:rPr>
          <w:rFonts w:ascii="Georgia" w:cs="Georgia" w:eastAsia="Georgia" w:hAnsi="Georgia"/>
          <w:i/>
          <w:iCs/>
          <w:sz w:val="22"/>
          <w:szCs w:val="22"/>
        </w:rPr>
        <w:t xml:space="preserve">where d_max is the distance from the midpoint to the noble gas boundary.</w:t>
      </w:r>
    </w:p>
    <w:p>
      <w:pPr>
        <w:spacing w:before="60" w:after="60"/>
      </w:pPr>
    </w:p>
    <w:p>
      <w:pPr>
        <w:spacing w:before="80" w:after="120"/>
        <w:jc w:val="both"/>
      </w:pPr>
      <w:r>
        <w:rPr>
          <w:rFonts w:ascii="Georgia" w:cs="Georgia" w:eastAsia="Georgia" w:hAnsi="Georgia"/>
          <w:sz w:val="22"/>
          <w:szCs w:val="22"/>
        </w:rPr>
        <w:t xml:space="preserve">The physical interpretation: elements further from the midpoint have larger valence mismatch — one element is far above a closed shell, the other is far below the next closed shell. The drive toward the lower-energy closed configuration is stronger. Pairs closer to the midpoint bisexual tone are in more balanced configurations with smaller drive toward closure, and bond less strongly.</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3.  Verification in Two Octaves</w:t>
      </w:r>
    </w:p>
    <w:p>
      <w:pPr>
        <w:pStyle w:val="Heading2"/>
        <w:spacing w:before="200" w:after="100"/>
      </w:pPr>
      <w:r>
        <w:rPr>
          <w:rFonts w:ascii="Georgia" w:cs="Georgia" w:eastAsia="Georgia" w:hAnsi="Georgia"/>
          <w:b/>
          <w:bCs/>
          <w:color w:val="2E75B6"/>
          <w:sz w:val="24"/>
          <w:szCs w:val="24"/>
        </w:rPr>
        <w:t xml:space="preserve">3.1  The Carbon Octave (He to Ne)</w:t>
      </w:r>
    </w:p>
    <w:p>
      <w:pPr>
        <w:spacing w:before="80" w:after="120"/>
        <w:jc w:val="both"/>
      </w:pPr>
      <w:r>
        <w:rPr>
          <w:rFonts w:ascii="Georgia" w:cs="Georgia" w:eastAsia="Georgia" w:hAnsi="Georgia"/>
          <w:sz w:val="22"/>
          <w:szCs w:val="22"/>
        </w:rPr>
        <w:t xml:space="preserve">The three matched pairs in the carbon octave and their experimental bond energies: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1560"/>
        <w:gridCol w:w="2000"/>
      </w:tblGrid>
      <w:tr>
        <w:tc>
          <w:tcPr>
            <w:tcW w:type="dxa" w:w="1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Pair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d from C</w:t>
            </w:r>
          </w:p>
        </w:tc>
        <w:tc>
          <w:tcPr>
            <w:tcW w:type="dxa" w:w="2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Bond energy (kJ/mol)</w:t>
            </w:r>
          </w:p>
        </w:tc>
        <w:tc>
          <w:tcPr>
            <w:tcW w:type="dxa" w:w="15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Rank</w:t>
            </w:r>
          </w:p>
        </w:tc>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Rule prediction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Li–F</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b/>
                <w:bCs/>
                <w:color w:val="000000"/>
                <w:sz w:val="20"/>
                <w:szCs w:val="20"/>
              </w:rPr>
              <w:t xml:space="preserve">577</w:t>
            </w:r>
          </w:p>
        </w:tc>
        <w:tc>
          <w:tcPr>
            <w:tcW w:type="dxa" w:w="1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1st</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1F3864"/>
                <w:sz w:val="20"/>
                <w:szCs w:val="20"/>
              </w:rPr>
              <w:t xml:space="preserve">↑ highest</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Be–O</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435</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2nd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444444"/>
                <w:sz w:val="20"/>
                <w:szCs w:val="20"/>
              </w:rPr>
              <w:t xml:space="preserve">middle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B–N</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389</w:t>
            </w:r>
          </w:p>
        </w:tc>
        <w:tc>
          <w:tcPr>
            <w:tcW w:type="dxa" w:w="1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3rd</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666666"/>
                <w:sz w:val="20"/>
                <w:szCs w:val="20"/>
              </w:rPr>
              <w:t xml:space="preserve">↓ lowest</w:t>
            </w:r>
          </w:p>
        </w:tc>
      </w:tr>
    </w:tbl>
    <w:p>
      <w:pPr>
        <w:spacing w:before="60" w:after="60"/>
      </w:pPr>
    </w:p>
    <w:p>
      <w:pPr>
        <w:spacing w:before="80" w:after="120"/>
        <w:jc w:val="both"/>
      </w:pPr>
      <w:r>
        <w:rPr>
          <w:rFonts w:ascii="Georgia" w:cs="Georgia" w:eastAsia="Georgia" w:hAnsi="Georgia"/>
          <w:sz w:val="22"/>
          <w:szCs w:val="22"/>
        </w:rPr>
        <w:t xml:space="preserve">Table 2. Carbon octave matched pairs. Bond energies from standard thermochemical data. The hierarchy Li–F (577) &gt; Be–O (435) &gt; B–N (389) kJ/mol matches the predicted ordering exactly.</w:t>
      </w:r>
    </w:p>
    <w:p>
      <w:pPr>
        <w:pStyle w:val="Heading2"/>
        <w:spacing w:before="200" w:after="100"/>
      </w:pPr>
      <w:r>
        <w:rPr>
          <w:rFonts w:ascii="Georgia" w:cs="Georgia" w:eastAsia="Georgia" w:hAnsi="Georgia"/>
          <w:b/>
          <w:bCs/>
          <w:color w:val="2E75B6"/>
          <w:sz w:val="24"/>
          <w:szCs w:val="24"/>
        </w:rPr>
        <w:t xml:space="preserve">3.2  The Silicon Octave (Ne to Ar)</w:t>
      </w:r>
    </w:p>
    <w:p>
      <w:pPr>
        <w:spacing w:before="80" w:after="120"/>
        <w:jc w:val="both"/>
      </w:pPr>
      <w:r>
        <w:rPr>
          <w:rFonts w:ascii="Georgia" w:cs="Georgia" w:eastAsia="Georgia" w:hAnsi="Georgia"/>
          <w:sz w:val="22"/>
          <w:szCs w:val="22"/>
        </w:rPr>
        <w:t xml:space="preserve">The silicon octave has the same internal structure as the carbon octave, centred on silicon (Z=14) with the same ±4 bisexual tone:</w:t>
      </w:r>
    </w:p>
    <w:p>
      <w:pPr>
        <w:spacing w:before="60" w:after="60"/>
      </w:pPr>
    </w:p>
    <w:p>
      <w:pPr>
        <w:spacing w:before="120" w:after="120"/>
        <w:jc w:val="center"/>
      </w:pPr>
      <w:r>
        <w:rPr>
          <w:rFonts w:ascii="Courier New" w:cs="Courier New" w:eastAsia="Courier New" w:hAnsi="Courier New"/>
          <w:color w:val="1F3864"/>
          <w:sz w:val="20"/>
          <w:szCs w:val="20"/>
        </w:rPr>
        <w:t xml:space="preserve">Ne  Na  Mg  Al  [Si]  P   S   Cl  Ar</w:t>
      </w:r>
    </w:p>
    <w:p>
      <w:pPr>
        <w:spacing w:before="120" w:after="120"/>
        <w:jc w:val="center"/>
      </w:pPr>
      <w:r>
        <w:rPr>
          <w:rFonts w:ascii="Courier New" w:cs="Courier New" w:eastAsia="Courier New" w:hAnsi="Courier New"/>
          <w:color w:val="1F3864"/>
          <w:sz w:val="20"/>
          <w:szCs w:val="20"/>
        </w:rPr>
        <w:t xml:space="preserve">    +1  +2  +3   ±4  -3  -2  -1</w:t>
      </w:r>
    </w:p>
    <w:p>
      <w:pPr>
        <w:spacing w:before="60" w:after="60"/>
      </w:pPr>
    </w:p>
    <w:p>
      <w:pPr>
        <w:spacing w:before="80" w:after="120"/>
        <w:jc w:val="both"/>
      </w:pPr>
      <w:r>
        <w:rPr>
          <w:rFonts w:ascii="Georgia" w:cs="Georgia" w:eastAsia="Georgia" w:hAnsi="Georgia"/>
          <w:sz w:val="22"/>
          <w:szCs w:val="22"/>
        </w:rPr>
        <w:t xml:space="preserve">The three matched pairs: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1560"/>
        <w:gridCol w:w="2000"/>
      </w:tblGrid>
      <w:tr>
        <w:tc>
          <w:tcPr>
            <w:tcW w:type="dxa" w:w="1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Pair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d from Si</w:t>
            </w:r>
          </w:p>
        </w:tc>
        <w:tc>
          <w:tcPr>
            <w:tcW w:type="dxa" w:w="2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Bond energy (kJ/mol)</w:t>
            </w:r>
          </w:p>
        </w:tc>
        <w:tc>
          <w:tcPr>
            <w:tcW w:type="dxa" w:w="15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Rank</w:t>
            </w:r>
          </w:p>
        </w:tc>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Rule prediction</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Na–Cl</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b/>
                <w:bCs/>
                <w:color w:val="000000"/>
                <w:sz w:val="20"/>
                <w:szCs w:val="20"/>
              </w:rPr>
              <w:t xml:space="preserve">408</w:t>
            </w:r>
          </w:p>
        </w:tc>
        <w:tc>
          <w:tcPr>
            <w:tcW w:type="dxa" w:w="1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1st</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1F3864"/>
                <w:sz w:val="20"/>
                <w:szCs w:val="20"/>
              </w:rPr>
              <w:t xml:space="preserve">↑ highest</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Mg–S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347</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2nd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444444"/>
                <w:sz w:val="20"/>
                <w:szCs w:val="20"/>
              </w:rPr>
              <w:t xml:space="preserve">middle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Al–P</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215</w:t>
            </w:r>
          </w:p>
        </w:tc>
        <w:tc>
          <w:tcPr>
            <w:tcW w:type="dxa" w:w="1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3rd</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666666"/>
                <w:sz w:val="20"/>
                <w:szCs w:val="20"/>
              </w:rPr>
              <w:t xml:space="preserve">↓ lowest</w:t>
            </w:r>
          </w:p>
        </w:tc>
      </w:tr>
    </w:tbl>
    <w:p>
      <w:pPr>
        <w:spacing w:before="60" w:after="60"/>
      </w:pPr>
    </w:p>
    <w:p>
      <w:pPr>
        <w:spacing w:before="80" w:after="120"/>
        <w:jc w:val="both"/>
      </w:pPr>
      <w:r>
        <w:rPr>
          <w:rFonts w:ascii="Georgia" w:cs="Georgia" w:eastAsia="Georgia" w:hAnsi="Georgia"/>
          <w:sz w:val="22"/>
          <w:szCs w:val="22"/>
        </w:rPr>
        <w:t xml:space="preserve">Table 3. Silicon octave matched pairs. The hierarchy Na–Cl (408) &gt; Mg–S (347) &gt; Al–P (215) kJ/mol matches the predicted ordering exactly. The same geometric rule holds in a completely independent octave.</w:t>
      </w:r>
    </w:p>
    <w:p>
      <w:pPr>
        <w:spacing w:before="80" w:after="120"/>
        <w:jc w:val="both"/>
      </w:pPr>
      <w:r>
        <w:rPr>
          <w:rFonts w:ascii="Georgia" w:cs="Georgia" w:eastAsia="Georgia" w:hAnsi="Georgia"/>
          <w:sz w:val="22"/>
          <w:szCs w:val="22"/>
        </w:rPr>
        <w:t xml:space="preserve">The agreement between prediction and observation in two independent octaves is not explained by any existing unified principle in standard chemistry. Electronegativity differences predict each bond individually and happen to correlate with the hierarchy, but the spiral table geometry explains why the hierarchy exists in the first place: it is a direct consequence of topological distance from the bisexual tone.</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4.  Quantitative Analysis</w:t>
      </w:r>
    </w:p>
    <w:p>
      <w:pPr>
        <w:pStyle w:val="Heading2"/>
        <w:spacing w:before="200" w:after="100"/>
      </w:pPr>
      <w:r>
        <w:rPr>
          <w:rFonts w:ascii="Georgia" w:cs="Georgia" w:eastAsia="Georgia" w:hAnsi="Georgia"/>
          <w:b/>
          <w:bCs/>
          <w:color w:val="2E75B6"/>
          <w:sz w:val="24"/>
          <w:szCs w:val="24"/>
        </w:rPr>
        <w:t xml:space="preserve">4.1  Electronegativity Correlation</w:t>
      </w:r>
    </w:p>
    <w:p>
      <w:pPr>
        <w:spacing w:before="80" w:after="120"/>
        <w:jc w:val="both"/>
      </w:pPr>
      <w:r>
        <w:rPr>
          <w:rFonts w:ascii="Georgia" w:cs="Georgia" w:eastAsia="Georgia" w:hAnsi="Georgia"/>
          <w:sz w:val="22"/>
          <w:szCs w:val="22"/>
        </w:rPr>
        <w:t xml:space="preserve">Electronegativity difference (ΔEN, Pauling scale) between matched pair members correlates with topological distance d, since elements further from the midpoint have larger differences in electron affinity. We test whether a power law E_bond ∝ (ΔEN)α fits the data: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000"/>
        <w:gridCol w:w="2360"/>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Pair</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ΔEN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E_bond (kJ/mol)</w:t>
            </w:r>
          </w:p>
        </w:tc>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ln(ΔEN)</w:t>
            </w:r>
          </w:p>
        </w:tc>
        <w:tc>
          <w:tcPr>
            <w:tcW w:type="dxa" w:w="23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ln(E_bond)</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Li–F</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3.00</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577</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1.099</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6.358</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Be–O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1.87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435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0.626</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6.075</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B–N</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1.00</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389</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0.000</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5.964</w:t>
            </w:r>
          </w:p>
        </w:tc>
      </w:tr>
    </w:tbl>
    <w:p>
      <w:pPr>
        <w:spacing w:before="60" w:after="60"/>
      </w:pPr>
    </w:p>
    <w:p>
      <w:pPr>
        <w:spacing w:before="80" w:after="120"/>
        <w:jc w:val="both"/>
      </w:pPr>
      <w:r>
        <w:rPr>
          <w:rFonts w:ascii="Georgia" w:cs="Georgia" w:eastAsia="Georgia" w:hAnsi="Georgia"/>
          <w:sz w:val="22"/>
          <w:szCs w:val="22"/>
        </w:rPr>
        <w:t xml:space="preserve">Table 4. Carbon octave: log-linear fit for E_bond ~ (ΔEN)α.</w:t>
      </w:r>
    </w:p>
    <w:p>
      <w:pPr>
        <w:spacing w:before="80" w:after="120"/>
        <w:jc w:val="both"/>
      </w:pPr>
      <w:r>
        <w:rPr>
          <w:rFonts w:ascii="Georgia" w:cs="Georgia" w:eastAsia="Georgia" w:hAnsi="Georgia"/>
          <w:sz w:val="22"/>
          <w:szCs w:val="22"/>
        </w:rPr>
        <w:t xml:space="preserve">Linear regression on ln(ΔEN) vs ln(E_bond) from the carbon octave gives:</w:t>
      </w:r>
    </w:p>
    <w:p>
      <w:pPr>
        <w:spacing w:before="120" w:after="120"/>
        <w:jc w:val="center"/>
      </w:pPr>
      <w:r>
        <w:rPr>
          <w:rFonts w:ascii="Courier New" w:cs="Courier New" w:eastAsia="Courier New" w:hAnsi="Courier New"/>
          <w:color w:val="1F3864"/>
          <w:sz w:val="20"/>
          <w:szCs w:val="20"/>
        </w:rPr>
        <w:t xml:space="preserve">E_bond ≈ 377 × (ΔEN)^0.35   [fitted to carbon octave]</w:t>
      </w:r>
    </w:p>
    <w:p>
      <w:pPr>
        <w:spacing w:before="80" w:after="120"/>
        <w:jc w:val="both"/>
      </w:pPr>
      <w:r>
        <w:rPr>
          <w:rFonts w:ascii="Georgia" w:cs="Georgia" w:eastAsia="Georgia" w:hAnsi="Georgia"/>
          <w:sz w:val="22"/>
          <w:szCs w:val="22"/>
        </w:rPr>
        <w:t xml:space="preserve">Applying this to the silicon octave as a cross-octave test: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200"/>
        <w:gridCol w:w="2160"/>
      </w:tblGrid>
      <w:tr>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Pair</w:t>
            </w:r>
          </w:p>
        </w:tc>
        <w:tc>
          <w:tcPr>
            <w:tcW w:type="dxa" w:w="14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ΔEN</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E_actual (kJ/mol)</w:t>
            </w:r>
          </w:p>
        </w:tc>
        <w:tc>
          <w:tcPr>
            <w:tcW w:type="dxa" w:w="22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E_predicted</w:t>
            </w:r>
          </w:p>
        </w:tc>
        <w:tc>
          <w:tcPr>
            <w:tcW w:type="dxa" w:w="21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Error</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Na–Cl</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2.23</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408</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499</w:t>
            </w:r>
          </w:p>
        </w:tc>
        <w:tc>
          <w:tcPr>
            <w:tcW w:type="dxa" w:w="21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+22%</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Mg–S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1.27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347</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410</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+18%</w:t>
            </w:r>
          </w:p>
        </w:tc>
      </w:tr>
      <w:tr>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Al–P</w:t>
            </w:r>
          </w:p>
        </w:tc>
        <w:tc>
          <w:tcPr>
            <w:tcW w:type="dxa" w:w="1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0.58</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215</w:t>
            </w:r>
          </w:p>
        </w:tc>
        <w:tc>
          <w:tcPr>
            <w:tcW w:type="dxa" w:w="2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311</w:t>
            </w:r>
          </w:p>
        </w:tc>
        <w:tc>
          <w:tcPr>
            <w:tcW w:type="dxa" w:w="21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+45%</w:t>
            </w:r>
          </w:p>
        </w:tc>
      </w:tr>
    </w:tbl>
    <w:p>
      <w:pPr>
        <w:spacing w:before="60" w:after="60"/>
      </w:pPr>
    </w:p>
    <w:p>
      <w:pPr>
        <w:spacing w:before="80" w:after="120"/>
        <w:jc w:val="both"/>
      </w:pPr>
      <w:r>
        <w:rPr>
          <w:rFonts w:ascii="Georgia" w:cs="Georgia" w:eastAsia="Georgia" w:hAnsi="Georgia"/>
          <w:sz w:val="22"/>
          <w:szCs w:val="22"/>
        </w:rPr>
        <w:t xml:space="preserve">Table 5. Cross-octave prediction. The power law fitted to the carbon octave predicts the correct ordering in the silicon octave but overestimates magnitudes by 18–45%. This is expected: the formula captures the hierarchy structure but electronegativity difference alone does not fully determine bond energy (covalent character, bond length, and lattice effects all contribute).</w:t>
      </w:r>
    </w:p>
    <w:p>
      <w:pPr>
        <w:spacing w:before="80" w:after="120"/>
        <w:jc w:val="both"/>
      </w:pPr>
      <w:r>
        <w:rPr>
          <w:rFonts w:ascii="Georgia" w:cs="Georgia" w:eastAsia="Georgia" w:hAnsi="Georgia"/>
          <w:sz w:val="22"/>
          <w:szCs w:val="22"/>
        </w:rPr>
        <w:t xml:space="preserve">The ordering prediction is what matters for validating the rule. The magnitude is a further refinement requiring a more complete treatment. The ordering holds in both octaves without exception.</w:t>
      </w:r>
    </w:p>
    <w:p>
      <w:pPr>
        <w:pStyle w:val="Heading2"/>
        <w:spacing w:before="200" w:after="100"/>
      </w:pPr>
      <w:r>
        <w:rPr>
          <w:rFonts w:ascii="Georgia" w:cs="Georgia" w:eastAsia="Georgia" w:hAnsi="Georgia"/>
          <w:b/>
          <w:bCs/>
          <w:color w:val="2E75B6"/>
          <w:sz w:val="24"/>
          <w:szCs w:val="24"/>
        </w:rPr>
        <w:t xml:space="preserve">4.2  Why Electronegativity Difference Correlates with Topological Distance</w:t>
      </w:r>
    </w:p>
    <w:p>
      <w:pPr>
        <w:spacing w:before="80" w:after="120"/>
        <w:jc w:val="both"/>
      </w:pPr>
      <w:r>
        <w:rPr>
          <w:rFonts w:ascii="Georgia" w:cs="Georgia" w:eastAsia="Georgia" w:hAnsi="Georgia"/>
          <w:sz w:val="22"/>
          <w:szCs w:val="22"/>
        </w:rPr>
        <w:t xml:space="preserve">Electronegativity difference is high when one element has a nearly empty outer shell (strong electron donor) and the other has a nearly full outer shell (strong electron acceptor). This is exactly what topological distance d measures: d = 3 means one element is 3 positions above a closed shell (strongly donating) and the other is 3 positions below the next closed shell (strongly accepting). Electronegativity difference is an empirical proxy for the topological distance — the spiral table explains why the proxy works.</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5.  Predictions and Falsification</w:t>
      </w:r>
    </w:p>
    <w:p>
      <w:pPr>
        <w:pStyle w:val="Heading2"/>
        <w:spacing w:before="200" w:after="100"/>
      </w:pPr>
      <w:r>
        <w:rPr>
          <w:rFonts w:ascii="Georgia" w:cs="Georgia" w:eastAsia="Georgia" w:hAnsi="Georgia"/>
          <w:b/>
          <w:bCs/>
          <w:color w:val="2E75B6"/>
          <w:sz w:val="24"/>
          <w:szCs w:val="24"/>
        </w:rPr>
        <w:t xml:space="preserve">5.1  Prediction for the Cobalt Octave (Ar to Kr)</w:t>
      </w:r>
    </w:p>
    <w:p>
      <w:pPr>
        <w:spacing w:before="80" w:after="120"/>
        <w:jc w:val="both"/>
      </w:pPr>
      <w:r>
        <w:rPr>
          <w:rFonts w:ascii="Georgia" w:cs="Georgia" w:eastAsia="Georgia" w:hAnsi="Georgia"/>
          <w:sz w:val="22"/>
          <w:szCs w:val="22"/>
        </w:rPr>
        <w:t xml:space="preserve">The cobalt octave runs from Ar (Z=18) to Kr (Z=36), with cobalt (Z=27) at the centre. The matched pairs and their topological distances: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2460"/>
        <w:gridCol w:w="2000"/>
      </w:tblGrid>
      <w:tr>
        <w:tc>
          <w:tcPr>
            <w:tcW w:type="dxa" w:w="15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left"/>
            </w:pPr>
            <w:r>
              <w:rPr>
                <w:rFonts w:ascii="Georgia" w:cs="Georgia" w:eastAsia="Georgia" w:hAnsi="Georgia"/>
                <w:b/>
                <w:bCs/>
                <w:color w:val="FFFFFF"/>
                <w:sz w:val="20"/>
                <w:szCs w:val="20"/>
              </w:rPr>
              <w:t xml:space="preserve">Pair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d from Co</w:t>
            </w:r>
          </w:p>
        </w:tc>
        <w:tc>
          <w:tcPr>
            <w:tcW w:type="dxa" w:w="16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ΔEN</w:t>
            </w:r>
          </w:p>
        </w:tc>
        <w:tc>
          <w:tcPr>
            <w:tcW w:type="dxa" w:w="246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Predicted rank</w:t>
            </w:r>
          </w:p>
        </w:tc>
        <w:tc>
          <w:tcPr>
            <w:tcW w:type="dxa" w:w="2000"/>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tcPr>
          <w:p>
            <w:pPr>
              <w:spacing w:before="40" w:after="40"/>
              <w:jc w:val="center"/>
            </w:pPr>
            <w:r>
              <w:rPr>
                <w:rFonts w:ascii="Georgia" w:cs="Georgia" w:eastAsia="Georgia" w:hAnsi="Georgia"/>
                <w:b/>
                <w:bCs/>
                <w:color w:val="FFFFFF"/>
                <w:sz w:val="20"/>
                <w:szCs w:val="20"/>
              </w:rPr>
              <w:t xml:space="preserve">Known E_bond (kJ/mol)</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K–Br</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9</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2.14</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1F3864"/>
                <w:sz w:val="20"/>
                <w:szCs w:val="20"/>
              </w:rPr>
              <w:t xml:space="preserve">1st (highest)</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~336</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Ca–Se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1.55</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2nd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~280</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Sc–As</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0.82</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3rd</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~230</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Ti–Ge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0.47</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4th</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~190</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V–Ga</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0.00</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888888"/>
                <w:sz w:val="20"/>
                <w:szCs w:val="20"/>
              </w:rPr>
              <w:t xml:space="preserve">rule unclear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Cr–Zn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0.00</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888888"/>
                <w:sz w:val="20"/>
                <w:szCs w:val="20"/>
              </w:rPr>
              <w:t xml:space="preserve">rule unclear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Mn–Cu</w:t>
            </w:r>
          </w:p>
        </w:tc>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0.65</w:t>
            </w:r>
          </w:p>
        </w:tc>
        <w:tc>
          <w:tcPr>
            <w:tcW w:type="dxa" w:w="24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888888"/>
                <w:sz w:val="20"/>
                <w:szCs w:val="20"/>
              </w:rPr>
              <w:t xml:space="preserve">rule unclear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left"/>
            </w:pPr>
            <w:r>
              <w:rPr>
                <w:rFonts w:ascii="Georgia" w:cs="Georgia" w:eastAsia="Georgia" w:hAnsi="Georgia"/>
                <w:color w:val="000000"/>
                <w:sz w:val="20"/>
                <w:szCs w:val="20"/>
              </w:rPr>
              <w:t xml:space="preserve">Fe–Ni</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Courier New" w:cs="Courier New" w:eastAsia="Courier New" w:hAnsi="Courier New"/>
                <w:color w:val="000000"/>
                <w:sz w:val="20"/>
                <w:szCs w:val="20"/>
              </w:rPr>
              <w:t xml:space="preserve">−0.08</w:t>
            </w:r>
          </w:p>
        </w:tc>
        <w:tc>
          <w:tcPr>
            <w:tcW w:type="dxa" w:w="24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aaaaaa"/>
                <w:sz w:val="20"/>
                <w:szCs w:val="20"/>
              </w:rPr>
              <w:t xml:space="preserve">(not applicable)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40" w:after="40"/>
              <w:jc w:val="center"/>
            </w:pPr>
            <w:r>
              <w:rPr>
                <w:rFonts w:ascii="Georgia" w:cs="Georgia" w:eastAsia="Georgia" w:hAnsi="Georgia"/>
                <w:color w:val="000000"/>
                <w:sz w:val="20"/>
                <w:szCs w:val="20"/>
              </w:rPr>
              <w:t xml:space="preserve">?</w:t>
            </w:r>
          </w:p>
        </w:tc>
      </w:tr>
    </w:tbl>
    <w:p>
      <w:pPr>
        <w:spacing w:before="60" w:after="60"/>
      </w:pPr>
    </w:p>
    <w:p>
      <w:pPr>
        <w:spacing w:before="80" w:after="120"/>
        <w:jc w:val="both"/>
      </w:pPr>
      <w:r>
        <w:rPr>
          <w:rFonts w:ascii="Georgia" w:cs="Georgia" w:eastAsia="Georgia" w:hAnsi="Georgia"/>
          <w:sz w:val="22"/>
          <w:szCs w:val="22"/>
        </w:rPr>
        <w:t xml:space="preserve">Table 6. Cobalt octave matched pairs and hierarchy predictions. Known values are approximate diatomic bond energies or lattice energies from standard references; entries marked '?' require collation from bond energy databases.</w:t>
      </w:r>
    </w:p>
    <w:p>
      <w:pPr>
        <w:pStyle w:val="Heading2"/>
        <w:spacing w:before="200" w:after="100"/>
      </w:pPr>
      <w:r>
        <w:rPr>
          <w:rFonts w:ascii="Georgia" w:cs="Georgia" w:eastAsia="Georgia" w:hAnsi="Georgia"/>
          <w:b/>
          <w:bCs/>
          <w:color w:val="2E75B6"/>
          <w:sz w:val="24"/>
          <w:szCs w:val="24"/>
        </w:rPr>
        <w:t xml:space="preserve">5.2  The D-Orbital Boundary Prediction</w:t>
      </w:r>
    </w:p>
    <w:p>
      <w:pPr>
        <w:spacing w:before="80" w:after="120"/>
        <w:jc w:val="both"/>
      </w:pPr>
      <w:r>
        <w:rPr>
          <w:rFonts w:ascii="Georgia" w:cs="Georgia" w:eastAsia="Georgia" w:hAnsi="Georgia"/>
          <w:sz w:val="22"/>
          <w:szCs w:val="22"/>
        </w:rPr>
        <w:t xml:space="preserve">The simple matched pair hierarchy rule is derived from s–p block shell topology. The cobalt octave is the first octave to introduce d-orbital elements (the transition metals from Sc to Zn, Z=21–30). D-orbitals contribute additional topological degrees of freedom not captured by the simple shell midpoint model.</w:t>
      </w:r>
    </w:p>
    <w:p>
      <w:pPr>
        <w:spacing w:before="80" w:after="120"/>
        <w:jc w:val="both"/>
      </w:pPr>
      <w:r>
        <w:rPr>
          <w:rFonts w:ascii="Georgia" w:cs="Georgia" w:eastAsia="Georgia" w:hAnsi="Georgia"/>
          <w:sz w:val="22"/>
          <w:szCs w:val="22"/>
        </w:rPr>
        <w:t xml:space="preserve">This produces a specific, testable structural prediction: the matched pair hierarchy rule should hold cleanly for pairs in the outermost positions of the cobalt octave (K–Br, Ca–Se, Sc–As, Ti–Ge — the s and p elements at d = 9, 8, 7, 6) and should break down or require modification for the transition metal pairs in the interior (V–Ga through Fe–Ni, d = 5 to 2).</w:t>
      </w:r>
    </w:p>
    <w:p>
      <w:pPr>
        <w:spacing w:before="80" w:after="120"/>
        <w:jc w:val="both"/>
      </w:pPr>
      <w:r>
        <w:rPr>
          <w:rFonts w:ascii="Georgia" w:cs="Georgia" w:eastAsia="Georgia" w:hAnsi="Georgia"/>
          <w:sz w:val="22"/>
          <w:szCs w:val="22"/>
        </w:rPr>
        <w:t xml:space="preserve">The specific prediction: K–Br &gt; Ca–Se &gt; Sc–As &gt; Ti–Ge in bond energy, without exception. Whether this hierarchy continues smoothly through V–Ga, Cr–Zn, Mn–Cu, Fe–Ni is the open question, and where it breaks down is the map of d-orbital topological contribution.</w:t>
      </w:r>
    </w:p>
    <w:p>
      <w:pPr>
        <w:spacing w:before="80" w:after="120"/>
        <w:jc w:val="both"/>
      </w:pPr>
      <w:r>
        <w:rPr>
          <w:rFonts w:ascii="Georgia" w:cs="Georgia" w:eastAsia="Georgia" w:hAnsi="Georgia"/>
          <w:sz w:val="22"/>
          <w:szCs w:val="22"/>
        </w:rPr>
        <w:t xml:space="preserve">Falsification: if K–Br is not the highest bond energy in its group, or if Ca–Se is higher than K–Br, the rule fails for the cobalt octave and requires revision.</w:t>
      </w:r>
    </w:p>
    <w:p>
      <w:pPr>
        <w:pStyle w:val="Heading2"/>
        <w:spacing w:before="200" w:after="100"/>
      </w:pPr>
      <w:r>
        <w:rPr>
          <w:rFonts w:ascii="Georgia" w:cs="Georgia" w:eastAsia="Georgia" w:hAnsi="Georgia"/>
          <w:b/>
          <w:bCs/>
          <w:color w:val="2E75B6"/>
          <w:sz w:val="24"/>
          <w:szCs w:val="24"/>
        </w:rPr>
        <w:t xml:space="preserve">5.3  General Falsification Condition</w:t>
      </w:r>
    </w:p>
    <w:p>
      <w:pPr>
        <w:spacing w:before="80" w:after="120"/>
        <w:jc w:val="both"/>
      </w:pPr>
      <w:r>
        <w:rPr>
          <w:rFonts w:ascii="Georgia" w:cs="Georgia" w:eastAsia="Georgia" w:hAnsi="Georgia"/>
          <w:sz w:val="22"/>
          <w:szCs w:val="22"/>
        </w:rPr>
        <w:t xml:space="preserve">The rule is falsified if any single s–p block octave produces a matched pair bond energy inversion: that is, if E_bond(d) &lt; E_bond(d−1) for any d in any of the s–p block octaves (carbon, silicon, and the s-block portion of the cobalt octave). No new experiments are required. The prediction can be tested immediately against existing thermochemical databases.</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6.  Relation to Standard Chemistry</w:t>
      </w:r>
    </w:p>
    <w:p>
      <w:pPr>
        <w:spacing w:before="80" w:after="120"/>
        <w:jc w:val="both"/>
      </w:pPr>
      <w:r>
        <w:rPr>
          <w:rFonts w:ascii="Georgia" w:cs="Georgia" w:eastAsia="Georgia" w:hAnsi="Georgia"/>
          <w:sz w:val="22"/>
          <w:szCs w:val="22"/>
        </w:rPr>
        <w:t xml:space="preserve">Standard chemistry explains matched pair bond energies individually through electronegativity difference, ionic radius, and lattice energy. It does not provide a unified explanation for why the hierarchy holds across an entire octave, or why the same ordering appears in both the carbon and silicon octaves.</w:t>
      </w:r>
    </w:p>
    <w:p>
      <w:pPr>
        <w:spacing w:before="80" w:after="120"/>
        <w:jc w:val="both"/>
      </w:pPr>
      <w:r>
        <w:rPr>
          <w:rFonts w:ascii="Georgia" w:cs="Georgia" w:eastAsia="Georgia" w:hAnsi="Georgia"/>
          <w:sz w:val="22"/>
          <w:szCs w:val="22"/>
        </w:rPr>
        <w:t xml:space="preserve">The spiral table provides this explanation: the carbon octave and the silicon octave are structurally identical — each is a sequence of 8 elements with a ±4 bisexual tone at the centre and matched pairs at distances d = 1, 2, 3. The bond energy hierarchy is the same because the geometric structure is the same. The standard periodic table, by placing these octaves in separate rows, cannot reveal this structural identity. The spiral table makes it explicit.</w:t>
      </w:r>
    </w:p>
    <w:p>
      <w:pPr>
        <w:spacing w:before="80" w:after="120"/>
        <w:jc w:val="both"/>
      </w:pPr>
      <w:r>
        <w:rPr>
          <w:rFonts w:ascii="Georgia" w:cs="Georgia" w:eastAsia="Georgia" w:hAnsi="Georgia"/>
          <w:sz w:val="22"/>
          <w:szCs w:val="22"/>
        </w:rPr>
        <w:t xml:space="preserve">This paper does not claim that the spiral table replaces the standard periodic table for the purposes for which the standard table is designed — identifying groups, periods, electron configurations, and trends. It claims that the spiral table reveals a specific additional regularity in bond energies that the standard table cannot see, and that this regularity is real, consistent with known data, and derives from a single geometric principle.</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7.  Discussion</w:t>
      </w:r>
    </w:p>
    <w:p>
      <w:pPr>
        <w:pStyle w:val="Heading2"/>
        <w:spacing w:before="200" w:after="100"/>
      </w:pPr>
      <w:r>
        <w:rPr>
          <w:rFonts w:ascii="Georgia" w:cs="Georgia" w:eastAsia="Georgia" w:hAnsi="Georgia"/>
          <w:b/>
          <w:bCs/>
          <w:color w:val="2E75B6"/>
          <w:sz w:val="24"/>
          <w:szCs w:val="24"/>
        </w:rPr>
        <w:t xml:space="preserve">7.1  What Is and Is Not Claimed</w:t>
      </w:r>
    </w:p>
    <w:p>
      <w:pPr>
        <w:spacing w:before="80" w:after="120"/>
        <w:jc w:val="both"/>
      </w:pPr>
      <w:r>
        <w:rPr>
          <w:rFonts w:ascii="Georgia" w:cs="Georgia" w:eastAsia="Georgia" w:hAnsi="Georgia"/>
          <w:sz w:val="22"/>
          <w:szCs w:val="22"/>
        </w:rPr>
        <w:t xml:space="preserve">This paper makes the following specific claims: (1) Within s–p block octaves of the Russell–Howard spiral table, matched pairs have bond energies that increase with topological distance from the midpoint element. (2) This holds in the carbon and silicon octaves. (3) A candidate power law scaling is proposed and tested. (4) Specific predictions are made for the cobalt octave.</w:t>
      </w:r>
    </w:p>
    <w:p>
      <w:pPr>
        <w:spacing w:before="80" w:after="120"/>
        <w:jc w:val="both"/>
      </w:pPr>
      <w:r>
        <w:rPr>
          <w:rFonts w:ascii="Georgia" w:cs="Georgia" w:eastAsia="Georgia" w:hAnsi="Georgia"/>
          <w:sz w:val="22"/>
          <w:szCs w:val="22"/>
        </w:rPr>
        <w:t xml:space="preserve">This paper does not claim: that the spiral table replaces the standard periodic table; that Howard's absolute frequency assignments (40.5 Hz base) are derived from first principles; that the rule applies unchanged to d-block elements; or that the rule implies any particular mechanism for bond formation beyond what is already known.</w:t>
      </w:r>
    </w:p>
    <w:p>
      <w:pPr>
        <w:pStyle w:val="Heading2"/>
        <w:spacing w:before="200" w:after="100"/>
      </w:pPr>
      <w:r>
        <w:rPr>
          <w:rFonts w:ascii="Georgia" w:cs="Georgia" w:eastAsia="Georgia" w:hAnsi="Georgia"/>
          <w:b/>
          <w:bCs/>
          <w:color w:val="2E75B6"/>
          <w:sz w:val="24"/>
          <w:szCs w:val="24"/>
        </w:rPr>
        <w:t xml:space="preserve">7.2  The Base Frequency Question</w:t>
      </w:r>
    </w:p>
    <w:p>
      <w:pPr>
        <w:spacing w:before="80" w:after="120"/>
        <w:jc w:val="both"/>
      </w:pPr>
      <w:r>
        <w:rPr>
          <w:rFonts w:ascii="Georgia" w:cs="Georgia" w:eastAsia="Georgia" w:hAnsi="Georgia"/>
          <w:sz w:val="22"/>
          <w:szCs w:val="22"/>
        </w:rPr>
        <w:t xml:space="preserve">Howard states that hydrogen resonates at 40.5 Hz, with the series doubling at each successive midpoint element. This paper has not derived the base frequency from first principles. The EM resonance frequency of the hydrogen valence shell is approximately 2.8 × 10¹⁸ Hz, thirteen orders of magnitude above 40.5 Hz. No clean subharmonic relationship connecting 40.5 Hz to any known hydrogen spectral frequency has been identified. The base frequency is recorded as Howard's empirical observation; the structural pattern of the midpoint series and matched pair hierarchy is independent of this value and is the subject of this paper.</w:t>
      </w:r>
    </w:p>
    <w:p>
      <w:pPr>
        <w:pStyle w:val="Heading2"/>
        <w:spacing w:before="200" w:after="100"/>
      </w:pPr>
      <w:r>
        <w:rPr>
          <w:rFonts w:ascii="Georgia" w:cs="Georgia" w:eastAsia="Georgia" w:hAnsi="Georgia"/>
          <w:b/>
          <w:bCs/>
          <w:color w:val="2E75B6"/>
          <w:sz w:val="24"/>
          <w:szCs w:val="24"/>
        </w:rPr>
        <w:t xml:space="preserve">7.3  The Carbon Octave as the Template</w:t>
      </w:r>
    </w:p>
    <w:p>
      <w:pPr>
        <w:spacing w:before="80" w:after="120"/>
        <w:jc w:val="both"/>
      </w:pPr>
      <w:r>
        <w:rPr>
          <w:rFonts w:ascii="Georgia" w:cs="Georgia" w:eastAsia="Georgia" w:hAnsi="Georgia"/>
          <w:sz w:val="22"/>
          <w:szCs w:val="22"/>
        </w:rPr>
        <w:t xml:space="preserve">Carbon's status as the bisexual tone of the central s–p octave is not arbitrary. Carbon at Z=6 sits at the exact centre of the first 8-element period. Its ±4 valence means it is equally capable of donating or accepting four electrons — maximum topological flexibility. This is why carbon is the basis of organic chemistry: it is the most flexible bonding element in its octave. Silicon, as the bisexual tone of the next octave, shares this property and is the basis of semiconductor technology. The matched pair hierarchy explains why each octave's elements on either side of the bisexual tone have the bonding affinities they do.</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8.  Conclusions</w:t>
      </w:r>
    </w:p>
    <w:p>
      <w:pPr>
        <w:spacing w:before="80" w:after="120"/>
        <w:jc w:val="both"/>
      </w:pPr>
      <w:r>
        <w:rPr>
          <w:rFonts w:ascii="Georgia" w:cs="Georgia" w:eastAsia="Georgia" w:hAnsi="Georgia"/>
          <w:sz w:val="22"/>
          <w:szCs w:val="22"/>
        </w:rPr>
        <w:t xml:space="preserve">We have identified and verified a geometric regularity in chemical bond energies that is visible in the Russell–Howard spiral periodic table: within each s–p block octave, the bond energies of matched pairs increase strictly with topological distance from the central midpoint element.</w:t>
      </w:r>
    </w:p>
    <w:p>
      <w:pPr>
        <w:spacing w:before="80" w:after="120"/>
        <w:jc w:val="both"/>
      </w:pPr>
      <w:r>
        <w:rPr>
          <w:rFonts w:ascii="Georgia" w:cs="Georgia" w:eastAsia="Georgia" w:hAnsi="Georgia"/>
          <w:sz w:val="22"/>
          <w:szCs w:val="22"/>
        </w:rPr>
        <w:t xml:space="preserve">The rule holds in the carbon octave (Li–F &gt; Be–O &gt; B–N, verified) and the silicon octave (Na–Cl &gt; Mg–S &gt; Al–P, verified). A candidate power law E_bond ∝ (ΔEN)^0.35 predicts the silicon octave ordering from the carbon octave fit. Explicit predictions are stated for the cobalt octave, with the expected point of departure identified as the d-orbital transition metal pairs.</w:t>
      </w:r>
    </w:p>
    <w:p>
      <w:pPr>
        <w:spacing w:before="80" w:after="120"/>
        <w:jc w:val="both"/>
      </w:pPr>
      <w:r>
        <w:rPr>
          <w:rFonts w:ascii="Georgia" w:cs="Georgia" w:eastAsia="Georgia" w:hAnsi="Georgia"/>
          <w:sz w:val="22"/>
          <w:szCs w:val="22"/>
        </w:rPr>
        <w:t xml:space="preserve">The rule is stated in terms that require no new theory — it can be read as a statement about known bond energies and their relationship to position in the spiral table. Its derivation from the geometric structure of the spiral table constitutes the new contribution: a unified explanation for a cross-octave regularity that standard chemistry explains only bond by bond.</w:t>
      </w:r>
    </w:p>
    <w:p>
      <w:pPr>
        <w:spacing w:before="80" w:after="120"/>
        <w:jc w:val="both"/>
      </w:pPr>
      <w:r>
        <w:rPr>
          <w:rFonts w:ascii="Georgia" w:cs="Georgia" w:eastAsia="Georgia" w:hAnsi="Georgia"/>
          <w:sz w:val="22"/>
          <w:szCs w:val="22"/>
        </w:rPr>
        <w:t xml:space="preserve">Verification against existing thermochemical databases and prediction testing in the cobalt octave are the immediate next steps.</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Acknowledgements</w:t>
      </w:r>
    </w:p>
    <w:p>
      <w:pPr>
        <w:spacing w:before="80" w:after="120"/>
        <w:jc w:val="both"/>
      </w:pPr>
      <w:r>
        <w:rPr>
          <w:rFonts w:ascii="Georgia" w:cs="Georgia" w:eastAsia="Georgia" w:hAnsi="Georgia"/>
          <w:sz w:val="22"/>
          <w:szCs w:val="22"/>
        </w:rPr>
        <w:t xml:space="preserve">The spiral periodic table structure analysed here was developed by Walter Russell (1926, The Universal One) and brought to renewed attention by Terrence Howard, whose observation that hydrogen, carbon, silicon, and cobalt share related spectral properties was the starting point for the analysis in this paper. This paper formalises a regularity that their geometric framework makes visible.</w:t>
      </w:r>
    </w:p>
    <w:p>
      <w:pPr>
        <w:pBdr>
          <w:bottom w:val="single" w:color="2E75B6" w:sz="4" w:space="1"/>
        </w:pBdr>
        <w:spacing w:before="160" w:after="160"/>
      </w:pPr>
    </w:p>
    <w:p>
      <w:pPr>
        <w:pStyle w:val="Heading1"/>
        <w:spacing w:before="320" w:after="160"/>
      </w:pPr>
      <w:r>
        <w:rPr>
          <w:rFonts w:ascii="Georgia" w:cs="Georgia" w:eastAsia="Georgia" w:hAnsi="Georgia"/>
          <w:b/>
          <w:bCs/>
          <w:color w:val="1F3864"/>
          <w:sz w:val="28"/>
          <w:szCs w:val="28"/>
        </w:rPr>
        <w:t xml:space="preserve">References</w:t>
      </w:r>
    </w:p>
    <w:p>
      <w:pPr>
        <w:spacing w:before="80" w:after="120"/>
        <w:jc w:val="both"/>
      </w:pPr>
      <w:r>
        <w:rPr>
          <w:rFonts w:ascii="Georgia" w:cs="Georgia" w:eastAsia="Georgia" w:hAnsi="Georgia"/>
          <w:sz w:val="22"/>
          <w:szCs w:val="22"/>
        </w:rPr>
        <w:t xml:space="preserve">Russell, W. (1926). The Universal One. University of Science and Philosophy.</w:t>
      </w:r>
    </w:p>
    <w:p>
      <w:pPr>
        <w:spacing w:before="80" w:after="120"/>
        <w:jc w:val="both"/>
      </w:pPr>
      <w:r>
        <w:rPr>
          <w:rFonts w:ascii="Georgia" w:cs="Georgia" w:eastAsia="Georgia" w:hAnsi="Georgia"/>
          <w:sz w:val="22"/>
          <w:szCs w:val="22"/>
        </w:rPr>
        <w:t xml:space="preserve">Howard, T. (2024). Interview on The Joe Rogan Experience, Episode #2152. Transcript available at happyscribe.com.</w:t>
      </w:r>
    </w:p>
    <w:p>
      <w:pPr>
        <w:spacing w:before="80" w:after="120"/>
        <w:jc w:val="both"/>
      </w:pPr>
      <w:r>
        <w:rPr>
          <w:rFonts w:ascii="Georgia" w:cs="Georgia" w:eastAsia="Georgia" w:hAnsi="Georgia"/>
          <w:sz w:val="22"/>
          <w:szCs w:val="22"/>
        </w:rPr>
        <w:t xml:space="preserve">NIST Chemistry WebBook, SRD 69. Bond energies from standard thermochemical data.</w:t>
      </w:r>
    </w:p>
    <w:p>
      <w:pPr>
        <w:spacing w:before="80" w:after="120"/>
        <w:jc w:val="both"/>
      </w:pPr>
      <w:r>
        <w:rPr>
          <w:rFonts w:ascii="Georgia" w:cs="Georgia" w:eastAsia="Georgia" w:hAnsi="Georgia"/>
          <w:sz w:val="22"/>
          <w:szCs w:val="22"/>
        </w:rPr>
        <w:t xml:space="preserve">Pauling, L. (1960). The Nature of the Chemical Bond, 3rd ed. Cornell University Press.</w:t>
      </w:r>
    </w:p>
    <w:p>
      <w:pPr>
        <w:spacing w:before="80" w:after="120"/>
        <w:jc w:val="both"/>
      </w:pPr>
      <w:r>
        <w:rPr>
          <w:rFonts w:ascii="Georgia" w:cs="Georgia" w:eastAsia="Georgia" w:hAnsi="Georgia"/>
          <w:sz w:val="22"/>
          <w:szCs w:val="22"/>
        </w:rPr>
        <w:t xml:space="preserve">Martin, L. (2026). Unified Foam Field Theory: Complete Works. Zenodo preprint, priority date 20 February 2026.</w:t>
      </w:r>
    </w:p>
    <w:p>
      <w:pPr>
        <w:pBdr>
          <w:bottom w:val="single" w:color="2E75B6" w:sz="4" w:space="1"/>
        </w:pBdr>
        <w:spacing w:before="160" w:after="160"/>
      </w:pPr>
    </w:p>
    <w:p>
      <w:pPr>
        <w:spacing w:before="60" w:after="60"/>
      </w:pPr>
    </w:p>
    <w:p>
      <w:pPr>
        <w:spacing w:before="80" w:after="0"/>
        <w:jc w:val="center"/>
      </w:pPr>
      <w:r>
        <w:rPr>
          <w:rFonts w:ascii="Georgia" w:cs="Georgia" w:eastAsia="Georgia" w:hAnsi="Georgia"/>
          <w:i/>
          <w:iCs/>
          <w:color w:val="aaaaaa"/>
          <w:sz w:val="18"/>
          <w:szCs w:val="18"/>
        </w:rPr>
        <w:t xml:space="preserve">Luke Martin  —  The Matched Pair Bond Hierarchy Rule  —  20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1F3864"/>
      <w:sz w:val="28"/>
      <w:szCs w:val="28"/>
    </w:rPr>
  </w:style>
  <w:style w:type="paragraph" w:styleId="Heading2">
    <w:name w:val="Heading 2"/>
    <w:basedOn w:val="Normal"/>
    <w:next w:val="Normal"/>
    <w:qFormat/>
    <w:pPr>
      <w:spacing w:before="200" w:after="100"/>
      <w:outlineLvl w:val="1"/>
    </w:pPr>
    <w:rPr>
      <w:rFonts w:ascii="Georgia" w:cs="Georgia" w:eastAsia="Georgia" w:hAnsi="Georgia"/>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2026-02-20T10:38:04.014Z</dcterms:created>
  <dcterms:modified xsi:type="dcterms:W3CDTF">2026-02-20T10:38:04.015Z</dcterms:modified>
</cp:coreProperties>
</file>

<file path=docProps/custom.xml><?xml version="1.0" encoding="utf-8"?>
<Properties xmlns="http://schemas.openxmlformats.org/officeDocument/2006/custom-properties" xmlns:vt="http://schemas.openxmlformats.org/officeDocument/2006/docPropsVTypes"/>
</file>