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Gravitational Suppression of Quantum Decoherence</w:t>
      </w:r>
    </w:p>
    <w:p>
      <w:pPr>
        <w:spacing w:after="80"/>
        <w:jc w:val="center"/>
      </w:pPr>
      <w:r>
        <w:rPr>
          <w:rFonts w:ascii="Times New Roman" w:cs="Times New Roman" w:eastAsia="Times New Roman" w:hAnsi="Times New Roman"/>
          <w:b/>
          <w:bCs/>
          <w:sz w:val="32"/>
          <w:szCs w:val="32"/>
        </w:rPr>
        <w:t xml:space="preserve">via Variable Vacuum Foam Density</w:t>
      </w:r>
    </w:p>
    <w:p>
      <w:r>
        <w:t xml:space="preserve"/>
      </w:r>
    </w:p>
    <w:p>
      <w:pPr>
        <w:spacing w:after="60"/>
        <w:jc w:val="center"/>
      </w:pPr>
      <w:r>
        <w:rPr>
          <w:rFonts w:ascii="Times New Roman" w:cs="Times New Roman" w:eastAsia="Times New Roman" w:hAnsi="Times New Roman"/>
          <w:b/>
          <w:bCs/>
          <w:sz w:val="26"/>
          <w:szCs w:val="26"/>
        </w:rPr>
        <w:t xml:space="preserve">Luke Martin</w:t>
      </w:r>
    </w:p>
    <w:p>
      <w:pPr>
        <w:spacing w:after="60"/>
        <w:jc w:val="center"/>
      </w:pPr>
      <w:r>
        <w:rPr>
          <w:rFonts w:ascii="Times New Roman" w:cs="Times New Roman" w:eastAsia="Times New Roman" w:hAnsi="Times New Roman"/>
          <w:i/>
          <w:iCs/>
          <w:sz w:val="22"/>
          <w:szCs w:val="22"/>
        </w:rPr>
        <w:t xml:space="preserve">Independent Researcher</w:t>
      </w:r>
    </w:p>
    <w:p>
      <w:pPr>
        <w:spacing w:after="60"/>
        <w:jc w:val="center"/>
      </w:pPr>
      <w:r>
        <w:rPr>
          <w:rFonts w:ascii="Times New Roman" w:cs="Times New Roman" w:eastAsia="Times New Roman" w:hAnsi="Times New Roman"/>
          <w:sz w:val="22"/>
          <w:szCs w:val="22"/>
        </w:rPr>
        <w:t xml:space="preserve">February 2026</w:t>
      </w:r>
    </w:p>
    <w:p>
      <w:pPr>
        <w:spacing w:after="120"/>
        <w:jc w:val="center"/>
      </w:pPr>
      <w:r>
        <w:rPr>
          <w:rFonts w:ascii="Times New Roman" w:cs="Times New Roman" w:eastAsia="Times New Roman" w:hAnsi="Times New Roman"/>
          <w:i/>
          <w:iCs/>
          <w:color w:val="888888"/>
          <w:sz w:val="20"/>
          <w:szCs w:val="20"/>
        </w:rPr>
        <w:t xml:space="preserve">Preprint — Not yet peer reviewed</w:t>
      </w:r>
    </w:p>
    <w:p>
      <w:pPr>
        <w:spacing w:after="300"/>
        <w:jc w:val="center"/>
      </w:pPr>
      <w:r>
        <w:rPr>
          <w:rFonts w:ascii="Times New Roman" w:cs="Times New Roman" w:eastAsia="Times New Roman" w:hAnsi="Times New Roman"/>
          <w:b/>
          <w:bCs/>
          <w:color w:val="2E6DA4"/>
          <w:sz w:val="20"/>
          <w:szCs w:val="20"/>
        </w:rPr>
        <w:t xml:space="preserve">Published: https://zenodo.org/records/18706756</w:t>
      </w:r>
    </w:p>
    <w:p>
      <w:pPr>
        <w:pBdr>
          <w:bottom w:val="single" w:color="888888" w:sz="4"/>
        </w:pBdr>
        <w:spacing w:before="160" w:after="160"/>
      </w:pPr>
      <w:r>
        <w:t xml:space="preserve"/>
      </w:r>
    </w:p>
    <w:p>
      <w:r>
        <w:t xml:space="preserve"/>
      </w:r>
    </w:p>
    <w:p>
      <w:pPr>
        <w:spacing w:after="100"/>
      </w:pPr>
      <w:r>
        <w:rPr>
          <w:rFonts w:ascii="Times New Roman" w:cs="Times New Roman" w:eastAsia="Times New Roman" w:hAnsi="Times New Roman"/>
          <w:b/>
          <w:bCs/>
          <w:sz w:val="26"/>
          <w:szCs w:val="26"/>
        </w:rPr>
        <w:t xml:space="preserve">Abstract</w:t>
      </w:r>
    </w:p>
    <w:p>
      <w:pPr>
        <w:spacing w:after="160"/>
        <w:ind w:left="720" w:right="720"/>
        <w:jc w:val="both"/>
      </w:pPr>
      <w:r>
        <w:rPr>
          <w:rFonts w:ascii="Times New Roman" w:cs="Times New Roman" w:eastAsia="Times New Roman" w:hAnsi="Times New Roman"/>
          <w:i/>
          <w:iCs/>
          <w:sz w:val="22"/>
          <w:szCs w:val="22"/>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which predicts enhancement. The sign reversal in the gravitational correction term produces a measurable difference of 3GM/rc² in decoherence rate ratios at two gravitational potentials. We additionally identify that quantum decoherence and macroscopic void decay are the same physical process at different scales — both governed by local vacuum bubble density eroding void-pair boundaries. We propose a concrete experimental protocol using atomic interferometry at varying gravitational potentials, achievable with existing space-based platforms, that can discriminate between this model and Diosi-Penrose. We further predict that qubit coherence times should be measurably longer at higher altitude, with a fractional improvement of 8.22 × 10⁻¹¹ between Earth surface and the International Space Station — within reach of next-generation trapped ion experiments.</w:t>
      </w:r>
    </w:p>
    <w:p>
      <w:r>
        <w:t xml:space="preserve"/>
      </w:r>
    </w:p>
    <w:p>
      <w:pPr>
        <w:spacing w:after="1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quantum decoherence, vacuum energy density, gravitational effects on quantum coherence, Diosi-Penrose model, atom interferometry, void-pair conservation</w:t>
      </w:r>
    </w:p>
    <w:p>
      <w:r>
        <w:t xml:space="preserve"/>
      </w:r>
    </w:p>
    <w:p>
      <w:pPr>
        <w:pBdr>
          <w:bottom w:val="single" w:color="888888" w:sz="4"/>
        </w:pBdr>
        <w:spacing w:before="160" w:after="160"/>
      </w:pPr>
      <w:r>
        <w:t xml:space="preserve"/>
      </w:r>
    </w:p>
    <w:p>
      <w:r>
        <w:t xml:space="preserve"/>
      </w:r>
    </w:p>
    <w:p>
      <w:pPr>
        <w:pStyle w:val="Heading1"/>
        <w:spacing w:before="360" w:after="180"/>
      </w:pPr>
      <w:r>
        <w:rPr>
          <w:rFonts w:ascii="Times New Roman" w:cs="Times New Roman" w:eastAsia="Times New Roman" w:hAnsi="Times New Roman"/>
          <w:b/>
          <w:bCs/>
          <w:sz w:val="26"/>
          <w:szCs w:val="26"/>
        </w:rPr>
        <w:t xml:space="preserve">1.  Introduction</w:t>
      </w:r>
    </w:p>
    <w:p>
      <w:pPr>
        <w:spacing w:after="200"/>
        <w:jc w:val="both"/>
      </w:pPr>
      <w:r>
        <w:rPr>
          <w:rFonts w:ascii="Times New Roman" w:cs="Times New Roman" w:eastAsia="Times New Roman" w:hAnsi="Times New Roman"/>
          <w:sz w:val="24"/>
          <w:szCs w:val="24"/>
        </w:rPr>
        <w:t xml:space="preserve">The relationship between gravity and quantum coherence remains one of the central unsolved problems in fundamental physics. Two competing models exist for how gravitational fields should affect quantum decoherence rates. The Diosi-Penrose (DP) model [1,2] predicts that decoherence rate increases with local gravitational field strength — matter in stronger gravitational fields should decohere faster. Recent experimental proposals [3] have begun to approach the sensitivity required to test this prediction.</w:t>
      </w:r>
    </w:p>
    <w:p>
      <w:pPr>
        <w:spacing w:after="200"/>
        <w:jc w:val="both"/>
      </w:pPr>
      <w:r>
        <w:rPr>
          <w:rFonts w:ascii="Times New Roman" w:cs="Times New Roman" w:eastAsia="Times New Roman" w:hAnsi="Times New Roman"/>
          <w:sz w:val="24"/>
          <w:szCs w:val="24"/>
        </w:rPr>
        <w:t xml:space="preserve">We examine the opposite prediction arising from a vacuum foam model of gravity. If the local vacuum density decreases near massive objects — as required by consistency with the Schwarzschild metric — then the rate of vacuum-induced decoherence also decreases near mass. The two models differ by a sign in the gravitational correction term. That sign difference is experimentally distinguishable and constitutes a clean test of the underlying physics.</w:t>
      </w:r>
    </w:p>
    <w:p>
      <w:pPr>
        <w:spacing w:after="200"/>
        <w:jc w:val="both"/>
      </w:pPr>
      <w:r>
        <w:rPr>
          <w:rFonts w:ascii="Times New Roman" w:cs="Times New Roman" w:eastAsia="Times New Roman" w:hAnsi="Times New Roman"/>
          <w:sz w:val="24"/>
          <w:szCs w:val="24"/>
        </w:rPr>
        <w:t xml:space="preserve">We additionally present a physical mechanism for why decoherence rate should scale with local vacuum density: quantum decoherence is void boundary erosion at the atomic scale, driven by the density of vacuum foam bubbles pressing on void-pair imprint boundaries. This mechanism unifies quantum decoherence with macroscopic void decay — both are the same process at different scales, both suppressed near mass, both governed by the local vacuum density equation.</w:t>
      </w:r>
    </w:p>
    <w:p>
      <w:r>
        <w:t xml:space="preserve"/>
      </w:r>
    </w:p>
    <w:p>
      <w:pPr>
        <w:pStyle w:val="Heading1"/>
        <w:spacing w:before="360" w:after="180"/>
      </w:pPr>
      <w:r>
        <w:rPr>
          <w:rFonts w:ascii="Times New Roman" w:cs="Times New Roman" w:eastAsia="Times New Roman" w:hAnsi="Times New Roman"/>
          <w:b/>
          <w:bCs/>
          <w:sz w:val="26"/>
          <w:szCs w:val="26"/>
        </w:rPr>
        <w:t xml:space="preserve">2.  Theoretical Framework</w:t>
      </w:r>
    </w:p>
    <w:p>
      <w:pPr>
        <w:pStyle w:val="Heading2"/>
        <w:spacing w:before="240" w:after="120"/>
      </w:pPr>
      <w:r>
        <w:rPr>
          <w:rFonts w:ascii="Times New Roman" w:cs="Times New Roman" w:eastAsia="Times New Roman" w:hAnsi="Times New Roman"/>
          <w:b/>
          <w:bCs/>
          <w:sz w:val="24"/>
          <w:szCs w:val="24"/>
        </w:rPr>
        <w:t xml:space="preserve">2.1  Vacuum Foam Density in a Gravitational Field</w:t>
      </w:r>
    </w:p>
    <w:p>
      <w:pPr>
        <w:spacing w:after="200"/>
        <w:jc w:val="both"/>
      </w:pPr>
      <w:r>
        <w:rPr>
          <w:rFonts w:ascii="Times New Roman" w:cs="Times New Roman" w:eastAsia="Times New Roman" w:hAnsi="Times New Roman"/>
          <w:sz w:val="24"/>
          <w:szCs w:val="24"/>
        </w:rPr>
        <w:t xml:space="preserve">We adopt a model in which the vacuum is a structured medium — a quantized foam of Planck-scale bubble units — at baseline density:</w:t>
      </w:r>
    </w:p>
    <w:p>
      <w:pPr>
        <w:spacing w:before="180" w:after="180"/>
        <w:jc w:val="center"/>
      </w:pPr>
      <w:r>
        <w:rPr>
          <w:rFonts w:ascii="Courier New" w:cs="Courier New" w:eastAsia="Courier New" w:hAnsi="Courier New"/>
          <w:b/>
          <w:bCs/>
          <w:sz w:val="22"/>
          <w:szCs w:val="22"/>
        </w:rPr>
        <w:t xml:space="preserve">rho_0 = m_Planck / l_Planck^3 = 5.155 x 10^96 kg/m^3     (1)</w:t>
      </w:r>
    </w:p>
    <w:p>
      <w:pPr>
        <w:spacing w:after="200"/>
        <w:jc w:val="both"/>
      </w:pPr>
      <w:r>
        <w:rPr>
          <w:rFonts w:ascii="Times New Roman" w:cs="Times New Roman" w:eastAsia="Times New Roman" w:hAnsi="Times New Roman"/>
          <w:sz w:val="24"/>
          <w:szCs w:val="24"/>
        </w:rPr>
        <w:t xml:space="preserve">In the presence of a gravitational source of mass M, the local vacuum density is displaced. Consistency with the Schwarzschild metric requires vacuum density to vanish at the Schwarzschild radius r_s = 2GM/c². The corrected vacuum density:</w:t>
      </w:r>
    </w:p>
    <w:p>
      <w:pPr>
        <w:spacing w:before="180" w:after="180"/>
        <w:jc w:val="center"/>
      </w:pPr>
      <w:r>
        <w:rPr>
          <w:rFonts w:ascii="Courier New" w:cs="Courier New" w:eastAsia="Courier New" w:hAnsi="Courier New"/>
          <w:b/>
          <w:bCs/>
          <w:sz w:val="22"/>
          <w:szCs w:val="22"/>
        </w:rPr>
        <w:t xml:space="preserve">rho_vac(r) = rho_0 * (1 - 2GM/(r*c^2))     (2)</w:t>
      </w:r>
    </w:p>
    <w:p>
      <w:pPr>
        <w:spacing w:after="200"/>
        <w:jc w:val="both"/>
      </w:pPr>
      <w:r>
        <w:rPr>
          <w:rFonts w:ascii="Times New Roman" w:cs="Times New Roman" w:eastAsia="Times New Roman" w:hAnsi="Times New Roman"/>
          <w:sz w:val="24"/>
          <w:szCs w:val="24"/>
        </w:rPr>
        <w:t xml:space="preserve">Note that the factor of 2 is required: at r = r_s, equation (2) gives rho_vac = 0, consistent with the physical interpretation that the vacuum foam is completely evacuated at the event horizon. A factor of 1 instead of 2 gives rho_vac = rho_0/2 at r_s, which is incorrect. This correction propagates through all subsequent equations.</w:t>
      </w:r>
    </w:p>
    <w:p>
      <w:pPr>
        <w:spacing w:after="200"/>
        <w:jc w:val="both"/>
      </w:pPr>
      <w:r>
        <w:rPr>
          <w:rFonts w:ascii="Times New Roman" w:cs="Times New Roman" w:eastAsia="Times New Roman" w:hAnsi="Times New Roman"/>
          <w:sz w:val="24"/>
          <w:szCs w:val="24"/>
        </w:rPr>
        <w:t xml:space="preserve">The vacuum equation of state, required for dimensional consistency of the gravity derivation:</w:t>
      </w:r>
    </w:p>
    <w:p>
      <w:pPr>
        <w:spacing w:before="180" w:after="180"/>
        <w:jc w:val="center"/>
      </w:pPr>
      <w:r>
        <w:rPr>
          <w:rFonts w:ascii="Courier New" w:cs="Courier New" w:eastAsia="Courier New" w:hAnsi="Courier New"/>
          <w:b/>
          <w:bCs/>
          <w:sz w:val="22"/>
          <w:szCs w:val="22"/>
        </w:rPr>
        <w:t xml:space="preserve">P_0 = rho_0 * c^2 = 4.633 x 10^113 Pa     (3)</w:t>
      </w:r>
    </w:p>
    <w:p>
      <w:pPr>
        <w:spacing w:after="200"/>
        <w:jc w:val="both"/>
      </w:pPr>
      <w:r>
        <w:rPr>
          <w:rFonts w:ascii="Times New Roman" w:cs="Times New Roman" w:eastAsia="Times New Roman" w:hAnsi="Times New Roman"/>
          <w:sz w:val="24"/>
          <w:szCs w:val="24"/>
        </w:rPr>
        <w:t xml:space="preserve">This is the equation of state of a maximally stiff medium in which pressure waves propagate at c.</w:t>
      </w:r>
    </w:p>
    <w:p>
      <w:r>
        <w:t xml:space="preserve"/>
      </w:r>
    </w:p>
    <w:p>
      <w:pPr>
        <w:pStyle w:val="Heading2"/>
        <w:spacing w:before="240" w:after="120"/>
      </w:pPr>
      <w:r>
        <w:rPr>
          <w:rFonts w:ascii="Times New Roman" w:cs="Times New Roman" w:eastAsia="Times New Roman" w:hAnsi="Times New Roman"/>
          <w:b/>
          <w:bCs/>
          <w:sz w:val="24"/>
          <w:szCs w:val="24"/>
        </w:rPr>
        <w:t xml:space="preserve">2.2  Decoherence Rate from Vacuum Density</w:t>
      </w:r>
    </w:p>
    <w:p>
      <w:pPr>
        <w:spacing w:after="200"/>
        <w:jc w:val="both"/>
      </w:pPr>
      <w:r>
        <w:rPr>
          <w:rFonts w:ascii="Times New Roman" w:cs="Times New Roman" w:eastAsia="Times New Roman" w:hAnsi="Times New Roman"/>
          <w:sz w:val="24"/>
          <w:szCs w:val="24"/>
        </w:rPr>
        <w:t xml:space="preserve">In standard quantum mechanics, decoherence arises from entanglement of a quantum system with environmental degrees of freedom. In the vacuum foam model, decoherence arises from a specific physical mechanism: the void-pair imprint — the record of a quantum measurement outcome written into the foam — is eroded by surrounding vacuum bubbles pressing on its boundary. The erosion rate is proportional to the local bubble density.</w:t>
      </w:r>
    </w:p>
    <w:p>
      <w:pPr>
        <w:spacing w:after="200"/>
        <w:jc w:val="both"/>
      </w:pPr>
      <w:r>
        <w:rPr>
          <w:rFonts w:ascii="Times New Roman" w:cs="Times New Roman" w:eastAsia="Times New Roman" w:hAnsi="Times New Roman"/>
          <w:sz w:val="24"/>
          <w:szCs w:val="24"/>
        </w:rPr>
        <w:t xml:space="preserve">This gives a position-dependent decoherence rate:</w:t>
      </w:r>
    </w:p>
    <w:p>
      <w:pPr>
        <w:spacing w:before="180" w:after="180"/>
        <w:jc w:val="center"/>
      </w:pPr>
      <w:r>
        <w:rPr>
          <w:rFonts w:ascii="Courier New" w:cs="Courier New" w:eastAsia="Courier New" w:hAnsi="Courier New"/>
          <w:b/>
          <w:bCs/>
          <w:sz w:val="22"/>
          <w:szCs w:val="22"/>
        </w:rPr>
        <w:t xml:space="preserve">Gamma(r) = Gamma_0 * rho_vac(r) / rho_0 = Gamma_0 * (1 - 2GM/(r*c^2))     (4)</w:t>
      </w:r>
    </w:p>
    <w:p>
      <w:pPr>
        <w:spacing w:after="200"/>
        <w:jc w:val="both"/>
      </w:pPr>
      <w:r>
        <w:rPr>
          <w:rFonts w:ascii="Times New Roman" w:cs="Times New Roman" w:eastAsia="Times New Roman" w:hAnsi="Times New Roman"/>
          <w:sz w:val="24"/>
          <w:szCs w:val="24"/>
        </w:rPr>
        <w:t xml:space="preserve">and a corresponding position-dependent coherence time:</w:t>
      </w:r>
    </w:p>
    <w:p>
      <w:pPr>
        <w:spacing w:before="180" w:after="180"/>
        <w:jc w:val="center"/>
      </w:pPr>
      <w:r>
        <w:rPr>
          <w:rFonts w:ascii="Courier New" w:cs="Courier New" w:eastAsia="Courier New" w:hAnsi="Courier New"/>
          <w:b/>
          <w:bCs/>
          <w:sz w:val="22"/>
          <w:szCs w:val="22"/>
        </w:rPr>
        <w:t xml:space="preserve">tau(r) = tau_0 / (1 - 2GM/(r*c^2))     (5)</w:t>
      </w:r>
    </w:p>
    <w:p>
      <w:pPr>
        <w:spacing w:after="200"/>
        <w:jc w:val="both"/>
      </w:pPr>
      <w:r>
        <w:rPr>
          <w:rFonts w:ascii="Times New Roman" w:cs="Times New Roman" w:eastAsia="Times New Roman" w:hAnsi="Times New Roman"/>
          <w:sz w:val="24"/>
          <w:szCs w:val="24"/>
        </w:rPr>
        <w:t xml:space="preserve">Near a massive object (r → r_s): Gamma → 0, tau → infinity. Decoherence is suppressed. Far from all mass (r → infinity): Gamma → Gamma_0, tau → tau_0. This is the undisturbed foam decoherence rate.</w:t>
      </w:r>
    </w:p>
    <w:p>
      <w:r>
        <w:t xml:space="preserve"/>
      </w:r>
    </w:p>
    <w:p>
      <w:pPr>
        <w:pStyle w:val="Heading2"/>
        <w:spacing w:before="240" w:after="120"/>
      </w:pPr>
      <w:r>
        <w:rPr>
          <w:rFonts w:ascii="Times New Roman" w:cs="Times New Roman" w:eastAsia="Times New Roman" w:hAnsi="Times New Roman"/>
          <w:b/>
          <w:bCs/>
          <w:sz w:val="24"/>
          <w:szCs w:val="24"/>
        </w:rPr>
        <w:t xml:space="preserve">2.3  Sign Reversal Relative to Diosi-Penrose</w:t>
      </w:r>
    </w:p>
    <w:p>
      <w:pPr>
        <w:spacing w:after="200"/>
        <w:jc w:val="both"/>
      </w:pPr>
      <w:r>
        <w:rPr>
          <w:rFonts w:ascii="Times New Roman" w:cs="Times New Roman" w:eastAsia="Times New Roman" w:hAnsi="Times New Roman"/>
          <w:sz w:val="24"/>
          <w:szCs w:val="24"/>
        </w:rPr>
        <w:t xml:space="preserve">The Diosi-Penrose model predicts:</w:t>
      </w:r>
    </w:p>
    <w:p>
      <w:pPr>
        <w:spacing w:before="180" w:after="180"/>
        <w:jc w:val="center"/>
      </w:pPr>
      <w:r>
        <w:rPr>
          <w:rFonts w:ascii="Courier New" w:cs="Courier New" w:eastAsia="Courier New" w:hAnsi="Courier New"/>
          <w:b/>
          <w:bCs/>
          <w:sz w:val="22"/>
          <w:szCs w:val="22"/>
        </w:rPr>
        <w:t xml:space="preserve">Gamma_DP(r) / Gamma_DP(inf) = 1 + GM/(r*c^2)   [enhanced near mass]     (6)</w:t>
      </w:r>
    </w:p>
    <w:p>
      <w:pPr>
        <w:spacing w:after="200"/>
        <w:jc w:val="both"/>
      </w:pPr>
      <w:r>
        <w:rPr>
          <w:rFonts w:ascii="Times New Roman" w:cs="Times New Roman" w:eastAsia="Times New Roman" w:hAnsi="Times New Roman"/>
          <w:sz w:val="24"/>
          <w:szCs w:val="24"/>
        </w:rPr>
        <w:t xml:space="preserve">The vacuum foam model predicts:</w:t>
      </w:r>
    </w:p>
    <w:p>
      <w:pPr>
        <w:spacing w:before="180" w:after="180"/>
        <w:jc w:val="center"/>
      </w:pPr>
      <w:r>
        <w:rPr>
          <w:rFonts w:ascii="Courier New" w:cs="Courier New" w:eastAsia="Courier New" w:hAnsi="Courier New"/>
          <w:b/>
          <w:bCs/>
          <w:sz w:val="22"/>
          <w:szCs w:val="22"/>
        </w:rPr>
        <w:t xml:space="preserve">Gamma_VF(r) / Gamma_VF(inf) = 1 - 2GM/(r*c^2)  [suppressed near mass]     (7)</w:t>
      </w:r>
    </w:p>
    <w:p>
      <w:pPr>
        <w:spacing w:after="200"/>
        <w:jc w:val="both"/>
      </w:pPr>
      <w:r>
        <w:rPr>
          <w:rFonts w:ascii="Times New Roman" w:cs="Times New Roman" w:eastAsia="Times New Roman" w:hAnsi="Times New Roman"/>
          <w:sz w:val="24"/>
          <w:szCs w:val="24"/>
        </w:rPr>
        <w:t xml:space="preserve">The difference between the two predictions at gravitational potential phi = GM/rc²:</w:t>
      </w:r>
    </w:p>
    <w:p>
      <w:pPr>
        <w:spacing w:before="180" w:after="180"/>
        <w:jc w:val="center"/>
      </w:pPr>
      <w:r>
        <w:rPr>
          <w:rFonts w:ascii="Courier New" w:cs="Courier New" w:eastAsia="Courier New" w:hAnsi="Courier New"/>
          <w:b/>
          <w:bCs/>
          <w:sz w:val="22"/>
          <w:szCs w:val="22"/>
        </w:rPr>
        <w:t xml:space="preserve">Delta(Gamma_DP - Gamma_VF) / Gamma_0 = 3 * GM / (r * c^2) = 3 * phi     (8)</w:t>
      </w:r>
    </w:p>
    <w:p>
      <w:pPr>
        <w:spacing w:after="200"/>
        <w:jc w:val="both"/>
      </w:pPr>
      <w:r>
        <w:rPr>
          <w:rFonts w:ascii="Times New Roman" w:cs="Times New Roman" w:eastAsia="Times New Roman" w:hAnsi="Times New Roman"/>
          <w:sz w:val="24"/>
          <w:szCs w:val="24"/>
        </w:rPr>
        <w:t xml:space="preserve">This difference is 3phi — three times the gravitational potential. At Earth's surface phi = 6.96 × 10⁻¹⁰. The fractional difference between the two model predictions is 2.09 × 10⁻⁹. This is small but non-zero and grows with gravitational potential, making it measurable with sufficiently sensitive experiments.</w:t>
      </w:r>
    </w:p>
    <w:p>
      <w:r>
        <w:t xml:space="preserve"/>
      </w:r>
    </w:p>
    <w:p>
      <w:pPr>
        <w:pStyle w:val="Heading2"/>
        <w:spacing w:before="240" w:after="120"/>
      </w:pPr>
      <w:r>
        <w:rPr>
          <w:rFonts w:ascii="Times New Roman" w:cs="Times New Roman" w:eastAsia="Times New Roman" w:hAnsi="Times New Roman"/>
          <w:b/>
          <w:bCs/>
          <w:sz w:val="24"/>
          <w:szCs w:val="24"/>
        </w:rPr>
        <w:t xml:space="preserve">2.4  Decoherence as Void Decay — A Unification</w:t>
      </w:r>
    </w:p>
    <w:p>
      <w:pPr>
        <w:spacing w:after="200"/>
        <w:jc w:val="both"/>
      </w:pPr>
      <w:r>
        <w:rPr>
          <w:rFonts w:ascii="Times New Roman" w:cs="Times New Roman" w:eastAsia="Times New Roman" w:hAnsi="Times New Roman"/>
          <w:sz w:val="24"/>
          <w:szCs w:val="24"/>
        </w:rPr>
        <w:t xml:space="preserve">We note that the decoherence rate equation (4) is identical in form to the macroscopic void decay equation:</w:t>
      </w:r>
    </w:p>
    <w:p>
      <w:pPr>
        <w:spacing w:before="180" w:after="180"/>
        <w:jc w:val="center"/>
      </w:pPr>
      <w:r>
        <w:rPr>
          <w:rFonts w:ascii="Courier New" w:cs="Courier New" w:eastAsia="Courier New" w:hAnsi="Courier New"/>
          <w:b/>
          <w:bCs/>
          <w:sz w:val="22"/>
          <w:szCs w:val="22"/>
        </w:rPr>
        <w:t xml:space="preserve">dV_void/dt = -k * rho_vac(r) * A_boundary     (9)</w:t>
      </w:r>
    </w:p>
    <w:p>
      <w:pPr>
        <w:spacing w:after="200"/>
        <w:jc w:val="both"/>
      </w:pPr>
      <w:r>
        <w:rPr>
          <w:rFonts w:ascii="Times New Roman" w:cs="Times New Roman" w:eastAsia="Times New Roman" w:hAnsi="Times New Roman"/>
          <w:sz w:val="24"/>
          <w:szCs w:val="24"/>
        </w:rPr>
        <w:t xml:space="preserve">where k is the void erosion constant [m⁴/(kg·s)], and A_boundary is the void surface area. Both quantum decoherence and macroscopic void decay are governed by local vacuum density eroding a void boundary — one at atomic scale, one at macroscopic scale. This unification implies that sonoluminescence (macroscopic void collapse), quantum decoherence (atomic void-pair imprint erosion), and gravitational effects on coherence time are all manifestations of the same underlying process.</w:t>
      </w:r>
    </w:p>
    <w:p>
      <w:r>
        <w:t xml:space="preserve"/>
      </w:r>
    </w:p>
    <w:p>
      <w:pPr>
        <w:pStyle w:val="Heading1"/>
        <w:spacing w:before="360" w:after="180"/>
      </w:pPr>
      <w:r>
        <w:rPr>
          <w:rFonts w:ascii="Times New Roman" w:cs="Times New Roman" w:eastAsia="Times New Roman" w:hAnsi="Times New Roman"/>
          <w:b/>
          <w:bCs/>
          <w:sz w:val="26"/>
          <w:szCs w:val="26"/>
        </w:rPr>
        <w:t xml:space="preserve">3.  Numerical Predictions</w:t>
      </w:r>
    </w:p>
    <w:p>
      <w:pPr>
        <w:pStyle w:val="Heading2"/>
        <w:spacing w:before="240" w:after="120"/>
      </w:pPr>
      <w:r>
        <w:rPr>
          <w:rFonts w:ascii="Times New Roman" w:cs="Times New Roman" w:eastAsia="Times New Roman" w:hAnsi="Times New Roman"/>
          <w:b/>
          <w:bCs/>
          <w:sz w:val="24"/>
          <w:szCs w:val="24"/>
        </w:rPr>
        <w:t xml:space="preserve">3.1  Earth Surface vs International Space Station</w:t>
      </w:r>
    </w:p>
    <w:p>
      <w:pPr>
        <w:spacing w:after="200"/>
        <w:jc w:val="both"/>
      </w:pPr>
      <w:r>
        <w:rPr>
          <w:rFonts w:ascii="Times New Roman" w:cs="Times New Roman" w:eastAsia="Times New Roman" w:hAnsi="Times New Roman"/>
          <w:sz w:val="24"/>
          <w:szCs w:val="24"/>
        </w:rPr>
        <w:t xml:space="preserve">We compute the predicted fractional improvement in coherence time between Earth surface and the International Space Station at altitude h = 400 km.</w:t>
      </w:r>
    </w:p>
    <w:p>
      <w:pPr>
        <w:spacing w:after="200"/>
        <w:jc w:val="both"/>
      </w:pPr>
      <w:r>
        <w:rPr>
          <w:rFonts w:ascii="Times New Roman" w:cs="Times New Roman" w:eastAsia="Times New Roman" w:hAnsi="Times New Roman"/>
          <w:sz w:val="24"/>
          <w:szCs w:val="24"/>
        </w:rPr>
        <w:t xml:space="preserve">Gravitational potential difference:</w:t>
      </w:r>
    </w:p>
    <w:p>
      <w:pPr>
        <w:spacing w:before="180" w:after="180"/>
        <w:jc w:val="center"/>
      </w:pPr>
      <w:r>
        <w:rPr>
          <w:rFonts w:ascii="Courier New" w:cs="Courier New" w:eastAsia="Courier New" w:hAnsi="Courier New"/>
          <w:b/>
          <w:bCs/>
          <w:sz w:val="22"/>
          <w:szCs w:val="22"/>
        </w:rPr>
        <w:t xml:space="preserve">delta_phi = GM/R_E - GM/(R_E + h) = 4.11 x 10^-11     (10)</w:t>
      </w:r>
    </w:p>
    <w:p>
      <w:pPr>
        <w:spacing w:after="200"/>
        <w:jc w:val="both"/>
      </w:pPr>
      <w:r>
        <w:rPr>
          <w:rFonts w:ascii="Times New Roman" w:cs="Times New Roman" w:eastAsia="Times New Roman" w:hAnsi="Times New Roman"/>
          <w:sz w:val="24"/>
          <w:szCs w:val="24"/>
        </w:rPr>
        <w:t xml:space="preserve">Fractional coherence time improvement (vacuum foam model):</w:t>
      </w:r>
    </w:p>
    <w:p>
      <w:pPr>
        <w:spacing w:before="180" w:after="180"/>
        <w:jc w:val="center"/>
      </w:pPr>
      <w:r>
        <w:rPr>
          <w:rFonts w:ascii="Courier New" w:cs="Courier New" w:eastAsia="Courier New" w:hAnsi="Courier New"/>
          <w:b/>
          <w:bCs/>
          <w:sz w:val="22"/>
          <w:szCs w:val="22"/>
        </w:rPr>
        <w:t xml:space="preserve">delta_tau / tau_0 = 2 * delta_phi = 8.22 x 10^-11     (11)</w:t>
      </w:r>
    </w:p>
    <w:p>
      <w:pPr>
        <w:spacing w:after="200"/>
        <w:jc w:val="both"/>
      </w:pPr>
      <w:r>
        <w:rPr>
          <w:rFonts w:ascii="Times New Roman" w:cs="Times New Roman" w:eastAsia="Times New Roman" w:hAnsi="Times New Roman"/>
          <w:sz w:val="24"/>
          <w:szCs w:val="24"/>
        </w:rPr>
        <w:t xml:space="preserve">Absolute improvement for different qubit technologies:</w:t>
      </w:r>
    </w:p>
    <w:p>
      <w:pPr>
        <w:spacing w:before="180" w:after="180"/>
        <w:jc w:val="center"/>
      </w:pPr>
      <w:r>
        <w:rPr>
          <w:rFonts w:ascii="Courier New" w:cs="Courier New" w:eastAsia="Courier New" w:hAnsi="Courier New"/>
          <w:b/>
          <w:bCs/>
          <w:sz w:val="22"/>
          <w:szCs w:val="22"/>
        </w:rPr>
        <w:t xml:space="preserve">Superconducting qubits (tau_0 ~ 1 ms):  delta_tau ~ 0.08 ps  [below current sensitivity]</w:t>
      </w:r>
    </w:p>
    <w:p>
      <w:pPr>
        <w:spacing w:before="180" w:after="180"/>
        <w:jc w:val="center"/>
      </w:pPr>
      <w:r>
        <w:rPr>
          <w:rFonts w:ascii="Courier New" w:cs="Courier New" w:eastAsia="Courier New" w:hAnsi="Courier New"/>
          <w:b/>
          <w:bCs/>
          <w:sz w:val="22"/>
          <w:szCs w:val="22"/>
        </w:rPr>
        <w:t xml:space="preserve">Trapped ion qubits  (tau_0 ~ 100 s):   delta_tau ~ 8.2 ns   [within reach of precision experiments]</w:t>
      </w:r>
    </w:p>
    <w:p>
      <w:pPr>
        <w:spacing w:after="200"/>
        <w:jc w:val="both"/>
      </w:pPr>
      <w:r>
        <w:rPr>
          <w:rFonts w:ascii="Times New Roman" w:cs="Times New Roman" w:eastAsia="Times New Roman" w:hAnsi="Times New Roman"/>
          <w:sz w:val="24"/>
          <w:szCs w:val="24"/>
        </w:rPr>
        <w:t xml:space="preserve">The Diosi-Penrose model predicts the opposite sign: coherence time should be shorter at higher altitude by a comparable magnitude. The two models therefore make predictions that differ by approximately 2 × 8.22 × 10⁻¹¹ = 1.64 × 10⁻¹⁰ fractionally — the combined separation of the two predictions.</w:t>
      </w:r>
    </w:p>
    <w:p>
      <w:r>
        <w:t xml:space="preserve"/>
      </w:r>
    </w:p>
    <w:p>
      <w:pPr>
        <w:pStyle w:val="Heading2"/>
        <w:spacing w:before="240" w:after="120"/>
      </w:pPr>
      <w:r>
        <w:rPr>
          <w:rFonts w:ascii="Times New Roman" w:cs="Times New Roman" w:eastAsia="Times New Roman" w:hAnsi="Times New Roman"/>
          <w:b/>
          <w:bCs/>
          <w:sz w:val="24"/>
          <w:szCs w:val="24"/>
        </w:rPr>
        <w:t xml:space="preserve">3.2  Scaling with Gravitational Potential</w:t>
      </w:r>
    </w:p>
    <w:p>
      <w:pPr>
        <w:spacing w:after="200"/>
        <w:jc w:val="both"/>
      </w:pPr>
      <w:r>
        <w:rPr>
          <w:rFonts w:ascii="Times New Roman" w:cs="Times New Roman" w:eastAsia="Times New Roman" w:hAnsi="Times New Roman"/>
          <w:sz w:val="24"/>
          <w:szCs w:val="24"/>
        </w:rPr>
        <w:t xml:space="preserve">The effect scales linearly with gravitational potential difference. Experiments at higher gravitational potential difference — lunar surface vs orbit, or deep gravitational wells — would produce proportionally larger signals. For a laboratory at altitude h₂ vs sea level h₁ = 0:</w:t>
      </w:r>
    </w:p>
    <w:p>
      <w:pPr>
        <w:spacing w:before="180" w:after="180"/>
        <w:jc w:val="center"/>
      </w:pPr>
      <w:r>
        <w:rPr>
          <w:rFonts w:ascii="Courier New" w:cs="Courier New" w:eastAsia="Courier New" w:hAnsi="Courier New"/>
          <w:b/>
          <w:bCs/>
          <w:sz w:val="22"/>
          <w:szCs w:val="22"/>
        </w:rPr>
        <w:t xml:space="preserve">delta_tau / tau_0 = 2 * G * M_E / c^2 * (1/R_E - 1/(R_E + h))     (12)</w:t>
      </w:r>
    </w:p>
    <w:p>
      <w:pPr>
        <w:spacing w:after="200"/>
        <w:jc w:val="both"/>
      </w:pPr>
      <w:r>
        <w:rPr>
          <w:rFonts w:ascii="Times New Roman" w:cs="Times New Roman" w:eastAsia="Times New Roman" w:hAnsi="Times New Roman"/>
          <w:sz w:val="24"/>
          <w:szCs w:val="24"/>
        </w:rPr>
        <w:t xml:space="preserve">At h = 1 km altitude: delta_tau/tau_0 = 2.18 × 10⁻¹³. This is below current sensitivity but establishes the gradient prediction for future experiments.</w:t>
      </w:r>
    </w:p>
    <w:p>
      <w:r>
        <w:t xml:space="preserve"/>
      </w:r>
    </w:p>
    <w:p>
      <w:pPr>
        <w:pStyle w:val="Heading1"/>
        <w:spacing w:before="360" w:after="180"/>
      </w:pPr>
      <w:r>
        <w:rPr>
          <w:rFonts w:ascii="Times New Roman" w:cs="Times New Roman" w:eastAsia="Times New Roman" w:hAnsi="Times New Roman"/>
          <w:b/>
          <w:bCs/>
          <w:sz w:val="26"/>
          <w:szCs w:val="26"/>
        </w:rPr>
        <w:t xml:space="preserve">4.  Experimental Protocol</w:t>
      </w:r>
    </w:p>
    <w:p>
      <w:pPr>
        <w:pStyle w:val="Heading2"/>
        <w:spacing w:before="240" w:after="120"/>
      </w:pPr>
      <w:r>
        <w:rPr>
          <w:rFonts w:ascii="Times New Roman" w:cs="Times New Roman" w:eastAsia="Times New Roman" w:hAnsi="Times New Roman"/>
          <w:b/>
          <w:bCs/>
          <w:sz w:val="24"/>
          <w:szCs w:val="24"/>
        </w:rPr>
        <w:t xml:space="preserve">4.1  Discrimination Test</w:t>
      </w:r>
    </w:p>
    <w:p>
      <w:pPr>
        <w:spacing w:after="200"/>
        <w:jc w:val="both"/>
      </w:pPr>
      <w:r>
        <w:rPr>
          <w:rFonts w:ascii="Times New Roman" w:cs="Times New Roman" w:eastAsia="Times New Roman" w:hAnsi="Times New Roman"/>
          <w:sz w:val="24"/>
          <w:szCs w:val="24"/>
        </w:rPr>
        <w:t xml:space="preserve">The minimal experimental requirement is a measurement of coherence time tau at two different gravitational potentials phi_1 &lt; phi_2 (phi_2 at greater height). Measure the ratio:</w:t>
      </w:r>
    </w:p>
    <w:p>
      <w:pPr>
        <w:spacing w:before="180" w:after="180"/>
        <w:jc w:val="center"/>
      </w:pPr>
      <w:r>
        <w:rPr>
          <w:rFonts w:ascii="Courier New" w:cs="Courier New" w:eastAsia="Courier New" w:hAnsi="Courier New"/>
          <w:b/>
          <w:bCs/>
          <w:sz w:val="22"/>
          <w:szCs w:val="22"/>
        </w:rPr>
        <w:t xml:space="preserve">R = tau(phi_2) / tau(phi_1)     (13)</w:t>
      </w:r>
    </w:p>
    <w:p>
      <w:pPr>
        <w:spacing w:after="200"/>
        <w:jc w:val="both"/>
      </w:pPr>
      <w:r>
        <w:rPr>
          <w:rFonts w:ascii="Times New Roman" w:cs="Times New Roman" w:eastAsia="Times New Roman" w:hAnsi="Times New Roman"/>
          <w:sz w:val="24"/>
          <w:szCs w:val="24"/>
        </w:rPr>
        <w:t xml:space="preserve">Vacuum foam model prediction: R &gt; 1 (coherence time longer at higher altitude).</w:t>
      </w:r>
    </w:p>
    <w:p>
      <w:pPr>
        <w:spacing w:after="200"/>
        <w:jc w:val="both"/>
      </w:pPr>
      <w:r>
        <w:rPr>
          <w:rFonts w:ascii="Times New Roman" w:cs="Times New Roman" w:eastAsia="Times New Roman" w:hAnsi="Times New Roman"/>
          <w:sz w:val="24"/>
          <w:szCs w:val="24"/>
        </w:rPr>
        <w:t xml:space="preserve">Diosi-Penrose model prediction: R &lt; 1 (coherence time shorter at higher altitude).</w:t>
      </w:r>
    </w:p>
    <w:p>
      <w:pPr>
        <w:spacing w:after="200"/>
        <w:jc w:val="both"/>
      </w:pPr>
      <w:r>
        <w:rPr>
          <w:rFonts w:ascii="Times New Roman" w:cs="Times New Roman" w:eastAsia="Times New Roman" w:hAnsi="Times New Roman"/>
          <w:sz w:val="24"/>
          <w:szCs w:val="24"/>
        </w:rPr>
        <w:t xml:space="preserve">A measurement of R with sufficient precision to determine its sign unambiguously constitutes a discrimination between the two models. The required precision is approximately 10⁻¹⁰ in fractional coherence time — within the projected capability of BECCAL [4] and STE-QUEST [5].</w:t>
      </w:r>
    </w:p>
    <w:p>
      <w:r>
        <w:t xml:space="preserve"/>
      </w:r>
    </w:p>
    <w:p>
      <w:pPr>
        <w:pStyle w:val="Heading2"/>
        <w:spacing w:before="240" w:after="120"/>
      </w:pPr>
      <w:r>
        <w:rPr>
          <w:rFonts w:ascii="Times New Roman" w:cs="Times New Roman" w:eastAsia="Times New Roman" w:hAnsi="Times New Roman"/>
          <w:b/>
          <w:bCs/>
          <w:sz w:val="24"/>
          <w:szCs w:val="24"/>
        </w:rPr>
        <w:t xml:space="preserve">4.2  Recommended Platform</w:t>
      </w:r>
    </w:p>
    <w:p>
      <w:pPr>
        <w:spacing w:after="200"/>
        <w:jc w:val="both"/>
      </w:pPr>
      <w:r>
        <w:rPr>
          <w:rFonts w:ascii="Times New Roman" w:cs="Times New Roman" w:eastAsia="Times New Roman" w:hAnsi="Times New Roman"/>
          <w:sz w:val="24"/>
          <w:szCs w:val="24"/>
        </w:rPr>
        <w:t xml:space="preserve">Trapped ion qubits are the preferred platform. Their coherence times of order 100 seconds produce absolute timing differences of approximately 8 nanoseconds between Earth surface and ISS altitude. This is more accessible than superconducting qubits at 1 millisecond coherence, which produce differences of order 0.08 picoseconds.</w:t>
      </w:r>
    </w:p>
    <w:p>
      <w:pPr>
        <w:spacing w:after="200"/>
        <w:jc w:val="both"/>
      </w:pPr>
      <w:r>
        <w:rPr>
          <w:rFonts w:ascii="Times New Roman" w:cs="Times New Roman" w:eastAsia="Times New Roman" w:hAnsi="Times New Roman"/>
          <w:sz w:val="24"/>
          <w:szCs w:val="24"/>
        </w:rPr>
        <w:t xml:space="preserve">The experiment requires: (1) identical trapped ion qubit systems at two altitudes; (2) coherence time measurement precision better than 1 nanosecond per 100 seconds; (3) systematic error budget that accounts for magnetic field differences, temperature differences, and vibrational noise between the two sites. The gravitational effect is the residual after all other systematic differences are subtracted.</w:t>
      </w:r>
    </w:p>
    <w:p>
      <w:pPr>
        <w:spacing w:after="200"/>
        <w:jc w:val="both"/>
      </w:pPr>
      <w:r>
        <w:rPr>
          <w:rFonts w:ascii="Times New Roman" w:cs="Times New Roman" w:eastAsia="Times New Roman" w:hAnsi="Times New Roman"/>
          <w:sz w:val="24"/>
          <w:szCs w:val="24"/>
        </w:rPr>
        <w:t xml:space="preserve">Space-based platforms avoid ground vibration noise and allow precise altitude control. The BECCAL facility on the International Space Station provides a suitable high-altitude platform. A complementary ground station provides the reference measurement.</w:t>
      </w:r>
    </w:p>
    <w:p>
      <w:r>
        <w:t xml:space="preserve"/>
      </w:r>
    </w:p>
    <w:p>
      <w:pPr>
        <w:pStyle w:val="Heading2"/>
        <w:spacing w:before="240" w:after="120"/>
      </w:pPr>
      <w:r>
        <w:rPr>
          <w:rFonts w:ascii="Times New Roman" w:cs="Times New Roman" w:eastAsia="Times New Roman" w:hAnsi="Times New Roman"/>
          <w:b/>
          <w:bCs/>
          <w:sz w:val="24"/>
          <w:szCs w:val="24"/>
        </w:rPr>
        <w:t xml:space="preserve">4.3  Additional Test — Void Decay Signature</w:t>
      </w:r>
    </w:p>
    <w:p>
      <w:pPr>
        <w:spacing w:after="200"/>
        <w:jc w:val="both"/>
      </w:pPr>
      <w:r>
        <w:rPr>
          <w:rFonts w:ascii="Times New Roman" w:cs="Times New Roman" w:eastAsia="Times New Roman" w:hAnsi="Times New Roman"/>
          <w:sz w:val="24"/>
          <w:szCs w:val="24"/>
        </w:rPr>
        <w:t xml:space="preserve">The unification of decoherence with void decay (Section 2.4) predicts a characteristic emission signature at each decoherence event — the foam's response to rapid void boundary erosion. This signature should be consistent in spectral profile across quantum decoherence events, sonoluminescence collapse events, and cavitation erosion events. If measurable, it constitutes an independent confirmation of the shared underlying mechanism, distinct from the coherence time measurement.</w:t>
      </w:r>
    </w:p>
    <w:p>
      <w:r>
        <w:t xml:space="preserve"/>
      </w:r>
    </w:p>
    <w:p>
      <w:pPr>
        <w:pStyle w:val="Heading1"/>
        <w:spacing w:before="360" w:after="180"/>
      </w:pPr>
      <w:r>
        <w:rPr>
          <w:rFonts w:ascii="Times New Roman" w:cs="Times New Roman" w:eastAsia="Times New Roman" w:hAnsi="Times New Roman"/>
          <w:b/>
          <w:bCs/>
          <w:sz w:val="26"/>
          <w:szCs w:val="26"/>
        </w:rPr>
        <w:t xml:space="preserve">5.  Discussion</w:t>
      </w:r>
    </w:p>
    <w:p>
      <w:pPr>
        <w:spacing w:after="200"/>
        <w:jc w:val="both"/>
      </w:pPr>
      <w:r>
        <w:rPr>
          <w:rFonts w:ascii="Times New Roman" w:cs="Times New Roman" w:eastAsia="Times New Roman" w:hAnsi="Times New Roman"/>
          <w:sz w:val="24"/>
          <w:szCs w:val="24"/>
        </w:rPr>
        <w:t xml:space="preserve">The vacuum foam model and the Diosi-Penrose model represent two physically distinct pictures of the relationship between gravity and quantum coherence. In DP, gravity actively promotes collapse of quantum superposition — stronger gravity means faster decoherence. In the vacuum foam model, gravity reduces the local vacuum density that drives decoherence — stronger gravity means slower decoherence. These are not minor quantitative differences but qualitatively opposite predictions arising from fundamentally different conceptions of what causes quantum-to-classical transition.</w:t>
      </w:r>
    </w:p>
    <w:p>
      <w:pPr>
        <w:spacing w:after="200"/>
        <w:jc w:val="both"/>
      </w:pPr>
      <w:r>
        <w:rPr>
          <w:rFonts w:ascii="Times New Roman" w:cs="Times New Roman" w:eastAsia="Times New Roman" w:hAnsi="Times New Roman"/>
          <w:sz w:val="24"/>
          <w:szCs w:val="24"/>
        </w:rPr>
        <w:t xml:space="preserve">The sign difference is experimentally distinguishable. Both models predict effects of comparable magnitude at accessible gravitational potential differences. The experiment is therefore not merely a precision measurement of a known effect but a qualitative discrimination between two competing physical mechanisms.</w:t>
      </w:r>
    </w:p>
    <w:p>
      <w:pPr>
        <w:spacing w:after="200"/>
        <w:jc w:val="both"/>
      </w:pPr>
      <w:r>
        <w:rPr>
          <w:rFonts w:ascii="Times New Roman" w:cs="Times New Roman" w:eastAsia="Times New Roman" w:hAnsi="Times New Roman"/>
          <w:sz w:val="24"/>
          <w:szCs w:val="24"/>
        </w:rPr>
        <w:t xml:space="preserve">The identification of decoherence as void boundary erosion (Section 2.4) provides a physical mechanism that standard decoherence theory does not offer. Standard environmental decoherence theory (Zurek [6], Joos and Zeh [7]) correctly predicts that macroscopic objects decohere rapidly and that environmental coupling drives the quantum-to-classical transition. The vacuum foam model is consistent with this — the environment creates void-pair imprints — but adds the substrate mechanism: the imprints are eroded by local vacuum bubble density, which is why the rate depends on gravitational potential.</w:t>
      </w:r>
    </w:p>
    <w:p>
      <w:pPr>
        <w:spacing w:after="200"/>
        <w:jc w:val="both"/>
      </w:pPr>
      <w:r>
        <w:rPr>
          <w:rFonts w:ascii="Times New Roman" w:cs="Times New Roman" w:eastAsia="Times New Roman" w:hAnsi="Times New Roman"/>
          <w:sz w:val="24"/>
          <w:szCs w:val="24"/>
        </w:rPr>
        <w:t xml:space="preserve">We note that the covariant derivation of equation (2) from quantum field theory in curved spacetime remains open work. The equation is consistent with the Schwarzschild metric and with established gravitational physics, but a full derivation from first principles within a covariant framework would strengthen the theoretical foundation considerably. We regard this as the primary open theoretical question for this model.</w:t>
      </w:r>
    </w:p>
    <w:p>
      <w:r>
        <w:t xml:space="preserve"/>
      </w:r>
    </w:p>
    <w:p>
      <w:pPr>
        <w:pStyle w:val="Heading1"/>
        <w:spacing w:before="360" w:after="180"/>
      </w:pPr>
      <w:r>
        <w:rPr>
          <w:rFonts w:ascii="Times New Roman" w:cs="Times New Roman" w:eastAsia="Times New Roman" w:hAnsi="Times New Roman"/>
          <w:b/>
          <w:bCs/>
          <w:sz w:val="26"/>
          <w:szCs w:val="26"/>
        </w:rPr>
        <w:t xml:space="preserve">6.  Conclusion</w:t>
      </w:r>
    </w:p>
    <w:p>
      <w:pPr>
        <w:spacing w:after="200"/>
        <w:jc w:val="both"/>
      </w:pPr>
      <w:r>
        <w:rPr>
          <w:rFonts w:ascii="Times New Roman" w:cs="Times New Roman" w:eastAsia="Times New Roman" w:hAnsi="Times New Roman"/>
          <w:sz w:val="24"/>
          <w:szCs w:val="24"/>
        </w:rPr>
        <w:t xml:space="preserve">We have presented a vacuum foam density model of quantum decoherence that predicts gravitational suppression of decoherence rates — the opposite sign to Diosi-Penrose. The key predictions are: (1) coherence time increases with altitude, fractionally by 8.22 × 10⁻¹¹ between Earth surface and ISS; (2) the sign of this effect discriminates between the two models; (3) decoherence and macroscopic void decay are the same physical process governed by the same equation. These predictions are testable with next-generation space-based atom interferometry platforms. The experiment requires no new technology — only sufficient precision in coherence time measurement at two altitudes to determine the sign of the gravitational correction.</w:t>
      </w:r>
    </w:p>
    <w:p>
      <w:r>
        <w:t xml:space="preserve"/>
      </w:r>
    </w:p>
    <w:p>
      <w:pPr>
        <w:pStyle w:val="Heading1"/>
        <w:spacing w:before="360" w:after="180"/>
      </w:pPr>
      <w:r>
        <w:rPr>
          <w:rFonts w:ascii="Times New Roman" w:cs="Times New Roman" w:eastAsia="Times New Roman" w:hAnsi="Times New Roman"/>
          <w:b/>
          <w:bCs/>
          <w:sz w:val="26"/>
          <w:szCs w:val="26"/>
        </w:rPr>
        <w:t xml:space="preserve">Acknowledgements</w:t>
      </w:r>
    </w:p>
    <w:p>
      <w:pPr>
        <w:spacing w:after="200"/>
        <w:jc w:val="both"/>
      </w:pPr>
      <w:r>
        <w:rPr>
          <w:rFonts w:ascii="Times New Roman" w:cs="Times New Roman" w:eastAsia="Times New Roman" w:hAnsi="Times New Roman"/>
          <w:sz w:val="24"/>
          <w:szCs w:val="24"/>
        </w:rPr>
        <w:t xml:space="preserve">The author thanks the broader physics community whose published work on decoherence theory, gravitational quantum effects, and atom interferometry formed the foundation for this analysis. Terrence Howard is acknowledged for the original intuition regarding the relationship between resonant frequencies and elemental structure, which informed the broader theoretical framework from which this paper derives.</w:t>
      </w:r>
    </w:p>
    <w:p>
      <w:r>
        <w:t xml:space="preserve"/>
      </w:r>
    </w:p>
    <w:p>
      <w:pPr>
        <w:pStyle w:val="Heading1"/>
        <w:spacing w:before="360" w:after="180"/>
      </w:pPr>
      <w:r>
        <w:rPr>
          <w:rFonts w:ascii="Times New Roman" w:cs="Times New Roman" w:eastAsia="Times New Roman" w:hAnsi="Times New Roman"/>
          <w:b/>
          <w:bCs/>
          <w:sz w:val="26"/>
          <w:szCs w:val="26"/>
        </w:rPr>
        <w:t xml:space="preserve">AI Assistance Disclosure</w:t>
      </w:r>
    </w:p>
    <w:p>
      <w:pPr>
        <w:spacing w:after="200"/>
        <w:jc w:val="both"/>
      </w:pPr>
      <w:r>
        <w:rPr>
          <w:rFonts w:ascii="Times New Roman" w:cs="Times New Roman" w:eastAsia="Times New Roman" w:hAnsi="Times New Roman"/>
          <w:sz w:val="24"/>
          <w:szCs w:val="24"/>
        </w:rPr>
        <w:t xml:space="preserve">The author used Claude (Anthropic) as a research and writing tool during the preparation of this work. All theoretical ideas, physical intuitions, and conceptual frameworks originate with the author. Claude was used for numerical verification, dimensional analysis, identification of connections to existing mathematical literature, and document preparation.</w:t>
      </w:r>
    </w:p>
    <w:p>
      <w:r>
        <w:t xml:space="preserve"/>
      </w:r>
    </w:p>
    <w:p>
      <w:pPr>
        <w:pStyle w:val="Heading1"/>
        <w:spacing w:before="360" w:after="180"/>
      </w:pPr>
      <w:r>
        <w:rPr>
          <w:rFonts w:ascii="Times New Roman" w:cs="Times New Roman" w:eastAsia="Times New Roman" w:hAnsi="Times New Roman"/>
          <w:b/>
          <w:bCs/>
          <w:sz w:val="26"/>
          <w:szCs w:val="26"/>
        </w:rPr>
        <w:t xml:space="preserve">References</w:t>
      </w:r>
    </w:p>
    <w:p>
      <w:pPr>
        <w:spacing w:after="12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Diosi, L. (1987). A universal master equation for the gravitational violation of quantum mechanics. Physics Letters A, 120(8), 377–381.</w:t>
      </w:r>
    </w:p>
    <w:p>
      <w:pPr>
        <w:spacing w:after="12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Penrose, R. (1996). On gravity's role in quantum state reduction. General Relativity and Gravitation, 28(5), 581–600.</w:t>
      </w:r>
    </w:p>
    <w:p>
      <w:pPr>
        <w:spacing w:after="12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Oppenheim, J., Sparaciari, C., Šoda, B., &amp; Weller-Davies, Z. (2023). Gravitationally induced decoherence vs space-time diffusion. Nature Communications, 14, 7910.</w:t>
      </w:r>
    </w:p>
    <w:p>
      <w:pPr>
        <w:spacing w:after="12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Frye, K., et al. (2021). The Bose-Einstein Condensate and Cold Atom Laboratory. EPJ Quantum Technology, 8, 1.</w:t>
      </w:r>
    </w:p>
    <w:p>
      <w:pPr>
        <w:spacing w:after="12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Aguilera, D. N., et al. (2014). STE-QUEST — Test of the Universality of Free Fall Using Cold Atom Interferometry. Classical and Quantum Gravity, 31, 115010.</w:t>
      </w:r>
    </w:p>
    <w:p>
      <w:pPr>
        <w:spacing w:after="12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Zurek, W. H. (2003). Decoherence, einselection, and the quantum origins of the classical. Reviews of Modern Physics, 75, 715.</w:t>
      </w:r>
    </w:p>
    <w:p>
      <w:pPr>
        <w:spacing w:after="12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Joos, E., &amp; Zeh, H. D. (1985). The emergence of classical properties through interaction with the environment. Zeitschrift für Physik B, 59(2), 223–243.</w:t>
      </w:r>
    </w:p>
    <w:p>
      <w:pPr>
        <w:spacing w:after="12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Schwarzschild, K. (1916). Über das Gravitationsfeld eines Massenpunktes nach der Einsteinschen Theorie. Sitzungsberichte der Königlich Preussischen Akademie der Wissenschaften, 189–196.</w:t>
      </w:r>
    </w:p>
    <w:p>
      <w:pPr>
        <w:spacing w:after="12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Planck, M. (1899). Über irreversible Strahlungsvorgänge. Sitzungsberichte der Königlich Preussischen Akademie der Wissenschaften, 5, 440–480.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Martin (2026)  —  Gravitational Suppression of Quantum Decoherence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2026-02-20T04:06:09.062Z</dcterms:created>
  <dcterms:modified xsi:type="dcterms:W3CDTF">2026-02-20T04:06:09.063Z</dcterms:modified>
</cp:coreProperties>
</file>

<file path=docProps/custom.xml><?xml version="1.0" encoding="utf-8"?>
<Properties xmlns="http://schemas.openxmlformats.org/officeDocument/2006/custom-properties" xmlns:vt="http://schemas.openxmlformats.org/officeDocument/2006/docPropsVTypes"/>
</file>