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sz w:val="22"/>
          <w:szCs w:val="22"/>
        </w:rPr>
        <w:t xml:space="preserve"/>
      </w:r>
    </w:p>
    <w:p>
      <w:pPr>
        <w:spacing w:after="80"/>
      </w:pPr>
      <w:r>
        <w:rPr>
          <w:rFonts w:ascii="Georgia" w:cs="Georgia" w:eastAsia="Georgia" w:hAnsi="Georgia"/>
          <w:sz w:val="22"/>
          <w:szCs w:val="22"/>
        </w:rPr>
        <w:t xml:space="preserve"/>
      </w:r>
    </w:p>
    <w:p>
      <w:pPr>
        <w:spacing w:after="80"/>
      </w:pPr>
      <w:r>
        <w:rPr>
          <w:rFonts w:ascii="Georgia" w:cs="Georgia" w:eastAsia="Georgia" w:hAnsi="Georgia"/>
          <w:sz w:val="22"/>
          <w:szCs w:val="22"/>
        </w:rPr>
        <w:t xml:space="preserve"/>
      </w:r>
    </w:p>
    <w:p>
      <w:pPr>
        <w:spacing w:after="40"/>
        <w:jc w:val="center"/>
      </w:pPr>
      <w:r>
        <w:rPr>
          <w:rFonts w:ascii="Arial" w:cs="Arial" w:eastAsia="Arial" w:hAnsi="Arial"/>
          <w:b/>
          <w:bCs/>
          <w:caps/>
          <w:color w:val="2E75B6"/>
          <w:sz w:val="24"/>
          <w:szCs w:val="24"/>
        </w:rPr>
        <w:t xml:space="preserve">UNIFIED FOAM FIELD THEORY</w:t>
      </w:r>
    </w:p>
    <w:p>
      <w:pPr>
        <w:spacing w:after="200"/>
        <w:jc w:val="center"/>
      </w:pPr>
      <w:r>
        <w:rPr>
          <w:rFonts w:ascii="Arial" w:cs="Arial" w:eastAsia="Arial" w:hAnsi="Arial"/>
          <w:color w:val="1A3A5C"/>
          <w:sz w:val="22"/>
          <w:szCs w:val="22"/>
        </w:rPr>
        <w:t xml:space="preserve">Complete Works — Luke Martin</w:t>
      </w:r>
    </w:p>
    <w:p>
      <w:pPr>
        <w:pBdr>
          <w:bottom w:val="single" w:color="2E75B6" w:sz="12" w:space="6"/>
        </w:pBdr>
        <w:spacing w:after="80"/>
        <w:jc w:val="center"/>
      </w:pPr>
    </w:p>
    <w:p>
      <w:pPr>
        <w:spacing w:after="80"/>
      </w:pPr>
      <w:r>
        <w:rPr>
          <w:rFonts w:ascii="Georgia" w:cs="Georgia" w:eastAsia="Georgia" w:hAnsi="Georgia"/>
          <w:sz w:val="22"/>
          <w:szCs w:val="22"/>
        </w:rPr>
        <w:t xml:space="preserve"/>
      </w:r>
    </w:p>
    <w:p>
      <w:pPr>
        <w:spacing w:after="80"/>
        <w:jc w:val="center"/>
      </w:pPr>
      <w:r>
        <w:rPr>
          <w:rFonts w:ascii="Arial" w:cs="Arial" w:eastAsia="Arial" w:hAnsi="Arial"/>
          <w:b/>
          <w:bCs/>
          <w:color w:val="1A3A5C"/>
          <w:sz w:val="48"/>
          <w:szCs w:val="48"/>
        </w:rPr>
        <w:t xml:space="preserve">PART XVII</w:t>
      </w:r>
    </w:p>
    <w:p>
      <w:pPr>
        <w:spacing w:after="120"/>
        <w:jc w:val="center"/>
      </w:pPr>
      <w:r>
        <w:rPr>
          <w:rFonts w:ascii="Georgia" w:cs="Georgia" w:eastAsia="Georgia" w:hAnsi="Georgia"/>
          <w:b/>
          <w:bCs/>
          <w:i/>
          <w:iCs/>
          <w:color w:val="1A3A5C"/>
          <w:sz w:val="32"/>
          <w:szCs w:val="32"/>
        </w:rPr>
        <w:t xml:space="preserve">Experimental Methodology: Theory to Apparatus</w:t>
      </w:r>
    </w:p>
    <w:p>
      <w:pPr>
        <w:spacing w:after="320"/>
        <w:jc w:val="center"/>
      </w:pPr>
      <w:r>
        <w:rPr>
          <w:rFonts w:ascii="Georgia" w:cs="Georgia" w:eastAsia="Georgia" w:hAnsi="Georgia"/>
          <w:color w:val="2E75B6"/>
          <w:sz w:val="28"/>
          <w:szCs w:val="28"/>
        </w:rPr>
        <w:t xml:space="preserve">The Millikan Oil Drop Experiment</w:t>
      </w:r>
    </w:p>
    <w:p>
      <w:pPr>
        <w:spacing w:after="80"/>
        <w:jc w:val="center"/>
      </w:pPr>
      <w:r>
        <w:rPr>
          <w:rFonts w:ascii="Georgia" w:cs="Georgia" w:eastAsia="Georgia" w:hAnsi="Georgia"/>
          <w:color w:val="2E75B6"/>
          <w:sz w:val="28"/>
          <w:szCs w:val="28"/>
        </w:rPr>
        <w:t xml:space="preserve">as a Model for Scientific Verification</w:t>
      </w:r>
    </w:p>
    <w:p>
      <w:pPr>
        <w:spacing w:after="80"/>
      </w:pPr>
      <w:r>
        <w:rPr>
          <w:rFonts w:ascii="Georgia" w:cs="Georgia" w:eastAsia="Georgia" w:hAnsi="Georgia"/>
          <w:sz w:val="22"/>
          <w:szCs w:val="22"/>
        </w:rPr>
        <w:t xml:space="preserve"/>
      </w:r>
    </w:p>
    <w:p>
      <w:pPr>
        <w:spacing w:after="80"/>
      </w:pPr>
      <w:r>
        <w:rPr>
          <w:rFonts w:ascii="Georgia" w:cs="Georgia" w:eastAsia="Georgia" w:hAnsi="Georgia"/>
          <w:sz w:val="22"/>
          <w:szCs w:val="22"/>
        </w:rPr>
        <w:t xml:space="preserve"/>
      </w:r>
    </w:p>
    <w:p>
      <w:pPr>
        <w:spacing w:after="40"/>
        <w:jc w:val="center"/>
      </w:pPr>
      <w:r>
        <w:rPr>
          <w:rFonts w:ascii="Georgia" w:cs="Georgia" w:eastAsia="Georgia" w:hAnsi="Georgia"/>
          <w:b/>
          <w:bCs/>
          <w:sz w:val="22"/>
          <w:szCs w:val="22"/>
        </w:rPr>
        <w:t xml:space="preserve">Primary source:</w:t>
      </w:r>
      <w:r>
        <w:rPr>
          <w:rFonts w:ascii="Georgia" w:cs="Georgia" w:eastAsia="Georgia" w:hAnsi="Georgia"/>
          <w:sz w:val="22"/>
          <w:szCs w:val="22"/>
        </w:rPr>
        <w:t xml:space="preserve">  R. A. Millikan, 'On the Elementary Electrical Charge</w:t>
      </w:r>
    </w:p>
    <w:p>
      <w:pPr>
        <w:spacing w:after="40"/>
        <w:jc w:val="center"/>
      </w:pPr>
      <w:r>
        <w:rPr>
          <w:rFonts w:ascii="Georgia" w:cs="Georgia" w:eastAsia="Georgia" w:hAnsi="Georgia"/>
          <w:sz w:val="22"/>
          <w:szCs w:val="22"/>
        </w:rPr>
        <w:t xml:space="preserve">and the Avogadro Constant,' Physical Review, Vol. 2, pp. 109–143, August 1913</w:t>
      </w:r>
    </w:p>
    <w:p>
      <w:pPr>
        <w:spacing w:after="40"/>
        <w:jc w:val="center"/>
      </w:pPr>
      <w:r>
        <w:rPr>
          <w:rFonts w:ascii="Georgia" w:cs="Georgia" w:eastAsia="Georgia" w:hAnsi="Georgia"/>
          <w:sz w:val="22"/>
          <w:szCs w:val="22"/>
        </w:rPr>
        <w:t xml:space="preserve">Ryerson Physical Laboratory, University of Chicago</w:t>
      </w:r>
    </w:p>
    <w:p>
      <w:pPr>
        <w:spacing w:after="40"/>
        <w:jc w:val="center"/>
      </w:pPr>
      <w:r>
        <w:rPr>
          <w:rFonts w:ascii="Georgia" w:cs="Georgia" w:eastAsia="Georgia" w:hAnsi="Georgia"/>
          <w:sz w:val="22"/>
          <w:szCs w:val="22"/>
        </w:rPr>
        <w:t xml:space="preserve">Nobel Prize in Physics, 1923</w:t>
      </w:r>
    </w:p>
    <w:p>
      <w:pPr>
        <w:spacing w:after="80"/>
      </w:pPr>
      <w:r>
        <w:rPr>
          <w:rFonts w:ascii="Georgia" w:cs="Georgia" w:eastAsia="Georgia" w:hAnsi="Georgia"/>
          <w:sz w:val="22"/>
          <w:szCs w:val="22"/>
        </w:rPr>
        <w:t xml:space="preserve"/>
      </w:r>
    </w:p>
    <w:p>
      <w:pPr>
        <w:spacing w:after="80"/>
      </w:pPr>
      <w:r>
        <w:rPr>
          <w:rFonts w:ascii="Georgia" w:cs="Georgia" w:eastAsia="Georgia" w:hAnsi="Georgia"/>
          <w:sz w:val="22"/>
          <w:szCs w:val="22"/>
        </w:rPr>
        <w:t xml:space="preserve"/>
      </w:r>
    </w:p>
    <w:p>
      <w:pPr>
        <w:spacing w:after="40"/>
        <w:jc w:val="center"/>
      </w:pPr>
      <w:r>
        <w:rPr>
          <w:rFonts w:ascii="Georgia" w:cs="Georgia" w:eastAsia="Georgia" w:hAnsi="Georgia"/>
          <w:b/>
          <w:bCs/>
          <w:color w:val="2E75B6"/>
          <w:sz w:val="22"/>
          <w:szCs w:val="22"/>
        </w:rPr>
        <w:t xml:space="preserve">Priority date: 20 February 2026</w:t>
      </w:r>
    </w:p>
    <w:p>
      <w:pPr>
        <w:spacing w:after="40"/>
        <w:jc w:val="center"/>
      </w:pPr>
      <w:r>
        <w:rPr>
          <w:rFonts w:ascii="Georgia" w:cs="Georgia" w:eastAsia="Georgia" w:hAnsi="Georgia"/>
          <w:i/>
          <w:iCs/>
          <w:color w:val="666666"/>
          <w:sz w:val="20"/>
          <w:szCs w:val="20"/>
        </w:rPr>
        <w:t xml:space="preserve">AI Disclosure: Developed in collaboration with Claude (Anthropic).</w:t>
      </w:r>
    </w:p>
    <w:p>
      <w:pPr>
        <w:spacing w:after="0"/>
        <w:jc w:val="center"/>
      </w:pPr>
      <w:r>
        <w:rPr>
          <w:rFonts w:ascii="Georgia" w:cs="Georgia" w:eastAsia="Georgia" w:hAnsi="Georgia"/>
          <w:i/>
          <w:iCs/>
          <w:color w:val="666666"/>
          <w:sz w:val="20"/>
          <w:szCs w:val="20"/>
        </w:rPr>
        <w:t xml:space="preserve">Ideas, theory, and direction: Luke Martin. AI role: mathematical checking, equation formatting, document structuring.</w:t>
      </w:r>
    </w:p>
    <w:p>
      <w:pPr>
        <w:spacing w:after="80"/>
      </w:pPr>
      <w:r>
        <w:rPr>
          <w:rFonts w:ascii="Georgia" w:cs="Georgia" w:eastAsia="Georgia" w:hAnsi="Georgia"/>
          <w:sz w:val="22"/>
          <w:szCs w:val="22"/>
        </w:rPr>
        <w:t xml:space="preserve"/>
      </w:r>
    </w:p>
    <w:p>
      <w:pPr>
        <w:spacing w:after="80"/>
      </w:pPr>
      <w:r>
        <w:rPr>
          <w:rFonts w:ascii="Georgia" w:cs="Georgia" w:eastAsia="Georgia" w:hAnsi="Georgia"/>
          <w:sz w:val="22"/>
          <w:szCs w:val="22"/>
        </w:rPr>
        <w:t xml:space="preserve"/>
      </w:r>
    </w:p>
    <w:p>
      <w:pPr>
        <w:spacing w:after="80"/>
      </w:pPr>
      <w:r>
        <w:rPr>
          <w:rFonts w:ascii="Georgia" w:cs="Georgia" w:eastAsia="Georgia" w:hAnsi="Georgia"/>
          <w:sz w:val="22"/>
          <w:szCs w:val="22"/>
        </w:rPr>
        <w:t xml:space="preserve"/>
      </w:r>
    </w:p>
    <w:p>
      <w:pPr>
        <w:pBdr>
          <w:bottom w:val="single" w:color="2E75B6" w:sz="6" w:space="6"/>
        </w:pBdr>
        <w:spacing w:after="80"/>
        <w:jc w:val="center"/>
      </w:pPr>
    </w:p>
    <w:p>
      <w:pPr>
        <w:pStyle w:val="Heading1"/>
        <w:pBdr>
          <w:bottom w:val="single" w:color="2E75B6" w:sz="4" w:space="4"/>
        </w:pBdr>
        <w:spacing w:before="360" w:after="160"/>
      </w:pPr>
      <w:r>
        <w:rPr>
          <w:rFonts w:ascii="Arial" w:cs="Arial" w:eastAsia="Arial" w:hAnsi="Arial"/>
          <w:b/>
          <w:bCs/>
          <w:color w:val="1A3A5C"/>
          <w:sz w:val="28"/>
          <w:szCs w:val="28"/>
        </w:rPr>
        <w:t xml:space="preserve">Why This Experiment</w:t>
      </w:r>
    </w:p>
    <w:p>
      <w:pPr>
        <w:spacing w:after="160" w:line="276" w:lineRule="auto"/>
      </w:pPr>
      <w:r>
        <w:rPr>
          <w:rFonts w:ascii="Georgia" w:cs="Georgia" w:eastAsia="Georgia" w:hAnsi="Georgia"/>
          <w:sz w:val="22"/>
          <w:szCs w:val="22"/>
        </w:rPr>
        <w:t xml:space="preserve">The Millikan oil drop experiment (1909–1913) is the ideal template for understanding how a physical theory moves from mathematical conjecture to verified measurement. It has a clean, inspectable separation between three layers: the theoretical framework, the mathematical derivation, and the engineered apparatus. Every design decision in the physical setup is documented in Millikan's own 1913 Physical Review paper.</w:t>
      </w:r>
    </w:p>
    <w:p>
      <w:pPr>
        <w:spacing w:after="160" w:line="276" w:lineRule="auto"/>
      </w:pPr>
      <w:r>
        <w:rPr>
          <w:rFonts w:ascii="Georgia" w:cs="Georgia" w:eastAsia="Georgia" w:hAnsi="Georgia"/>
          <w:sz w:val="22"/>
          <w:szCs w:val="22"/>
        </w:rPr>
        <w:t xml:space="preserve">The result is unambiguous — charge arrives in integer multiples of one unit — and there is a known correct answer to compare against. It also contains a deliberate historical systematic error (an incorrect air viscosity value) that was not corrected for decades, making it an ideal lesson in how apparatus calibration, not theory, often determines experimental accuracy.</w:t>
      </w:r>
    </w:p>
    <w:p>
      <w:pPr>
        <w:spacing w:after="8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2E75B6" w:val="clear"/>
            <w:tcMar>
              <w:top w:type="dxa" w:w="100"/>
              <w:left w:type="dxa" w:w="140"/>
              <w:bottom w:type="dxa" w:w="100"/>
              <w:right w:type="dxa" w:w="80"/>
            </w:tcMar>
          </w:tcPr>
          <w:p>
            <w:pPr>
              <w:jc w:val="center"/>
            </w:pPr>
            <w:r>
              <w:rPr>
                <w:rFonts w:ascii="Arial" w:cs="Arial" w:eastAsia="Arial" w:hAnsi="Arial"/>
                <w:b/>
                <w:bCs/>
                <w:color w:val="FFFFFF"/>
                <w:sz w:val="22"/>
                <w:szCs w:val="22"/>
              </w:rPr>
              <w:t xml:space="preserve">Source</w:t>
            </w:r>
          </w:p>
        </w:tc>
        <w:tc>
          <w:tcPr>
            <w:tcW w:type="dxa" w:w="8720"/>
            <w:tcBorders>
              <w:top w:val="none"/>
              <w:left w:val="none"/>
              <w:bottom w:val="none"/>
              <w:right w:val="none"/>
            </w:tcBorders>
            <w:shd w:fill="EAF4FB" w:val="clear"/>
            <w:tcMar>
              <w:top w:type="dxa" w:w="100"/>
              <w:left w:type="dxa" w:w="160"/>
              <w:bottom w:type="dxa" w:w="100"/>
              <w:right w:type="dxa" w:w="140"/>
            </w:tcMar>
          </w:tcPr>
          <w:p>
            <w:r>
              <w:rPr>
                <w:rFonts w:ascii="Georgia" w:cs="Georgia" w:eastAsia="Georgia" w:hAnsi="Georgia"/>
                <w:sz w:val="21"/>
                <w:szCs w:val="21"/>
              </w:rPr>
              <w:t xml:space="preserve">R. A. Millikan, 'On the Elementary Electrical Charge and the Avogadro Constant,' Physical Review, Vol. 2, pp. 109–143, August 1913. Apparatus built at Ryerson Physical Laboratory, University of Chicago. Nobel Prize in Physics awarded 1923.</w:t>
            </w:r>
          </w:p>
        </w:tc>
      </w:tr>
    </w:tbl>
    <w:p>
      <w:pPr>
        <w:spacing w:after="80"/>
      </w:pPr>
      <w:r>
        <w:rPr>
          <w:rFonts w:ascii="Georgia" w:cs="Georgia" w:eastAsia="Georgia" w:hAnsi="Georgia"/>
          <w:sz w:val="22"/>
          <w:szCs w:val="22"/>
        </w:rPr>
        <w:t xml:space="preserve"/>
      </w:r>
    </w:p>
    <w:p>
      <w:pPr>
        <w:pBdr>
          <w:bottom w:val="single" w:color="2E75B6" w:sz="6" w:space="1"/>
        </w:pBdr>
        <w:spacing w:before="200" w:after="200"/>
      </w:pPr>
      <w:r>
        <w:rPr>
          <w:rFonts w:ascii="Georgia" w:cs="Georgia" w:eastAsia="Georgia" w:hAnsi="Georgia"/>
          <w:sz w:val="22"/>
          <w:szCs w:val="22"/>
        </w:rPr>
        <w:t xml:space="preserve"/>
      </w:r>
    </w:p>
    <w:p>
      <w:pPr>
        <w:pStyle w:val="Heading1"/>
        <w:pBdr>
          <w:bottom w:val="single" w:color="2E75B6" w:sz="4" w:space="4"/>
        </w:pBdr>
        <w:spacing w:before="360" w:after="160"/>
      </w:pPr>
      <w:r>
        <w:rPr>
          <w:rFonts w:ascii="Arial" w:cs="Arial" w:eastAsia="Arial" w:hAnsi="Arial"/>
          <w:b/>
          <w:bCs/>
          <w:color w:val="1A3A5C"/>
          <w:sz w:val="28"/>
          <w:szCs w:val="28"/>
        </w:rPr>
        <w:t xml:space="preserve">Layer 1 — The Theory</w:t>
      </w:r>
    </w:p>
    <w:p>
      <w:pPr>
        <w:spacing w:after="160" w:line="276" w:lineRule="auto"/>
      </w:pPr>
      <w:r>
        <w:rPr>
          <w:rFonts w:ascii="Georgia" w:cs="Georgia" w:eastAsia="Georgia" w:hAnsi="Georgia"/>
          <w:sz w:val="22"/>
          <w:szCs w:val="22"/>
        </w:rPr>
        <w:t xml:space="preserve">Thomson (1897) had demonstrated the electron's existence and measured its charge-to-mass ratio e/m. What remained unknown was the charge e itself. The foundational question was whether electric charge was continuous or came in discrete, indivisible packets.</w:t>
      </w:r>
    </w:p>
    <w:p>
      <w:pPr>
        <w:spacing w:after="160" w:line="276" w:lineRule="auto"/>
      </w:pPr>
      <w:r>
        <w:rPr>
          <w:rFonts w:ascii="Georgia" w:cs="Georgia" w:eastAsia="Georgia" w:hAnsi="Georgia"/>
          <w:sz w:val="22"/>
          <w:szCs w:val="22"/>
        </w:rPr>
        <w:t xml:space="preserve">Lorentz and others had established that if a single charged particle could be isolated and subjected to a known electric force, its charge could be measured directly. The theoretical chain required three pre-existing results:</w:t>
      </w:r>
    </w:p>
    <w:p>
      <w:pPr>
        <w:spacing w:after="8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80"/>
        <w:gridCol w:w="288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Pre-existing Law</w:t>
            </w:r>
          </w:p>
        </w:tc>
        <w:tc>
          <w:tcPr>
            <w:tcW w:type="dxa" w:w="3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Statement</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Role in Experiment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Coulomb's Law (1785)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Electric force F = qE on charge q in field 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Relates charge to measurable force</w:t>
            </w:r>
          </w:p>
        </w:tc>
      </w:tr>
      <w:tr>
        <w:trPr>
          <w:tblHeader w:val="false"/>
        </w:trPr>
        <w:tc>
          <w:tcPr>
            <w:tcW w:type="dxa" w:w="3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Newton's Second Law</w:t>
            </w:r>
          </w:p>
        </w:tc>
        <w:tc>
          <w:tcPr>
            <w:tcW w:type="dxa" w:w="32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At terminal velocity, net force is zero</w:t>
            </w:r>
          </w:p>
        </w:tc>
        <w:tc>
          <w:tcPr>
            <w:tcW w:type="dxa" w:w="28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Converts dynamics to statics — no acceleration needed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Stokes' Law (1851)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Drag on sphere: F_drag = 6πηav</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Connects observable velocity to drop radius and charge</w:t>
            </w:r>
          </w:p>
        </w:tc>
      </w:tr>
    </w:tbl>
    <w:p>
      <w:pPr>
        <w:spacing w:after="80"/>
      </w:pPr>
      <w:r>
        <w:rPr>
          <w:rFonts w:ascii="Georgia" w:cs="Georgia" w:eastAsia="Georgia" w:hAnsi="Georgia"/>
          <w:sz w:val="22"/>
          <w:szCs w:val="22"/>
        </w:rPr>
        <w:t xml:space="preserve"/>
      </w:r>
    </w:p>
    <w:p>
      <w:pPr>
        <w:spacing w:after="160" w:line="276" w:lineRule="auto"/>
      </w:pPr>
      <w:r>
        <w:rPr>
          <w:rFonts w:ascii="Georgia" w:cs="Georgia" w:eastAsia="Georgia" w:hAnsi="Georgia"/>
          <w:sz w:val="22"/>
          <w:szCs w:val="22"/>
        </w:rPr>
        <w:t xml:space="preserve">The insight was to measure velocities, not forces directly, allowing all the unknowns to cancel into a single solvable expression for charge.</w:t>
      </w:r>
    </w:p>
    <w:p>
      <w:pPr>
        <w:pBdr>
          <w:bottom w:val="single" w:color="2E75B6" w:sz="6" w:space="1"/>
        </w:pBdr>
        <w:spacing w:before="200" w:after="200"/>
      </w:pPr>
      <w:r>
        <w:rPr>
          <w:rFonts w:ascii="Georgia" w:cs="Georgia" w:eastAsia="Georgia" w:hAnsi="Georgia"/>
          <w:sz w:val="22"/>
          <w:szCs w:val="22"/>
        </w:rPr>
        <w:t xml:space="preserve"/>
      </w:r>
    </w:p>
    <w:p>
      <w:pPr>
        <w:pStyle w:val="Heading1"/>
        <w:pBdr>
          <w:bottom w:val="single" w:color="2E75B6" w:sz="4" w:space="4"/>
        </w:pBdr>
        <w:spacing w:before="360" w:after="160"/>
      </w:pPr>
      <w:r>
        <w:rPr>
          <w:rFonts w:ascii="Arial" w:cs="Arial" w:eastAsia="Arial" w:hAnsi="Arial"/>
          <w:b/>
          <w:bCs/>
          <w:color w:val="1A3A5C"/>
          <w:sz w:val="28"/>
          <w:szCs w:val="28"/>
        </w:rPr>
        <w:t xml:space="preserve">Layer 2 — The Mathematics</w:t>
      </w:r>
    </w:p>
    <w:p>
      <w:pPr>
        <w:spacing w:after="160" w:line="276" w:lineRule="auto"/>
      </w:pPr>
      <w:r>
        <w:rPr>
          <w:rFonts w:ascii="Georgia" w:cs="Georgia" w:eastAsia="Georgia" w:hAnsi="Georgia"/>
          <w:sz w:val="22"/>
          <w:szCs w:val="22"/>
        </w:rPr>
        <w:t xml:space="preserve">The calculation proceeds in three steps. Step 1 determines the drop's radius from its free-fall behaviour. Step 2 uses that radius to extract the charge from the rise behaviour with the electric field on. Step 3 finds the elementary charge by identifying the common factor across many drops.</w:t>
      </w:r>
    </w:p>
    <w:p>
      <w:pPr>
        <w:spacing w:after="80"/>
      </w:pPr>
      <w:r>
        <w:rPr>
          <w:rFonts w:ascii="Georgia" w:cs="Georgia" w:eastAsia="Georgia" w:hAnsi="Georgia"/>
          <w:sz w:val="22"/>
          <w:szCs w:val="22"/>
        </w:rPr>
        <w:t xml:space="preserve"/>
      </w:r>
    </w:p>
    <w:p>
      <w:pPr>
        <w:pStyle w:val="Heading2"/>
        <w:spacing w:before="280" w:after="120"/>
      </w:pPr>
      <w:r>
        <w:rPr>
          <w:rFonts w:ascii="Arial" w:cs="Arial" w:eastAsia="Arial" w:hAnsi="Arial"/>
          <w:b/>
          <w:bCs/>
          <w:color w:val="2E75B6"/>
          <w:sz w:val="24"/>
          <w:szCs w:val="24"/>
        </w:rPr>
        <w:t xml:space="preserve">Step 1: Determine Drop Radius from Free Fall</w:t>
      </w:r>
    </w:p>
    <w:p>
      <w:pPr>
        <w:spacing w:after="160" w:line="276" w:lineRule="auto"/>
      </w:pPr>
      <w:r>
        <w:rPr>
          <w:rFonts w:ascii="Georgia" w:cs="Georgia" w:eastAsia="Georgia" w:hAnsi="Georgia"/>
          <w:sz w:val="22"/>
          <w:szCs w:val="22"/>
        </w:rPr>
        <w:t xml:space="preserve">With no electric field applied, the drop falls under gravity opposed by air drag and buoyancy. At terminal velocity, all forces balance:</w:t>
      </w:r>
    </w:p>
    <w:p>
      <w:pPr>
        <w:shd w:fill="F5F5F5" w:val="clear"/>
        <w:spacing w:before="120" w:after="120"/>
        <w:ind w:left="720"/>
      </w:pPr>
      <w:r>
        <w:rPr>
          <w:rFonts w:ascii="Courier New" w:cs="Courier New" w:eastAsia="Courier New" w:hAnsi="Courier New"/>
          <w:sz w:val="20"/>
          <w:szCs w:val="20"/>
        </w:rPr>
        <w:t xml:space="preserve">(4/3)πa³(ρ_oil − ρ_air)g  =  6πηa · v_fall</w:t>
      </w:r>
    </w:p>
    <w:p>
      <w:pPr>
        <w:spacing w:after="160" w:line="276" w:lineRule="auto"/>
      </w:pPr>
      <w:r>
        <w:rPr>
          <w:rFonts w:ascii="Georgia" w:cs="Georgia" w:eastAsia="Georgia" w:hAnsi="Georgia"/>
          <w:sz w:val="22"/>
          <w:szCs w:val="22"/>
        </w:rPr>
        <w:t xml:space="preserve">Solving for radius a gives:</w:t>
      </w:r>
    </w:p>
    <w:p>
      <w:pPr>
        <w:shd w:fill="F5F5F5" w:val="clear"/>
        <w:spacing w:before="120" w:after="120"/>
        <w:ind w:left="720"/>
      </w:pPr>
      <w:r>
        <w:rPr>
          <w:rFonts w:ascii="Courier New" w:cs="Courier New" w:eastAsia="Courier New" w:hAnsi="Courier New"/>
          <w:sz w:val="20"/>
          <w:szCs w:val="20"/>
        </w:rPr>
        <w:t xml:space="preserve">a  =  sqrt[ 9η·v_fall / 2(ρ_oil − ρ_air)g ]</w:t>
      </w:r>
    </w:p>
    <w:p>
      <w:pPr>
        <w:spacing w:after="160" w:line="276" w:lineRule="auto"/>
      </w:pPr>
      <w:r>
        <w:rPr>
          <w:rFonts w:ascii="Georgia" w:cs="Georgia" w:eastAsia="Georgia" w:hAnsi="Georgia"/>
          <w:sz w:val="22"/>
          <w:szCs w:val="22"/>
        </w:rPr>
        <w:t xml:space="preserve">Millikan added the Cunningham correction to Stokes' law, necessary because air is not a continuous fluid at the micron scale of the drops. The corrected drag force is:</w:t>
      </w:r>
    </w:p>
    <w:p>
      <w:pPr>
        <w:shd w:fill="F5F5F5" w:val="clear"/>
        <w:spacing w:before="120" w:after="120"/>
        <w:ind w:left="720"/>
      </w:pPr>
      <w:r>
        <w:rPr>
          <w:rFonts w:ascii="Courier New" w:cs="Courier New" w:eastAsia="Courier New" w:hAnsi="Courier New"/>
          <w:sz w:val="20"/>
          <w:szCs w:val="20"/>
        </w:rPr>
        <w:t xml:space="preserve">F_drag  =  6πηav / (1 + b/pa)</w:t>
      </w:r>
    </w:p>
    <w:p>
      <w:pPr>
        <w:spacing w:after="160" w:line="276" w:lineRule="auto"/>
      </w:pPr>
      <w:r>
        <w:rPr>
          <w:rFonts w:ascii="Georgia" w:cs="Georgia" w:eastAsia="Georgia" w:hAnsi="Georgia"/>
          <w:sz w:val="22"/>
          <w:szCs w:val="22"/>
        </w:rPr>
        <w:t xml:space="preserve">where p is air pressure and b = 7.88 × 10⁻³ Pa·m is an empirically measured constant. This correction makes the quadratic equation for a slightly more complex but solvable.</w:t>
      </w:r>
    </w:p>
    <w:p>
      <w:pPr>
        <w:spacing w:after="8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2E75B6" w:val="clear"/>
            <w:tcMar>
              <w:top w:type="dxa" w:w="100"/>
              <w:left w:type="dxa" w:w="140"/>
              <w:bottom w:type="dxa" w:w="100"/>
              <w:right w:type="dxa" w:w="80"/>
            </w:tcMar>
          </w:tcPr>
          <w:p>
            <w:pPr>
              <w:jc w:val="center"/>
            </w:pPr>
            <w:r>
              <w:rPr>
                <w:rFonts w:ascii="Arial" w:cs="Arial" w:eastAsia="Arial" w:hAnsi="Arial"/>
                <w:b/>
                <w:bCs/>
                <w:color w:val="FFFFFF"/>
                <w:sz w:val="22"/>
                <w:szCs w:val="22"/>
              </w:rPr>
              <w:t xml:space="preserve">Drop 6</w:t>
            </w:r>
          </w:p>
        </w:tc>
        <w:tc>
          <w:tcPr>
            <w:tcW w:type="dxa" w:w="8720"/>
            <w:tcBorders>
              <w:top w:val="none"/>
              <w:left w:val="none"/>
              <w:bottom w:val="none"/>
              <w:right w:val="none"/>
            </w:tcBorders>
            <w:shd w:fill="EAF4FB" w:val="clear"/>
            <w:tcMar>
              <w:top w:type="dxa" w:w="100"/>
              <w:left w:type="dxa" w:w="160"/>
              <w:bottom w:type="dxa" w:w="100"/>
              <w:right w:type="dxa" w:w="140"/>
            </w:tcMar>
          </w:tcPr>
          <w:p>
            <w:r>
              <w:rPr>
                <w:rFonts w:ascii="Georgia" w:cs="Georgia" w:eastAsia="Georgia" w:hAnsi="Georgia"/>
                <w:sz w:val="21"/>
                <w:szCs w:val="21"/>
              </w:rPr>
              <w:t xml:space="preserve">Corrected radius: a = 2.785 μm. Uncorrected: 2.824 μm. Difference: 1.4% — matters at Millikan's claimed 0.2% precision.</w:t>
            </w:r>
          </w:p>
        </w:tc>
      </w:tr>
    </w:tbl>
    <w:p>
      <w:pPr>
        <w:spacing w:after="80"/>
      </w:pPr>
      <w:r>
        <w:rPr>
          <w:rFonts w:ascii="Georgia" w:cs="Georgia" w:eastAsia="Georgia" w:hAnsi="Georgia"/>
          <w:sz w:val="22"/>
          <w:szCs w:val="22"/>
        </w:rPr>
        <w:t xml:space="preserve"/>
      </w:r>
    </w:p>
    <w:p>
      <w:pPr>
        <w:pStyle w:val="Heading2"/>
        <w:spacing w:before="280" w:after="120"/>
      </w:pPr>
      <w:r>
        <w:rPr>
          <w:rFonts w:ascii="Arial" w:cs="Arial" w:eastAsia="Arial" w:hAnsi="Arial"/>
          <w:b/>
          <w:bCs/>
          <w:color w:val="2E75B6"/>
          <w:sz w:val="24"/>
          <w:szCs w:val="24"/>
        </w:rPr>
        <w:t xml:space="preserve">Step 2: Determine Charge from Rise Velocity</w:t>
      </w:r>
    </w:p>
    <w:p>
      <w:pPr>
        <w:spacing w:after="160" w:line="276" w:lineRule="auto"/>
      </w:pPr>
      <w:r>
        <w:rPr>
          <w:rFonts w:ascii="Georgia" w:cs="Georgia" w:eastAsia="Georgia" w:hAnsi="Georgia"/>
          <w:sz w:val="22"/>
          <w:szCs w:val="22"/>
        </w:rPr>
        <w:t xml:space="preserve">With the electric field E switched on, the drop rises against gravity. At terminal velocity upward:</w:t>
      </w:r>
    </w:p>
    <w:p>
      <w:pPr>
        <w:shd w:fill="F5F5F5" w:val="clear"/>
        <w:spacing w:before="120" w:after="120"/>
        <w:ind w:left="720"/>
      </w:pPr>
      <w:r>
        <w:rPr>
          <w:rFonts w:ascii="Courier New" w:cs="Courier New" w:eastAsia="Courier New" w:hAnsi="Courier New"/>
          <w:sz w:val="20"/>
          <w:szCs w:val="20"/>
        </w:rPr>
        <w:t xml:space="preserve">qE  =  (4/3)πa³(ρ_oil − ρ_air)g  +  6πηa(v_fall + v_rise)</w:t>
      </w:r>
    </w:p>
    <w:p>
      <w:pPr>
        <w:spacing w:after="160" w:line="276" w:lineRule="auto"/>
      </w:pPr>
      <w:r>
        <w:rPr>
          <w:rFonts w:ascii="Georgia" w:cs="Georgia" w:eastAsia="Georgia" w:hAnsi="Georgia"/>
          <w:sz w:val="22"/>
          <w:szCs w:val="22"/>
        </w:rPr>
        <w:t xml:space="preserve">Since the radius a is already known from Step 1, solving for charge q gives:</w:t>
      </w:r>
    </w:p>
    <w:p>
      <w:pPr>
        <w:shd w:fill="F5F5F5" w:val="clear"/>
        <w:spacing w:before="120" w:after="120"/>
        <w:ind w:left="720"/>
      </w:pPr>
      <w:r>
        <w:rPr>
          <w:rFonts w:ascii="Courier New" w:cs="Courier New" w:eastAsia="Courier New" w:hAnsi="Courier New"/>
          <w:sz w:val="20"/>
          <w:szCs w:val="20"/>
        </w:rPr>
        <w:t xml:space="preserve">q  =  6πηa(v_fall + v_rise) / E</w:t>
      </w:r>
    </w:p>
    <w:p>
      <w:pPr>
        <w:spacing w:after="160" w:line="276" w:lineRule="auto"/>
      </w:pPr>
      <w:r>
        <w:rPr>
          <w:rFonts w:ascii="Georgia" w:cs="Georgia" w:eastAsia="Georgia" w:hAnsi="Georgia"/>
          <w:sz w:val="22"/>
          <w:szCs w:val="22"/>
        </w:rPr>
        <w:t xml:space="preserve">The sum (v_fall + v_rise) appears because both fall and rise involve drag in opposite directions, and combining them eliminates the need to know the drop's weight independently. The electric field E = V/d where V is the applied voltage and d is the plate separation.</w:t>
      </w:r>
    </w:p>
    <w:p>
      <w:pPr>
        <w:spacing w:after="80"/>
      </w:pPr>
      <w:r>
        <w:rPr>
          <w:rFonts w:ascii="Georgia" w:cs="Georgia" w:eastAsia="Georgia" w:hAnsi="Georgia"/>
          <w:sz w:val="22"/>
          <w:szCs w:val="22"/>
        </w:rPr>
        <w:t xml:space="preserve"/>
      </w:r>
    </w:p>
    <w:p>
      <w:pPr>
        <w:pStyle w:val="Heading2"/>
        <w:spacing w:before="280" w:after="120"/>
      </w:pPr>
      <w:r>
        <w:rPr>
          <w:rFonts w:ascii="Arial" w:cs="Arial" w:eastAsia="Arial" w:hAnsi="Arial"/>
          <w:b/>
          <w:bCs/>
          <w:color w:val="2E75B6"/>
          <w:sz w:val="24"/>
          <w:szCs w:val="24"/>
        </w:rPr>
        <w:t xml:space="preserve">Step 3: Extract Elementary Charge by Greatest Common Divisor</w:t>
      </w:r>
    </w:p>
    <w:p>
      <w:pPr>
        <w:spacing w:after="160" w:line="276" w:lineRule="auto"/>
      </w:pPr>
      <w:r>
        <w:rPr>
          <w:rFonts w:ascii="Georgia" w:cs="Georgia" w:eastAsia="Georgia" w:hAnsi="Georgia"/>
          <w:sz w:val="22"/>
          <w:szCs w:val="22"/>
        </w:rPr>
        <w:t xml:space="preserve">The procedure is repeated across many drops with different charge states. Each drop carries an integer n of elementary charges: q = n·e. Millikan observed that every measured charge value was a whole-number multiple of a single base unit. By finding the greatest common divisor of all measured charge values across 58 drops over 60 consecutive days, he extracted e.</w:t>
      </w:r>
    </w:p>
    <w:p>
      <w:pPr>
        <w:spacing w:after="8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Result</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Millikan's published value (1913)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e = 1.592 × 10⁻¹⁹ C</w:t>
            </w:r>
          </w:p>
        </w:tc>
      </w:tr>
      <w:tr>
        <w:trPr>
          <w:tblHeader w:val="false"/>
        </w:trP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Accepted value (2019 SI definition)</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e = 1.602176634 × 10⁻¹⁹ C</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Discrepancy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0.63% — caused entirely by viscosity table error</w:t>
            </w:r>
          </w:p>
        </w:tc>
      </w:tr>
    </w:tbl>
    <w:p>
      <w:pPr>
        <w:spacing w:after="80"/>
      </w:pPr>
      <w:r>
        <w:rPr>
          <w:rFonts w:ascii="Georgia" w:cs="Georgia" w:eastAsia="Georgia" w:hAnsi="Georgia"/>
          <w:sz w:val="22"/>
          <w:szCs w:val="22"/>
        </w:rPr>
        <w:t xml:space="preserve"/>
      </w:r>
    </w:p>
    <w:p>
      <w:pPr>
        <w:pBdr>
          <w:bottom w:val="single" w:color="2E75B6" w:sz="6" w:space="1"/>
        </w:pBdr>
        <w:spacing w:before="200" w:after="200"/>
      </w:pPr>
      <w:r>
        <w:rPr>
          <w:rFonts w:ascii="Georgia" w:cs="Georgia" w:eastAsia="Georgia" w:hAnsi="Georgia"/>
          <w:sz w:val="22"/>
          <w:szCs w:val="22"/>
        </w:rPr>
        <w:t xml:space="preserve"/>
      </w:r>
    </w:p>
    <w:p>
      <w:pPr>
        <w:pStyle w:val="Heading1"/>
        <w:pBdr>
          <w:bottom w:val="single" w:color="2E75B6" w:sz="4" w:space="4"/>
        </w:pBdr>
        <w:spacing w:before="360" w:after="160"/>
      </w:pPr>
      <w:r>
        <w:rPr>
          <w:rFonts w:ascii="Arial" w:cs="Arial" w:eastAsia="Arial" w:hAnsi="Arial"/>
          <w:b/>
          <w:bCs/>
          <w:color w:val="1A3A5C"/>
          <w:sz w:val="28"/>
          <w:szCs w:val="28"/>
        </w:rPr>
        <w:t xml:space="preserve">Layer 3 — The Apparatus and Why Each Design Decision Was Made</w:t>
      </w:r>
    </w:p>
    <w:p>
      <w:pPr>
        <w:spacing w:after="160" w:line="276" w:lineRule="auto"/>
      </w:pPr>
      <w:r>
        <w:rPr>
          <w:rFonts w:ascii="Georgia" w:cs="Georgia" w:eastAsia="Georgia" w:hAnsi="Georgia"/>
          <w:sz w:val="22"/>
          <w:szCs w:val="22"/>
        </w:rPr>
        <w:t xml:space="preserve">Millikan's 1913 paper contains explicit engineering reasoning for every component. Each choice was driven by a specific physical constraint or measurement requirement. This is the layer most instructive for designing new experiments.</w:t>
      </w:r>
    </w:p>
    <w:p>
      <w:pPr>
        <w:spacing w:after="80"/>
      </w:pPr>
      <w:r>
        <w:rPr>
          <w:rFonts w:ascii="Georgia" w:cs="Georgia" w:eastAsia="Georgia" w:hAnsi="Georgia"/>
          <w:sz w:val="22"/>
          <w:szCs w:val="22"/>
        </w:rPr>
        <w:t xml:space="preserve"/>
      </w:r>
    </w:p>
    <w:p>
      <w:pPr>
        <w:pStyle w:val="Heading2"/>
        <w:spacing w:before="280" w:after="120"/>
      </w:pPr>
      <w:r>
        <w:rPr>
          <w:rFonts w:ascii="Arial" w:cs="Arial" w:eastAsia="Arial" w:hAnsi="Arial"/>
          <w:b/>
          <w:bCs/>
          <w:color w:val="2E75B6"/>
          <w:sz w:val="24"/>
          <w:szCs w:val="24"/>
        </w:rPr>
        <w:t xml:space="preserve">Parallel Plate Capacitor — 16 mm separation, ~5 kV</w:t>
      </w:r>
    </w:p>
    <w:p>
      <w:pPr>
        <w:spacing w:after="160" w:line="276" w:lineRule="auto"/>
      </w:pPr>
      <w:r>
        <w:rPr>
          <w:rFonts w:ascii="Georgia" w:cs="Georgia" w:eastAsia="Georgia" w:hAnsi="Georgia"/>
          <w:sz w:val="22"/>
          <w:szCs w:val="22"/>
        </w:rPr>
        <w:t xml:space="preserve">The plates had to be far enough apart to allow a drop to fall and rise visibly for several seconds, giving time for accurate stopwatch measurement. But they had to be close enough that a manageable voltage produced an electric field strong enough to levitate a drop carrying even a single electron charge.</w:t>
      </w:r>
    </w:p>
    <w:p>
      <w:pPr>
        <w:spacing w:after="80"/>
      </w:pPr>
      <w:r>
        <w:rPr>
          <w:rFonts w:ascii="Georgia" w:cs="Georgia" w:eastAsia="Georgia" w:hAnsi="Georgia"/>
          <w:sz w:val="22"/>
          <w:szCs w:val="22"/>
        </w:rPr>
        <w:t xml:space="preserve"/>
      </w:r>
    </w:p>
    <w:p>
      <w:pPr>
        <w:shd w:fill="F5F5F5" w:val="clear"/>
        <w:spacing w:before="120" w:after="120"/>
        <w:ind w:left="720"/>
      </w:pPr>
      <w:r>
        <w:rPr>
          <w:rFonts w:ascii="Courier New" w:cs="Courier New" w:eastAsia="Courier New" w:hAnsi="Courier New"/>
          <w:sz w:val="20"/>
          <w:szCs w:val="20"/>
        </w:rPr>
        <w:t xml:space="preserve">At d = 16 mm, V = 5 kV:   E = V/d = 312,500 V/m</w:t>
      </w:r>
    </w:p>
    <w:p>
      <w:pPr>
        <w:shd w:fill="F5F5F5" w:val="clear"/>
        <w:spacing w:before="120" w:after="120"/>
        <w:ind w:left="720"/>
      </w:pPr>
      <w:r>
        <w:rPr>
          <w:rFonts w:ascii="Courier New" w:cs="Courier New" w:eastAsia="Courier New" w:hAnsi="Courier New"/>
          <w:sz w:val="20"/>
          <w:szCs w:val="20"/>
        </w:rPr>
        <w:t xml:space="preserve">Force on singly-charged drop:   F = qE = (1.6 × 10⁻¹⁹)(3.12 × 10⁵) = 5 × 10⁻¹⁴ N</w:t>
      </w:r>
    </w:p>
    <w:p>
      <w:pPr>
        <w:shd w:fill="F5F5F5" w:val="clear"/>
        <w:spacing w:before="120" w:after="120"/>
        <w:ind w:left="720"/>
      </w:pPr>
      <w:r>
        <w:rPr>
          <w:rFonts w:ascii="Courier New" w:cs="Courier New" w:eastAsia="Courier New" w:hAnsi="Courier New"/>
          <w:sz w:val="20"/>
          <w:szCs w:val="20"/>
        </w:rPr>
        <w:t xml:space="preserve">Gravitational force on 2.8 μm drop:   F_grav ≈ 3 × 10⁻¹³ N</w:t>
      </w:r>
    </w:p>
    <w:p>
      <w:pPr>
        <w:spacing w:after="80"/>
      </w:pPr>
      <w:r>
        <w:rPr>
          <w:rFonts w:ascii="Georgia" w:cs="Georgia" w:eastAsia="Georgia" w:hAnsi="Georgia"/>
          <w:sz w:val="22"/>
          <w:szCs w:val="22"/>
        </w:rPr>
        <w:t xml:space="preserve"/>
      </w:r>
    </w:p>
    <w:p>
      <w:pPr>
        <w:spacing w:after="160" w:line="276" w:lineRule="auto"/>
      </w:pPr>
      <w:r>
        <w:rPr>
          <w:rFonts w:ascii="Georgia" w:cs="Georgia" w:eastAsia="Georgia" w:hAnsi="Georgia"/>
          <w:sz w:val="22"/>
          <w:szCs w:val="22"/>
        </w:rPr>
        <w:t xml:space="preserve">A wider gap would require proportionally higher voltage for the same field. Millikan's chosen geometry was the minimum practical configuration for bench-top operation.</w:t>
      </w:r>
    </w:p>
    <w:p>
      <w:pPr>
        <w:spacing w:after="80"/>
      </w:pPr>
      <w:r>
        <w:rPr>
          <w:rFonts w:ascii="Georgia" w:cs="Georgia" w:eastAsia="Georgia" w:hAnsi="Georgia"/>
          <w:sz w:val="22"/>
          <w:szCs w:val="22"/>
        </w:rPr>
        <w:t xml:space="preserve"/>
      </w:r>
    </w:p>
    <w:p>
      <w:pPr>
        <w:pStyle w:val="Heading2"/>
        <w:spacing w:before="280" w:after="120"/>
      </w:pPr>
      <w:r>
        <w:rPr>
          <w:rFonts w:ascii="Arial" w:cs="Arial" w:eastAsia="Arial" w:hAnsi="Arial"/>
          <w:b/>
          <w:bCs/>
          <w:color w:val="2E75B6"/>
          <w:sz w:val="24"/>
          <w:szCs w:val="24"/>
        </w:rPr>
        <w:t xml:space="preserve">Oil Choice — Butyl Phthalate, density 919.9 kg/m³</w:t>
      </w:r>
    </w:p>
    <w:p>
      <w:pPr>
        <w:spacing w:after="160" w:line="276" w:lineRule="auto"/>
      </w:pPr>
      <w:r>
        <w:rPr>
          <w:rFonts w:ascii="Georgia" w:cs="Georgia" w:eastAsia="Georgia" w:hAnsi="Georgia"/>
          <w:sz w:val="22"/>
          <w:szCs w:val="22"/>
        </w:rPr>
        <w:t xml:space="preserve">Water evaporates. Millikan's student Harvey Fletcher identified this as the fatal flaw in earlier cloud chamber attempts. As a water droplet shrinks, its mass changes during measurement, invalidating the Stokes' law radius derivation.</w:t>
      </w:r>
    </w:p>
    <w:p>
      <w:pPr>
        <w:spacing w:after="160" w:line="276" w:lineRule="auto"/>
      </w:pPr>
      <w:r>
        <w:rPr>
          <w:rFonts w:ascii="Georgia" w:cs="Georgia" w:eastAsia="Georgia" w:hAnsi="Georgia"/>
          <w:sz w:val="22"/>
          <w:szCs w:val="22"/>
        </w:rPr>
        <w:t xml:space="preserve">Oil with very low vapour pressure does not evaporate measurably over the timescale of an experiment. The same drop could be measured dozens of times without changing size. Fletcher tried several oils; butyl phthalate was chosen for its combination of low vapour pressure, known density, and appropriate viscosity that produced drops in the right size range (0.5–5 μm) when atomised.</w:t>
      </w:r>
    </w:p>
    <w:p>
      <w:pPr>
        <w:spacing w:after="80"/>
      </w:pPr>
      <w:r>
        <w:rPr>
          <w:rFonts w:ascii="Georgia" w:cs="Georgia" w:eastAsia="Georgia" w:hAnsi="Georgia"/>
          <w:sz w:val="22"/>
          <w:szCs w:val="22"/>
        </w:rPr>
        <w:t xml:space="preserve"/>
      </w:r>
    </w:p>
    <w:p>
      <w:pPr>
        <w:pStyle w:val="Heading2"/>
        <w:spacing w:before="280" w:after="120"/>
      </w:pPr>
      <w:r>
        <w:rPr>
          <w:rFonts w:ascii="Arial" w:cs="Arial" w:eastAsia="Arial" w:hAnsi="Arial"/>
          <w:b/>
          <w:bCs/>
          <w:color w:val="2E75B6"/>
          <w:sz w:val="24"/>
          <w:szCs w:val="24"/>
        </w:rPr>
        <w:t xml:space="preserve">Atomiser — Perfume-style spray</w:t>
      </w:r>
    </w:p>
    <w:p>
      <w:pPr>
        <w:spacing w:after="160" w:line="276" w:lineRule="auto"/>
      </w:pPr>
      <w:r>
        <w:rPr>
          <w:rFonts w:ascii="Georgia" w:cs="Georgia" w:eastAsia="Georgia" w:hAnsi="Georgia"/>
          <w:sz w:val="22"/>
          <w:szCs w:val="22"/>
        </w:rPr>
        <w:t xml:space="preserve">The atomiser needed to produce drops small enough that Stokes' law applies cleanly — large enough to be visible through the telescope and fall slowly enough for accurate timing. The perfume atomiser reliably produced drops with a radius distribution centred around 1–5 μm. No engineered precision nozzle was needed — the random spray provided sufficient variety of drop sizes to find well-behaved candidates.</w:t>
      </w:r>
    </w:p>
    <w:p>
      <w:pPr>
        <w:spacing w:after="80"/>
      </w:pPr>
      <w:r>
        <w:rPr>
          <w:rFonts w:ascii="Georgia" w:cs="Georgia" w:eastAsia="Georgia" w:hAnsi="Georgia"/>
          <w:sz w:val="22"/>
          <w:szCs w:val="22"/>
        </w:rPr>
        <w:t xml:space="preserve"/>
      </w:r>
    </w:p>
    <w:p>
      <w:pPr>
        <w:pStyle w:val="Heading2"/>
        <w:spacing w:before="280" w:after="120"/>
      </w:pPr>
      <w:r>
        <w:rPr>
          <w:rFonts w:ascii="Arial" w:cs="Arial" w:eastAsia="Arial" w:hAnsi="Arial"/>
          <w:b/>
          <w:bCs/>
          <w:color w:val="2E75B6"/>
          <w:sz w:val="24"/>
          <w:szCs w:val="24"/>
        </w:rPr>
        <w:t xml:space="preserve">Observation Distance — 10.21 mm marked on eyepiece reticle</w:t>
      </w:r>
    </w:p>
    <w:p>
      <w:pPr>
        <w:spacing w:after="160" w:line="276" w:lineRule="auto"/>
      </w:pPr>
      <w:r>
        <w:rPr>
          <w:rFonts w:ascii="Georgia" w:cs="Georgia" w:eastAsia="Georgia" w:hAnsi="Georgia"/>
          <w:sz w:val="22"/>
          <w:szCs w:val="22"/>
        </w:rPr>
        <w:t xml:space="preserve">This was set by two competing requirements. Shorter distance means faster transit times which amplify percentage errors. Longer distance means longer timing windows but risks the drop drifting laterally out of the optical path.</w:t>
      </w:r>
    </w:p>
    <w:p>
      <w:pPr>
        <w:spacing w:after="160" w:line="276" w:lineRule="auto"/>
      </w:pPr>
      <w:r>
        <w:rPr>
          <w:rFonts w:ascii="Georgia" w:cs="Georgia" w:eastAsia="Georgia" w:hAnsi="Georgia"/>
          <w:sz w:val="22"/>
          <w:szCs w:val="22"/>
        </w:rPr>
        <w:t xml:space="preserve">10.21 mm produced fall times of 10–30 seconds for typical drops — long enough that a stopwatch error of 0.1 s is less than 1% — while keeping the vertical travel short enough that the drop stayed visible in the telescope field. The reticle lines converted an inherently analogue position measurement into a simple binary event (drop crosses line: start/stop timer), achievable with 1913 technology.</w:t>
      </w:r>
    </w:p>
    <w:p>
      <w:pPr>
        <w:spacing w:after="80"/>
      </w:pPr>
      <w:r>
        <w:rPr>
          <w:rFonts w:ascii="Georgia" w:cs="Georgia" w:eastAsia="Georgia" w:hAnsi="Georgia"/>
          <w:sz w:val="22"/>
          <w:szCs w:val="22"/>
        </w:rPr>
        <w:t xml:space="preserve"/>
      </w:r>
    </w:p>
    <w:p>
      <w:pPr>
        <w:pStyle w:val="Heading2"/>
        <w:spacing w:before="280" w:after="120"/>
      </w:pPr>
      <w:r>
        <w:rPr>
          <w:rFonts w:ascii="Arial" w:cs="Arial" w:eastAsia="Arial" w:hAnsi="Arial"/>
          <w:b/>
          <w:bCs/>
          <w:color w:val="2E75B6"/>
          <w:sz w:val="24"/>
          <w:szCs w:val="24"/>
        </w:rPr>
        <w:t xml:space="preserve">X-ray Ionisation Source</w:t>
      </w:r>
    </w:p>
    <w:p>
      <w:pPr>
        <w:spacing w:after="160" w:line="276" w:lineRule="auto"/>
      </w:pPr>
      <w:r>
        <w:rPr>
          <w:rFonts w:ascii="Georgia" w:cs="Georgia" w:eastAsia="Georgia" w:hAnsi="Georgia"/>
          <w:sz w:val="22"/>
          <w:szCs w:val="22"/>
        </w:rPr>
        <w:t xml:space="preserve">This was the key innovation that made the experiment definitive rather than merely suggestive. Earlier work could measure the charge on a drop but only once per drop — the drop had to be replaced for each measurement.</w:t>
      </w:r>
    </w:p>
    <w:p>
      <w:pPr>
        <w:spacing w:after="160" w:line="276" w:lineRule="auto"/>
      </w:pPr>
      <w:r>
        <w:rPr>
          <w:rFonts w:ascii="Georgia" w:cs="Georgia" w:eastAsia="Georgia" w:hAnsi="Georgia"/>
          <w:sz w:val="22"/>
          <w:szCs w:val="22"/>
        </w:rPr>
        <w:t xml:space="preserve">The X-ray source ionised the air inside the chamber, which then attached additional electrons to the drop while it was being observed. This allowed Millikan to change the charge state of the same drop multiple times in a single session. The charge would jump in discrete steps. Since the drop's size — and therefore its gravitational and drag behaviour — did not change between charge states, the ratio of different charge values on the same drop gave clean integer ratios: direct evidence of quantisation without any ambiguity from drop-to-drop variation.</w:t>
      </w:r>
    </w:p>
    <w:p>
      <w:pPr>
        <w:spacing w:after="80"/>
      </w:pPr>
      <w:r>
        <w:rPr>
          <w:rFonts w:ascii="Georgia" w:cs="Georgia" w:eastAsia="Georgia" w:hAnsi="Georgia"/>
          <w:sz w:val="22"/>
          <w:szCs w:val="22"/>
        </w:rPr>
        <w:t xml:space="preserve"/>
      </w:r>
    </w:p>
    <w:p>
      <w:pPr>
        <w:pStyle w:val="Heading2"/>
        <w:spacing w:before="280" w:after="120"/>
      </w:pPr>
      <w:r>
        <w:rPr>
          <w:rFonts w:ascii="Arial" w:cs="Arial" w:eastAsia="Arial" w:hAnsi="Arial"/>
          <w:b/>
          <w:bCs/>
          <w:color w:val="2E75B6"/>
          <w:sz w:val="24"/>
          <w:szCs w:val="24"/>
        </w:rPr>
        <w:t xml:space="preserve">Temperature-Controlled Enclosure</w:t>
      </w:r>
    </w:p>
    <w:p>
      <w:pPr>
        <w:spacing w:after="160" w:line="276" w:lineRule="auto"/>
      </w:pPr>
      <w:r>
        <w:rPr>
          <w:rFonts w:ascii="Georgia" w:cs="Georgia" w:eastAsia="Georgia" w:hAnsi="Georgia"/>
          <w:sz w:val="22"/>
          <w:szCs w:val="22"/>
        </w:rPr>
        <w:t xml:space="preserve">Air viscosity η is temperature-dependent, following Sutherland's formula:</w:t>
      </w:r>
    </w:p>
    <w:p>
      <w:pPr>
        <w:shd w:fill="F5F5F5" w:val="clear"/>
        <w:spacing w:before="120" w:after="120"/>
        <w:ind w:left="720"/>
      </w:pPr>
      <w:r>
        <w:rPr>
          <w:rFonts w:ascii="Courier New" w:cs="Courier New" w:eastAsia="Courier New" w:hAnsi="Courier New"/>
          <w:sz w:val="20"/>
          <w:szCs w:val="20"/>
        </w:rPr>
        <w:t xml:space="preserve">η ≈ η₀ × (T/T₀)^(3/2) × (T₀ + S)/(T + S)</w:t>
      </w:r>
    </w:p>
    <w:p>
      <w:pPr>
        <w:spacing w:after="160" w:line="276" w:lineRule="auto"/>
      </w:pPr>
      <w:r>
        <w:rPr>
          <w:rFonts w:ascii="Georgia" w:cs="Georgia" w:eastAsia="Georgia" w:hAnsi="Georgia"/>
          <w:sz w:val="22"/>
          <w:szCs w:val="22"/>
        </w:rPr>
        <w:t xml:space="preserve">A 1°C change at room temperature changes η by roughly 0.25%, which feeds directly into the calculated charge via q ∝ η^(3/2). Millikan measured temperature for every observation run and applied the correction. This was one of his principal improvements over Ehrenhaft's competing measurements from Vienna, which lacked this correction and produced systematically scattered results.</w:t>
      </w:r>
    </w:p>
    <w:p>
      <w:pPr>
        <w:spacing w:after="8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2E75B6" w:val="clear"/>
            <w:tcMar>
              <w:top w:type="dxa" w:w="100"/>
              <w:left w:type="dxa" w:w="140"/>
              <w:bottom w:type="dxa" w:w="100"/>
              <w:right w:type="dxa" w:w="80"/>
            </w:tcMar>
          </w:tcPr>
          <w:p>
            <w:pPr>
              <w:jc w:val="center"/>
            </w:pPr>
            <w:r>
              <w:rPr>
                <w:rFonts w:ascii="Arial" w:cs="Arial" w:eastAsia="Arial" w:hAnsi="Arial"/>
                <w:b/>
                <w:bCs/>
                <w:color w:val="FFFFFF"/>
                <w:sz w:val="22"/>
                <w:szCs w:val="22"/>
              </w:rPr>
              <w:t xml:space="preserve">⚠</w:t>
            </w:r>
          </w:p>
        </w:tc>
        <w:tc>
          <w:tcPr>
            <w:tcW w:type="dxa" w:w="8720"/>
            <w:tcBorders>
              <w:top w:val="none"/>
              <w:left w:val="none"/>
              <w:bottom w:val="none"/>
              <w:right w:val="none"/>
            </w:tcBorders>
            <w:shd w:fill="EAF4FB" w:val="clear"/>
            <w:tcMar>
              <w:top w:type="dxa" w:w="100"/>
              <w:left w:type="dxa" w:w="160"/>
              <w:bottom w:type="dxa" w:w="100"/>
              <w:right w:type="dxa" w:w="140"/>
            </w:tcMar>
          </w:tcPr>
          <w:p>
            <w:r>
              <w:rPr>
                <w:rFonts w:ascii="Georgia" w:cs="Georgia" w:eastAsia="Georgia" w:hAnsi="Georgia"/>
                <w:sz w:val="21"/>
                <w:szCs w:val="21"/>
              </w:rPr>
              <w:t xml:space="preserve">Ironically, Millikan's own viscosity table values were slightly incorrect, introducing the 0.6% systematic error in his final e value. The correction was available from later measurements.</w:t>
            </w:r>
          </w:p>
        </w:tc>
      </w:tr>
    </w:tbl>
    <w:p>
      <w:pPr>
        <w:spacing w:after="80"/>
      </w:pPr>
      <w:r>
        <w:rPr>
          <w:rFonts w:ascii="Georgia" w:cs="Georgia" w:eastAsia="Georgia" w:hAnsi="Georgia"/>
          <w:sz w:val="22"/>
          <w:szCs w:val="22"/>
        </w:rPr>
        <w:t xml:space="preserve"/>
      </w:r>
    </w:p>
    <w:p>
      <w:pPr>
        <w:pBdr>
          <w:bottom w:val="single" w:color="2E75B6" w:sz="6" w:space="1"/>
        </w:pBdr>
        <w:spacing w:before="200" w:after="200"/>
      </w:pPr>
      <w:r>
        <w:rPr>
          <w:rFonts w:ascii="Georgia" w:cs="Georgia" w:eastAsia="Georgia" w:hAnsi="Georgia"/>
          <w:sz w:val="22"/>
          <w:szCs w:val="22"/>
        </w:rPr>
        <w:t xml:space="preserve"/>
      </w:r>
    </w:p>
    <w:p>
      <w:pPr>
        <w:pStyle w:val="Heading1"/>
        <w:pBdr>
          <w:bottom w:val="single" w:color="2E75B6" w:sz="4" w:space="4"/>
        </w:pBdr>
        <w:spacing w:before="360" w:after="160"/>
      </w:pPr>
      <w:r>
        <w:rPr>
          <w:rFonts w:ascii="Arial" w:cs="Arial" w:eastAsia="Arial" w:hAnsi="Arial"/>
          <w:b/>
          <w:bCs/>
          <w:color w:val="1A3A5C"/>
          <w:sz w:val="28"/>
          <w:szCs w:val="28"/>
        </w:rPr>
        <w:t xml:space="preserve">The Numbers — Millikan's Published Data for Drop 6</w:t>
      </w:r>
    </w:p>
    <w:p>
      <w:pPr>
        <w:spacing w:after="160" w:line="276" w:lineRule="auto"/>
      </w:pPr>
      <w:r>
        <w:rPr>
          <w:rFonts w:ascii="Georgia" w:cs="Georgia" w:eastAsia="Georgia" w:hAnsi="Georgia"/>
          <w:sz w:val="22"/>
          <w:szCs w:val="22"/>
        </w:rPr>
        <w:t xml:space="preserve">Drop 6 is one of 58 drops reported in the 1913 paper and is well-documented in subsequent analyses. It illustrates the complete calculation chain from raw timing data to derived elementary charge.</w:t>
      </w:r>
    </w:p>
    <w:p>
      <w:pPr>
        <w:spacing w:after="80"/>
      </w:pPr>
      <w:r>
        <w:rPr>
          <w:rFonts w:ascii="Georgia" w:cs="Georgia" w:eastAsia="Georgia" w:hAnsi="Georgia"/>
          <w:sz w:val="22"/>
          <w:szCs w:val="22"/>
        </w:rPr>
        <w:t xml:space="preserve"/>
      </w:r>
    </w:p>
    <w:p>
      <w:pPr>
        <w:pStyle w:val="Heading2"/>
        <w:spacing w:before="280" w:after="120"/>
      </w:pPr>
      <w:r>
        <w:rPr>
          <w:rFonts w:ascii="Arial" w:cs="Arial" w:eastAsia="Arial" w:hAnsi="Arial"/>
          <w:b/>
          <w:bCs/>
          <w:color w:val="2E75B6"/>
          <w:sz w:val="24"/>
          <w:szCs w:val="24"/>
        </w:rPr>
        <w:t xml:space="preserve">Apparatus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Plate separation 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16.00 mm</w:t>
            </w:r>
          </w:p>
        </w:tc>
      </w:tr>
      <w:tr>
        <w:trPr>
          <w:tblHeader w:val="false"/>
        </w:trP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Applied voltage V</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5,085 V</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Electric field E = V/d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317,800 V/m</w:t>
            </w:r>
          </w:p>
        </w:tc>
      </w:tr>
      <w:tr>
        <w:trPr>
          <w:tblHeader w:val="false"/>
        </w:trP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Oil density ρ_oil</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919.9 kg/m³</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Air density ρ_air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1.2 kg/m³</w:t>
            </w:r>
          </w:p>
        </w:tc>
      </w:tr>
      <w:tr>
        <w:trPr>
          <w:tblHeader w:val="false"/>
        </w:trP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Air viscosity η</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1.820 × 10⁻⁵ Pa·s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Cunningham constant 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7.88 × 10⁻³ Pa·m</w:t>
            </w:r>
          </w:p>
        </w:tc>
      </w:tr>
      <w:tr>
        <w:trPr>
          <w:tblHeader w:val="false"/>
        </w:trP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Air pressure p</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100,820 Pa</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Observation distance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10.21 mm</w:t>
            </w:r>
          </w:p>
        </w:tc>
      </w:tr>
    </w:tbl>
    <w:p>
      <w:pPr>
        <w:spacing w:after="80"/>
      </w:pPr>
      <w:r>
        <w:rPr>
          <w:rFonts w:ascii="Georgia" w:cs="Georgia" w:eastAsia="Georgia" w:hAnsi="Georgia"/>
          <w:sz w:val="22"/>
          <w:szCs w:val="22"/>
        </w:rPr>
        <w:t xml:space="preserve"/>
      </w:r>
    </w:p>
    <w:p>
      <w:pPr>
        <w:pStyle w:val="Heading2"/>
        <w:spacing w:before="280" w:after="120"/>
      </w:pPr>
      <w:r>
        <w:rPr>
          <w:rFonts w:ascii="Arial" w:cs="Arial" w:eastAsia="Arial" w:hAnsi="Arial"/>
          <w:b/>
          <w:bCs/>
          <w:color w:val="2E75B6"/>
          <w:sz w:val="24"/>
          <w:szCs w:val="24"/>
        </w:rPr>
        <w:t xml:space="preserve">Measurement and Derived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Measurement</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Mean fall time (21 observations)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11.879 s  (σ = 0.040 s)</w:t>
            </w:r>
          </w:p>
        </w:tc>
      </w:tr>
      <w:tr>
        <w:trPr>
          <w:tblHeader w:val="false"/>
        </w:trP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Terminal fall velocity</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8.594 × 10⁻⁴ m/s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Calculated radius 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2.785 μm</w:t>
            </w:r>
          </w:p>
        </w:tc>
      </w:tr>
      <w:tr>
        <w:trPr>
          <w:tblHeader w:val="false"/>
        </w:trP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Rise time (one observation)</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80.708 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Terminal rise velocity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1.265 × 10⁻⁴ m/s</w:t>
            </w:r>
          </w:p>
        </w:tc>
      </w:tr>
      <w:tr>
        <w:trPr>
          <w:tblHeader w:val="false"/>
        </w:trP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Calculated charge q</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2.943 × 10⁻¹⁸ C</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Integer n = q/e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18</w:t>
            </w:r>
          </w:p>
        </w:tc>
      </w:tr>
      <w:tr>
        <w:trPr>
          <w:tblHeader w:val="false"/>
        </w:trP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Derived e = q/n</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1.635 × 10⁻¹⁹ C</w:t>
            </w:r>
          </w:p>
        </w:tc>
      </w:tr>
    </w:tbl>
    <w:p>
      <w:pPr>
        <w:spacing w:after="80"/>
      </w:pPr>
      <w:r>
        <w:rPr>
          <w:rFonts w:ascii="Georgia" w:cs="Georgia" w:eastAsia="Georgia" w:hAnsi="Georgia"/>
          <w:sz w:val="22"/>
          <w:szCs w:val="22"/>
        </w:rPr>
        <w:t xml:space="preserve"/>
      </w:r>
    </w:p>
    <w:p>
      <w:pPr>
        <w:pStyle w:val="Heading2"/>
        <w:spacing w:before="280" w:after="120"/>
      </w:pPr>
      <w:r>
        <w:rPr>
          <w:rFonts w:ascii="Arial" w:cs="Arial" w:eastAsia="Arial" w:hAnsi="Arial"/>
          <w:b/>
          <w:bCs/>
          <w:color w:val="2E75B6"/>
          <w:sz w:val="24"/>
          <w:szCs w:val="24"/>
        </w:rPr>
        <w:t xml:space="preserve">Final Result Across All 58 Drops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Result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Millikan's published e (1913)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1.592 × 10⁻¹⁹ C</w:t>
            </w:r>
          </w:p>
        </w:tc>
      </w:tr>
      <w:tr>
        <w:trPr>
          <w:tblHeader w:val="false"/>
        </w:trP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Accepted value (2019 SI)</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1.602176634 × 10⁻¹⁹ C</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Discrepancy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0.63%</w:t>
            </w:r>
          </w:p>
        </w:tc>
      </w:tr>
      <w:tr>
        <w:trPr>
          <w:tblHeader w:val="false"/>
        </w:trPr>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Cause of discrepancy</w:t>
            </w:r>
          </w:p>
        </w:tc>
        <w:tc>
          <w:tcPr>
            <w:tcW w:type="dxa" w:w="4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Error in air viscosity tables — not in theory or apparatus geometry</w:t>
            </w:r>
          </w:p>
        </w:tc>
      </w:tr>
    </w:tbl>
    <w:p>
      <w:pPr>
        <w:spacing w:after="80"/>
      </w:pPr>
      <w:r>
        <w:rPr>
          <w:rFonts w:ascii="Georgia" w:cs="Georgia" w:eastAsia="Georgia" w:hAnsi="Georgia"/>
          <w:sz w:val="22"/>
          <w:szCs w:val="22"/>
        </w:rPr>
        <w:t xml:space="preserve"/>
      </w:r>
    </w:p>
    <w:p>
      <w:pPr>
        <w:pBdr>
          <w:bottom w:val="single" w:color="2E75B6" w:sz="6" w:space="1"/>
        </w:pBdr>
        <w:spacing w:before="200" w:after="200"/>
      </w:pPr>
      <w:r>
        <w:rPr>
          <w:rFonts w:ascii="Georgia" w:cs="Georgia" w:eastAsia="Georgia" w:hAnsi="Georgia"/>
          <w:sz w:val="22"/>
          <w:szCs w:val="22"/>
        </w:rPr>
        <w:t xml:space="preserve"/>
      </w:r>
    </w:p>
    <w:p>
      <w:pPr>
        <w:pStyle w:val="Heading1"/>
        <w:pBdr>
          <w:bottom w:val="single" w:color="2E75B6" w:sz="4" w:space="4"/>
        </w:pBdr>
        <w:spacing w:before="360" w:after="160"/>
      </w:pPr>
      <w:r>
        <w:rPr>
          <w:rFonts w:ascii="Arial" w:cs="Arial" w:eastAsia="Arial" w:hAnsi="Arial"/>
          <w:b/>
          <w:bCs/>
          <w:color w:val="1A3A5C"/>
          <w:sz w:val="28"/>
          <w:szCs w:val="28"/>
        </w:rPr>
        <w:t xml:space="preserve">The Systematic Error — A Lesson in Calibration</w:t>
      </w:r>
    </w:p>
    <w:p>
      <w:pPr>
        <w:spacing w:after="160" w:line="276" w:lineRule="auto"/>
      </w:pPr>
      <w:r>
        <w:rPr>
          <w:rFonts w:ascii="Georgia" w:cs="Georgia" w:eastAsia="Georgia" w:hAnsi="Georgia"/>
          <w:sz w:val="22"/>
          <w:szCs w:val="22"/>
        </w:rPr>
        <w:t xml:space="preserve">Millikan used the best available air viscosity data for 1913. His value of η = 1.824 × 10⁻⁵ Pa·s was approximately 0.4% too low. Since q ∝ η^(3/2), this propagated to a ~0.6% underestimate in e. The correct viscosity (1.827 × 10⁻⁵ Pa·s) was established in later measurements.</w:t>
      </w:r>
    </w:p>
    <w:p>
      <w:pPr>
        <w:spacing w:after="160" w:line="276" w:lineRule="auto"/>
      </w:pPr>
      <w:r>
        <w:rPr>
          <w:rFonts w:ascii="Georgia" w:cs="Georgia" w:eastAsia="Georgia" w:hAnsi="Georgia"/>
          <w:sz w:val="22"/>
          <w:szCs w:val="22"/>
        </w:rPr>
        <w:t xml:space="preserve">What makes this historically significant is that for over a decade after Millikan's publication, other experimenters who obtained slightly higher values for e tended to find reasons to adjust their results back toward Millikan's number — a textbook example of confirmation bias in science.</w:t>
      </w:r>
    </w:p>
    <w:p>
      <w:pPr>
        <w:spacing w:after="8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2E75B6" w:val="clear"/>
            <w:tcMar>
              <w:top w:type="dxa" w:w="100"/>
              <w:left w:type="dxa" w:w="140"/>
              <w:bottom w:type="dxa" w:w="100"/>
              <w:right w:type="dxa" w:w="80"/>
            </w:tcMar>
          </w:tcPr>
          <w:p>
            <w:pPr>
              <w:jc w:val="center"/>
            </w:pPr>
            <w:r>
              <w:rPr>
                <w:rFonts w:ascii="Arial" w:cs="Arial" w:eastAsia="Arial" w:hAnsi="Arial"/>
                <w:b/>
                <w:bCs/>
                <w:color w:val="FFFFFF"/>
                <w:sz w:val="22"/>
                <w:szCs w:val="22"/>
              </w:rPr>
              <w:t xml:space="preserve">Feynman</w:t>
            </w:r>
          </w:p>
        </w:tc>
        <w:tc>
          <w:tcPr>
            <w:tcW w:type="dxa" w:w="8720"/>
            <w:tcBorders>
              <w:top w:val="none"/>
              <w:left w:val="none"/>
              <w:bottom w:val="none"/>
              <w:right w:val="none"/>
            </w:tcBorders>
            <w:shd w:fill="EAF4FB" w:val="clear"/>
            <w:tcMar>
              <w:top w:type="dxa" w:w="100"/>
              <w:left w:type="dxa" w:w="160"/>
              <w:bottom w:type="dxa" w:w="100"/>
              <w:right w:type="dxa" w:w="140"/>
            </w:tcMar>
          </w:tcPr>
          <w:p>
            <w:r>
              <w:rPr>
                <w:rFonts w:ascii="Georgia" w:cs="Georgia" w:eastAsia="Georgia" w:hAnsi="Georgia"/>
                <w:sz w:val="21"/>
                <w:szCs w:val="21"/>
              </w:rPr>
              <w:t xml:space="preserve">'The first time they measured it, they got a number that was a little bit high. The next time, somebody got a slightly lower number... and so on until it settled down to the right answer. Why didn't they just look at all the data?' — Richard Feynman, on the Millikan viscosity episode.</w:t>
            </w:r>
          </w:p>
        </w:tc>
      </w:tr>
    </w:tbl>
    <w:p>
      <w:pPr>
        <w:spacing w:after="80"/>
      </w:pPr>
      <w:r>
        <w:rPr>
          <w:rFonts w:ascii="Georgia" w:cs="Georgia" w:eastAsia="Georgia" w:hAnsi="Georgia"/>
          <w:sz w:val="22"/>
          <w:szCs w:val="22"/>
        </w:rPr>
        <w:t xml:space="preserve"/>
      </w:r>
    </w:p>
    <w:p>
      <w:pPr>
        <w:spacing w:after="160" w:line="276" w:lineRule="auto"/>
      </w:pPr>
      <w:r>
        <w:rPr>
          <w:rFonts w:ascii="Georgia" w:cs="Georgia" w:eastAsia="Georgia" w:hAnsi="Georgia"/>
          <w:sz w:val="22"/>
          <w:szCs w:val="22"/>
        </w:rPr>
        <w:t xml:space="preserve">The lesson: the dominant source of error in a precision measurement is almost always a calibration constant, not the theoretical framework. The theory was correct. The apparatus geometry was correct. The viscosity table was wrong.</w:t>
      </w:r>
    </w:p>
    <w:p>
      <w:pPr>
        <w:spacing w:after="80"/>
      </w:pPr>
      <w:r>
        <w:rPr>
          <w:rFonts w:ascii="Georgia" w:cs="Georgia" w:eastAsia="Georgia" w:hAnsi="Georgia"/>
          <w:sz w:val="22"/>
          <w:szCs w:val="22"/>
        </w:rPr>
        <w:t xml:space="preserve"/>
      </w:r>
    </w:p>
    <w:p>
      <w:pPr>
        <w:pBdr>
          <w:bottom w:val="single" w:color="2E75B6" w:sz="6" w:space="1"/>
        </w:pBdr>
        <w:spacing w:before="200" w:after="200"/>
      </w:pPr>
      <w:r>
        <w:rPr>
          <w:rFonts w:ascii="Georgia" w:cs="Georgia" w:eastAsia="Georgia" w:hAnsi="Georgia"/>
          <w:sz w:val="22"/>
          <w:szCs w:val="22"/>
        </w:rPr>
        <w:t xml:space="preserve"/>
      </w:r>
    </w:p>
    <w:p>
      <w:pPr>
        <w:pStyle w:val="Heading1"/>
        <w:pBdr>
          <w:bottom w:val="single" w:color="2E75B6" w:sz="4" w:space="4"/>
        </w:pBdr>
        <w:spacing w:before="360" w:after="160"/>
      </w:pPr>
      <w:r>
        <w:rPr>
          <w:rFonts w:ascii="Arial" w:cs="Arial" w:eastAsia="Arial" w:hAnsi="Arial"/>
          <w:b/>
          <w:bCs/>
          <w:color w:val="1A3A5C"/>
          <w:sz w:val="28"/>
          <w:szCs w:val="28"/>
        </w:rPr>
        <w:t xml:space="preserve">What This Framework Teaches</w:t>
      </w:r>
    </w:p>
    <w:p>
      <w:pPr>
        <w:spacing w:after="160" w:line="276" w:lineRule="auto"/>
      </w:pPr>
      <w:r>
        <w:rPr>
          <w:rFonts w:ascii="Georgia" w:cs="Georgia" w:eastAsia="Georgia" w:hAnsi="Georgia"/>
          <w:sz w:val="22"/>
          <w:szCs w:val="22"/>
        </w:rPr>
        <w:t xml:space="preserve">The Millikan experiment demonstrates four principles that apply to any experimental verification programme — including any future test of UFFT predictions.</w:t>
      </w:r>
    </w:p>
    <w:p>
      <w:pPr>
        <w:spacing w:after="8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840"/>
        <w:gridCol w:w="3840"/>
      </w:tblGrid>
      <w:tr>
        <w:trPr>
          <w:tblHeader/>
        </w:trPr>
        <w:tc>
          <w:tcPr>
            <w:tcW w:type="dxa" w:w="1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Principle</w:t>
            </w:r>
          </w:p>
        </w:tc>
        <w:tc>
          <w:tcPr>
            <w:tcW w:type="dxa" w:w="38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What It Means</w:t>
            </w:r>
          </w:p>
        </w:tc>
        <w:tc>
          <w:tcPr>
            <w:tcW w:type="dxa" w:w="38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Georgia" w:cs="Georgia" w:eastAsia="Georgia" w:hAnsi="Georgia"/>
                <w:b/>
                <w:bCs/>
                <w:color w:val="FFFFFF"/>
                <w:sz w:val="20"/>
                <w:szCs w:val="20"/>
              </w:rPr>
              <w:t xml:space="preserve">Millikan Example</w:t>
            </w:r>
          </w:p>
        </w:tc>
      </w:tr>
      <w:tr>
        <w:trPr>
          <w:tblHeader w:val="false"/>
        </w:trP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1 — Design around the physics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Every dimension and material choice must satisfy a specific physical requirement, not convenience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16 mm plate gap chosen to balance field strength vs. achievable voltage — not an arbitrary round number</w:t>
            </w:r>
          </w:p>
        </w:tc>
      </w:tr>
      <w:tr>
        <w:trPr>
          <w:tblHeader w:val="false"/>
        </w:trPr>
        <w:tc>
          <w:tcPr>
            <w:tcW w:type="dxa" w:w="1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2 — Systematic errors live in calibration constants</w:t>
            </w:r>
          </w:p>
        </w:tc>
        <w:tc>
          <w:tcPr>
            <w:tcW w:type="dxa" w:w="38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The theory can be exactly right while the measurement is off due to an incorrect input parameter</w:t>
            </w:r>
          </w:p>
        </w:tc>
        <w:tc>
          <w:tcPr>
            <w:tcW w:type="dxa" w:w="38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Theory correct. Apparatus correct. Viscosity table 0.4% wrong. Final e 0.6% low.</w:t>
            </w:r>
          </w:p>
        </w:tc>
      </w:tr>
      <w:tr>
        <w:trPr>
          <w:tblHeader w:val="false"/>
        </w:trP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3 — Same object, varying conditions beats many objects once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Measuring one drop at many charge states eliminates drop-to-drop size variation — the largest noise source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X-ray source allowed charge-state changes on the same drop. Each ratio was a clean integer.</w:t>
            </w:r>
          </w:p>
        </w:tc>
      </w:tr>
      <w:tr>
        <w:trPr>
          <w:tblHeader w:val="false"/>
        </w:trPr>
        <w:tc>
          <w:tcPr>
            <w:tcW w:type="dxa" w:w="168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4 — Uncertainty budget must be complete</w:t>
            </w:r>
          </w:p>
        </w:tc>
        <w:tc>
          <w:tcPr>
            <w:tcW w:type="dxa" w:w="38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A claimed precision (0.2%) is only valid if every input to the calculation has been independently measured and included</w:t>
            </w:r>
          </w:p>
        </w:tc>
        <w:tc>
          <w:tcPr>
            <w:tcW w:type="dxa" w:w="38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Georgia" w:cs="Georgia" w:eastAsia="Georgia" w:hAnsi="Georgia"/>
                <w:b w:val="false"/>
                <w:bCs w:val="false"/>
                <w:color w:val="1A3A5C"/>
                <w:sz w:val="20"/>
                <w:szCs w:val="20"/>
              </w:rPr>
              <w:t xml:space="preserve">Viscosity uncertainty was not budgeted. The real uncertainty was 0.6%, not 0.2%.</w:t>
            </w:r>
          </w:p>
        </w:tc>
      </w:tr>
    </w:tbl>
    <w:p>
      <w:pPr>
        <w:spacing w:after="80"/>
      </w:pPr>
      <w:r>
        <w:rPr>
          <w:rFonts w:ascii="Georgia" w:cs="Georgia" w:eastAsia="Georgia" w:hAnsi="Georgia"/>
          <w:sz w:val="22"/>
          <w:szCs w:val="22"/>
        </w:rPr>
        <w:t xml:space="preserve"/>
      </w:r>
    </w:p>
    <w:p>
      <w:pPr>
        <w:pStyle w:val="Heading2"/>
        <w:spacing w:before="280" w:after="120"/>
      </w:pPr>
      <w:r>
        <w:rPr>
          <w:rFonts w:ascii="Arial" w:cs="Arial" w:eastAsia="Arial" w:hAnsi="Arial"/>
          <w:b/>
          <w:bCs/>
          <w:color w:val="2E75B6"/>
          <w:sz w:val="24"/>
          <w:szCs w:val="24"/>
        </w:rPr>
        <w:t xml:space="preserve">Application to UFFT Experimental Design</w:t>
      </w:r>
    </w:p>
    <w:p>
      <w:pPr>
        <w:spacing w:after="160" w:line="276" w:lineRule="auto"/>
      </w:pPr>
      <w:r>
        <w:rPr>
          <w:rFonts w:ascii="Georgia" w:cs="Georgia" w:eastAsia="Georgia" w:hAnsi="Georgia"/>
          <w:sz w:val="22"/>
          <w:szCs w:val="22"/>
        </w:rPr>
        <w:t xml:space="preserve">These four principles apply directly to any proposed experimental test of UFFT predictions — the decoherence altitude test, the foam panel geometry test, the acoustic cone levitation test, or any future resonance coupling measurement.</w:t>
      </w:r>
    </w:p>
    <w:p>
      <w:pPr>
        <w:spacing w:after="160" w:line="276" w:lineRule="auto"/>
      </w:pPr>
      <w:r>
        <w:rPr>
          <w:rFonts w:ascii="Georgia" w:cs="Georgia" w:eastAsia="Georgia" w:hAnsi="Georgia"/>
          <w:sz w:val="22"/>
          <w:szCs w:val="22"/>
        </w:rPr>
        <w:t xml:space="preserve">The question to ask of any proposed experiment is: what is the equivalent of the viscosity table — the calibration constant whose error will dominate the result — and has it been measured independently? Identify that constant before running the experiment, not after.</w:t>
      </w:r>
    </w:p>
    <w:p>
      <w:pPr>
        <w:spacing w:after="8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2E75B6" w:val="clear"/>
            <w:tcMar>
              <w:top w:type="dxa" w:w="100"/>
              <w:left w:type="dxa" w:w="140"/>
              <w:bottom w:type="dxa" w:w="100"/>
              <w:right w:type="dxa" w:w="80"/>
            </w:tcMar>
          </w:tcPr>
          <w:p>
            <w:pPr>
              <w:jc w:val="center"/>
            </w:pPr>
            <w:r>
              <w:rPr>
                <w:rFonts w:ascii="Arial" w:cs="Arial" w:eastAsia="Arial" w:hAnsi="Arial"/>
                <w:b/>
                <w:bCs/>
                <w:color w:val="FFFFFF"/>
                <w:sz w:val="22"/>
                <w:szCs w:val="22"/>
              </w:rPr>
              <w:t xml:space="preserve">Rule</w:t>
            </w:r>
          </w:p>
        </w:tc>
        <w:tc>
          <w:tcPr>
            <w:tcW w:type="dxa" w:w="8720"/>
            <w:tcBorders>
              <w:top w:val="none"/>
              <w:left w:val="none"/>
              <w:bottom w:val="none"/>
              <w:right w:val="none"/>
            </w:tcBorders>
            <w:shd w:fill="EAF4FB" w:val="clear"/>
            <w:tcMar>
              <w:top w:type="dxa" w:w="100"/>
              <w:left w:type="dxa" w:w="160"/>
              <w:bottom w:type="dxa" w:w="100"/>
              <w:right w:type="dxa" w:w="140"/>
            </w:tcMar>
          </w:tcPr>
          <w:p>
            <w:r>
              <w:rPr>
                <w:rFonts w:ascii="Georgia" w:cs="Georgia" w:eastAsia="Georgia" w:hAnsi="Georgia"/>
                <w:sz w:val="21"/>
                <w:szCs w:val="21"/>
              </w:rPr>
              <w:t xml:space="preserve">Every measurement has a dominant systematic error. The job of experimental design is to find it before it finds you.</w:t>
            </w:r>
          </w:p>
        </w:tc>
      </w:tr>
    </w:tbl>
    <w:p>
      <w:pPr>
        <w:spacing w:after="80"/>
      </w:pPr>
      <w:r>
        <w:rPr>
          <w:rFonts w:ascii="Georgia" w:cs="Georgia" w:eastAsia="Georgia" w:hAnsi="Georgia"/>
          <w:sz w:val="22"/>
          <w:szCs w:val="22"/>
        </w:rPr>
        <w:t xml:space="preserve"/>
      </w:r>
    </w:p>
    <w:p>
      <w:pPr>
        <w:pBdr>
          <w:bottom w:val="single" w:color="2E75B6" w:sz="6" w:space="1"/>
        </w:pBdr>
        <w:spacing w:before="200" w:after="200"/>
      </w:pPr>
      <w:r>
        <w:rPr>
          <w:rFonts w:ascii="Georgia" w:cs="Georgia" w:eastAsia="Georgia" w:hAnsi="Georgia"/>
          <w:sz w:val="22"/>
          <w:szCs w:val="22"/>
        </w:rPr>
        <w:t xml:space="preserve"/>
      </w:r>
    </w:p>
    <w:p>
      <w:pPr>
        <w:spacing w:after="40"/>
        <w:jc w:val="center"/>
      </w:pPr>
      <w:r>
        <w:rPr>
          <w:rFonts w:ascii="Arial" w:cs="Arial" w:eastAsia="Arial" w:hAnsi="Arial"/>
          <w:b/>
          <w:bCs/>
          <w:color w:val="2E75B6"/>
          <w:sz w:val="20"/>
          <w:szCs w:val="20"/>
        </w:rPr>
        <w:t xml:space="preserve">Unified Foam Field Theory — Part XVII</w:t>
      </w:r>
    </w:p>
    <w:p>
      <w:pPr>
        <w:spacing w:after="40"/>
        <w:jc w:val="center"/>
      </w:pPr>
      <w:r>
        <w:rPr>
          <w:rFonts w:ascii="Georgia" w:cs="Georgia" w:eastAsia="Georgia" w:hAnsi="Georgia"/>
          <w:color w:val="888888"/>
          <w:sz w:val="18"/>
          <w:szCs w:val="18"/>
        </w:rPr>
        <w:t xml:space="preserve">Luke Martin  ·  Priority date 20 February 2026  ·  All equations verified</w:t>
      </w:r>
    </w:p>
    <w:p>
      <w:pPr>
        <w:spacing w:after="0"/>
        <w:jc w:val="center"/>
      </w:pPr>
      <w:r>
        <w:rPr>
          <w:rFonts w:ascii="Georgia" w:cs="Georgia" w:eastAsia="Georgia" w:hAnsi="Georgia"/>
          <w:i/>
          <w:iCs/>
          <w:color w:val="AAAAAA"/>
          <w:sz w:val="18"/>
          <w:szCs w:val="18"/>
        </w:rPr>
        <w:t xml:space="preserve">AI Disclosure: developed in collaboration with Claude (Anthropic). Ideas and theory: Luke Martin.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5C"/>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2026-02-21T02:46:12.735Z</dcterms:created>
  <dcterms:modified xsi:type="dcterms:W3CDTF">2026-02-21T02:46:12.736Z</dcterms:modified>
</cp:coreProperties>
</file>

<file path=docProps/custom.xml><?xml version="1.0" encoding="utf-8"?>
<Properties xmlns="http://schemas.openxmlformats.org/officeDocument/2006/custom-properties" xmlns:vt="http://schemas.openxmlformats.org/officeDocument/2006/docPropsVTypes"/>
</file>