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A852D" w14:textId="77777777" w:rsidR="007D7C8F" w:rsidRDefault="007D7C8F" w:rsidP="007D7C8F">
      <w:r>
        <w:t xml:space="preserve">OTHER INFORMATION </w:t>
      </w:r>
    </w:p>
    <w:p w14:paraId="4DB3B496" w14:textId="77777777" w:rsidR="007D7C8F" w:rsidRDefault="007D7C8F" w:rsidP="007D7C8F">
      <w:r>
        <w:t xml:space="preserve">By including this information, the model will be able to: </w:t>
      </w:r>
    </w:p>
    <w:p w14:paraId="0223C2E6" w14:textId="77777777" w:rsidR="007D7C8F" w:rsidRDefault="007D7C8F" w:rsidP="007D7C8F">
      <w:pPr>
        <w:ind w:firstLine="720"/>
      </w:pPr>
      <w:r>
        <w:t xml:space="preserve">• Explain not just "what" a feature does, but "why" and "how" it is used. </w:t>
      </w:r>
    </w:p>
    <w:p w14:paraId="30F8B451" w14:textId="77777777" w:rsidR="007D7C8F" w:rsidRDefault="007D7C8F" w:rsidP="007D7C8F">
      <w:pPr>
        <w:ind w:firstLine="720"/>
      </w:pPr>
      <w:r>
        <w:t xml:space="preserve">• Guide users through troubleshooting and best practices. </w:t>
      </w:r>
    </w:p>
    <w:p w14:paraId="502A5B33" w14:textId="77777777" w:rsidR="007D7C8F" w:rsidRDefault="007D7C8F" w:rsidP="007D7C8F">
      <w:pPr>
        <w:ind w:firstLine="720"/>
      </w:pPr>
      <w:r>
        <w:t xml:space="preserve">• Provide context-sensitive help based on user roles and scenarios. </w:t>
      </w:r>
    </w:p>
    <w:p w14:paraId="03F980DB" w14:textId="77777777" w:rsidR="007D7C8F" w:rsidRDefault="007D7C8F" w:rsidP="007D7C8F">
      <w:pPr>
        <w:ind w:firstLine="720"/>
      </w:pPr>
      <w:r>
        <w:t>• Answer both technical and business-process questions.</w:t>
      </w:r>
    </w:p>
    <w:p w14:paraId="15D1166C" w14:textId="77777777" w:rsidR="007D7C8F" w:rsidRDefault="007D7C8F" w:rsidP="007D7C8F">
      <w:pPr>
        <w:ind w:firstLine="720"/>
        <w:rPr>
          <w:b/>
          <w:bCs/>
        </w:rPr>
      </w:pPr>
    </w:p>
    <w:p w14:paraId="1155DDF1" w14:textId="77777777" w:rsidR="007D7C8F" w:rsidRPr="00C61BF4" w:rsidRDefault="007D7C8F" w:rsidP="007D7C8F">
      <w:pPr>
        <w:rPr>
          <w:b/>
          <w:bCs/>
        </w:rPr>
      </w:pPr>
      <w:r w:rsidRPr="00C61BF4">
        <w:rPr>
          <w:b/>
          <w:bCs/>
        </w:rPr>
        <w:t>High-Level and Comprehensive Documentation for T4A Generator App Process Flows</w:t>
      </w:r>
    </w:p>
    <w:p w14:paraId="3C971D4E" w14:textId="31F0874C" w:rsidR="009D0B88" w:rsidRPr="009D0B88" w:rsidRDefault="009D0B88" w:rsidP="009D0B88">
      <w:r w:rsidRPr="009D0B88">
        <w:t>At a high level, the app does one job: it stores up to two signature images and two amount thresholds in Purchases &amp; Payables Setup, then extends supported check reports so those signatures appear automatically when a printed check amount is within the configured limits. The app also wraps that core behavior with onboarding, license checks, permission auto-assignment, and report-layout guidance.</w:t>
      </w:r>
    </w:p>
    <w:p w14:paraId="0C4BFF53" w14:textId="77777777" w:rsidR="009D0B88" w:rsidRPr="009D0B88" w:rsidRDefault="009D0B88" w:rsidP="009D0B88">
      <w:r w:rsidRPr="009D0B88">
        <w:rPr>
          <w:b/>
          <w:bCs/>
        </w:rPr>
        <w:t>Process Flows</w:t>
      </w:r>
    </w:p>
    <w:p w14:paraId="5A8EB94A" w14:textId="77777777" w:rsidR="009D0B88" w:rsidRPr="009D0B88" w:rsidRDefault="009D0B88" w:rsidP="009D0B88">
      <w:pPr>
        <w:numPr>
          <w:ilvl w:val="0"/>
          <w:numId w:val="3"/>
        </w:numPr>
      </w:pPr>
      <w:r w:rsidRPr="009D0B88">
        <w:t>Install and startup flow</w:t>
      </w:r>
      <w:r w:rsidRPr="009D0B88">
        <w:br/>
        <w:t>On install, the app mainly auto-assigns its permission set and sends license records to telemetry. On upgrade, it repeats permission and telemetry work and also re-adds the assisted setup checklist entry for newer versions.</w:t>
      </w:r>
    </w:p>
    <w:p w14:paraId="3067372E" w14:textId="77777777" w:rsidR="009D0B88" w:rsidRPr="009D0B88" w:rsidRDefault="009D0B88" w:rsidP="009D0B88">
      <w:pPr>
        <w:numPr>
          <w:ilvl w:val="0"/>
          <w:numId w:val="3"/>
        </w:numPr>
      </w:pPr>
      <w:r w:rsidRPr="009D0B88">
        <w:t>Assisted setup flow</w:t>
      </w:r>
      <w:r w:rsidRPr="009D0B88">
        <w:br/>
        <w:t>The app registers an assisted setup wizard in Guided Experience and adds it to the checklist for the Business Manager profile. When users open the wizard, it logs onboarding start telemetry. When they finish, it marks the setup as complete and logs onboarding finish telemetry.</w:t>
      </w:r>
    </w:p>
    <w:p w14:paraId="02BCBDC0" w14:textId="77777777" w:rsidR="009D0B88" w:rsidRPr="009D0B88" w:rsidRDefault="009D0B88" w:rsidP="009D0B88">
      <w:pPr>
        <w:numPr>
          <w:ilvl w:val="0"/>
          <w:numId w:val="3"/>
        </w:numPr>
      </w:pPr>
      <w:r w:rsidRPr="009D0B88">
        <w:t>Registration and license flow</w:t>
      </w:r>
      <w:r w:rsidRPr="009D0B88">
        <w:br/>
        <w:t>Early wizard steps guide the user to provide client information, review application licensing, and assign permissions. Separately, when the license page opens or refreshes, the app triggers a license-state refresh. When Purchases &amp; Payables Setup opens, the app shows registration-state notifications and determines whether editing should be restricted.</w:t>
      </w:r>
    </w:p>
    <w:p w14:paraId="1DC820A8" w14:textId="77777777" w:rsidR="009D0B88" w:rsidRPr="009D0B88" w:rsidRDefault="009D0B88" w:rsidP="009D0B88">
      <w:pPr>
        <w:numPr>
          <w:ilvl w:val="0"/>
          <w:numId w:val="3"/>
        </w:numPr>
      </w:pPr>
      <w:r w:rsidRPr="009D0B88">
        <w:t>Permission flow</w:t>
      </w:r>
      <w:r w:rsidRPr="009D0B88">
        <w:br/>
        <w:t xml:space="preserve">Permissions can be assigned automatically in several places: during install, during upgrade, after a user-page action, and optionally from the onboarding wizard. The </w:t>
      </w:r>
      <w:r w:rsidRPr="009D0B88">
        <w:lastRenderedPageBreak/>
        <w:t>design assumes permission assignment is part of initial enablement rather than a purely manual admin task.</w:t>
      </w:r>
    </w:p>
    <w:p w14:paraId="21997F76" w14:textId="77777777" w:rsidR="009D0B88" w:rsidRPr="009D0B88" w:rsidRDefault="009D0B88" w:rsidP="009D0B88">
      <w:pPr>
        <w:numPr>
          <w:ilvl w:val="0"/>
          <w:numId w:val="3"/>
        </w:numPr>
      </w:pPr>
      <w:r w:rsidRPr="009D0B88">
        <w:t>Signature setup flow</w:t>
      </w:r>
      <w:r w:rsidRPr="009D0B88">
        <w:br/>
        <w:t>The app extends Purchases &amp; Payables Setup with:</w:t>
      </w:r>
    </w:p>
    <w:p w14:paraId="18BBA5B7" w14:textId="77777777" w:rsidR="009D0B88" w:rsidRPr="009D0B88" w:rsidRDefault="009D0B88" w:rsidP="009D0B88">
      <w:pPr>
        <w:numPr>
          <w:ilvl w:val="1"/>
          <w:numId w:val="3"/>
        </w:numPr>
      </w:pPr>
      <w:r w:rsidRPr="009D0B88">
        <w:t>Signature A image</w:t>
      </w:r>
    </w:p>
    <w:p w14:paraId="71D11AC5" w14:textId="77777777" w:rsidR="009D0B88" w:rsidRPr="009D0B88" w:rsidRDefault="009D0B88" w:rsidP="009D0B88">
      <w:pPr>
        <w:numPr>
          <w:ilvl w:val="1"/>
          <w:numId w:val="3"/>
        </w:numPr>
      </w:pPr>
      <w:r w:rsidRPr="009D0B88">
        <w:t>Signature A amount ceiling</w:t>
      </w:r>
    </w:p>
    <w:p w14:paraId="7DFCE7BB" w14:textId="77777777" w:rsidR="009D0B88" w:rsidRPr="009D0B88" w:rsidRDefault="009D0B88" w:rsidP="009D0B88">
      <w:pPr>
        <w:numPr>
          <w:ilvl w:val="1"/>
          <w:numId w:val="3"/>
        </w:numPr>
      </w:pPr>
      <w:r w:rsidRPr="009D0B88">
        <w:t>Signature B image</w:t>
      </w:r>
    </w:p>
    <w:p w14:paraId="6A52EDFD" w14:textId="77777777" w:rsidR="009D0B88" w:rsidRPr="009D0B88" w:rsidRDefault="009D0B88" w:rsidP="009D0B88">
      <w:pPr>
        <w:numPr>
          <w:ilvl w:val="1"/>
          <w:numId w:val="3"/>
        </w:numPr>
      </w:pPr>
      <w:r w:rsidRPr="009D0B88">
        <w:t>Signature B amount ceiling</w:t>
      </w:r>
    </w:p>
    <w:p w14:paraId="0A80E2E6" w14:textId="77777777" w:rsidR="009D0B88" w:rsidRPr="009D0B88" w:rsidRDefault="009D0B88" w:rsidP="009D0B88">
      <w:r w:rsidRPr="009D0B88">
        <w:t>Users can maintain those values in two places:</w:t>
      </w:r>
    </w:p>
    <w:p w14:paraId="0D8D38D2" w14:textId="77777777" w:rsidR="009D0B88" w:rsidRPr="009D0B88" w:rsidRDefault="009D0B88" w:rsidP="009D0B88">
      <w:pPr>
        <w:numPr>
          <w:ilvl w:val="1"/>
          <w:numId w:val="3"/>
        </w:numPr>
      </w:pPr>
      <w:r w:rsidRPr="009D0B88">
        <w:t>Directly from an added setup area on Purchases &amp; Payables Setup</w:t>
      </w:r>
    </w:p>
    <w:p w14:paraId="7DC98AA8" w14:textId="77777777" w:rsidR="009D0B88" w:rsidRPr="009D0B88" w:rsidRDefault="009D0B88" w:rsidP="009D0B88">
      <w:pPr>
        <w:numPr>
          <w:ilvl w:val="1"/>
          <w:numId w:val="3"/>
        </w:numPr>
      </w:pPr>
      <w:r w:rsidRPr="009D0B88">
        <w:t>Through a factbox-style signature maintenance page</w:t>
      </w:r>
    </w:p>
    <w:p w14:paraId="37D93BFA" w14:textId="77777777" w:rsidR="009D0B88" w:rsidRPr="009D0B88" w:rsidRDefault="009D0B88" w:rsidP="009D0B88">
      <w:r w:rsidRPr="009D0B88">
        <w:t>The signature maintenance page supports:</w:t>
      </w:r>
    </w:p>
    <w:p w14:paraId="23DEC3DB" w14:textId="77777777" w:rsidR="009D0B88" w:rsidRPr="009D0B88" w:rsidRDefault="009D0B88" w:rsidP="009D0B88">
      <w:pPr>
        <w:numPr>
          <w:ilvl w:val="1"/>
          <w:numId w:val="3"/>
        </w:numPr>
      </w:pPr>
      <w:r w:rsidRPr="009D0B88">
        <w:t>Importing each image from file</w:t>
      </w:r>
    </w:p>
    <w:p w14:paraId="340C80D3" w14:textId="77777777" w:rsidR="009D0B88" w:rsidRPr="009D0B88" w:rsidRDefault="009D0B88" w:rsidP="009D0B88">
      <w:pPr>
        <w:numPr>
          <w:ilvl w:val="1"/>
          <w:numId w:val="3"/>
        </w:numPr>
      </w:pPr>
      <w:r w:rsidRPr="009D0B88">
        <w:t>Deleting each image</w:t>
      </w:r>
    </w:p>
    <w:p w14:paraId="5EB6F771" w14:textId="77777777" w:rsidR="009D0B88" w:rsidRPr="009D0B88" w:rsidRDefault="009D0B88" w:rsidP="009D0B88">
      <w:pPr>
        <w:numPr>
          <w:ilvl w:val="1"/>
          <w:numId w:val="3"/>
        </w:numPr>
      </w:pPr>
      <w:r w:rsidRPr="009D0B88">
        <w:t>Capturing each image from device camera when available</w:t>
      </w:r>
    </w:p>
    <w:p w14:paraId="2C3F8D42" w14:textId="77777777" w:rsidR="009D0B88" w:rsidRPr="009D0B88" w:rsidRDefault="009D0B88" w:rsidP="009D0B88">
      <w:r w:rsidRPr="009D0B88">
        <w:t>The setup meaning is:</w:t>
      </w:r>
    </w:p>
    <w:p w14:paraId="1D1AE356" w14:textId="77777777" w:rsidR="009D0B88" w:rsidRPr="009D0B88" w:rsidRDefault="009D0B88" w:rsidP="009D0B88">
      <w:pPr>
        <w:numPr>
          <w:ilvl w:val="1"/>
          <w:numId w:val="3"/>
        </w:numPr>
      </w:pPr>
      <w:r w:rsidRPr="009D0B88">
        <w:t>Signature A prints when check amount is less than or equal to Signature A amount</w:t>
      </w:r>
    </w:p>
    <w:p w14:paraId="2B902339" w14:textId="77777777" w:rsidR="009D0B88" w:rsidRPr="009D0B88" w:rsidRDefault="009D0B88" w:rsidP="009D0B88">
      <w:pPr>
        <w:numPr>
          <w:ilvl w:val="1"/>
          <w:numId w:val="3"/>
        </w:numPr>
      </w:pPr>
      <w:r w:rsidRPr="009D0B88">
        <w:t>Signature B prints when check amount is less than or equal to Signature B amount</w:t>
      </w:r>
    </w:p>
    <w:p w14:paraId="53A41866" w14:textId="77777777" w:rsidR="009D0B88" w:rsidRPr="009D0B88" w:rsidRDefault="009D0B88" w:rsidP="009D0B88">
      <w:r w:rsidRPr="009D0B88">
        <w:t>Both rules are evaluated independently, so both signatures can print on the same check if both configured thresholds cover that amount.</w:t>
      </w:r>
    </w:p>
    <w:p w14:paraId="5948E0F6" w14:textId="77777777" w:rsidR="009D0B88" w:rsidRPr="009D0B88" w:rsidRDefault="009D0B88" w:rsidP="009D0B88">
      <w:pPr>
        <w:numPr>
          <w:ilvl w:val="0"/>
          <w:numId w:val="3"/>
        </w:numPr>
      </w:pPr>
      <w:r w:rsidRPr="009D0B88">
        <w:t>Onboarding signature step flow</w:t>
      </w:r>
      <w:r w:rsidRPr="009D0B88">
        <w:br/>
        <w:t>The wizard includes a signature-and-amount step that lets users upload and delete the two signatures and enter the two thresholds. This gives a guided path to the same core setup data.</w:t>
      </w:r>
    </w:p>
    <w:p w14:paraId="5BEB2A63" w14:textId="77777777" w:rsidR="009D0B88" w:rsidRPr="009D0B88" w:rsidRDefault="009D0B88" w:rsidP="009D0B88">
      <w:r w:rsidRPr="009D0B88">
        <w:t>Important detail:</w:t>
      </w:r>
    </w:p>
    <w:p w14:paraId="67C5FCD1" w14:textId="77777777" w:rsidR="009D0B88" w:rsidRPr="009D0B88" w:rsidRDefault="009D0B88" w:rsidP="009D0B88">
      <w:pPr>
        <w:numPr>
          <w:ilvl w:val="1"/>
          <w:numId w:val="3"/>
        </w:numPr>
      </w:pPr>
      <w:r w:rsidRPr="009D0B88">
        <w:t>In the wizard, the Take and Import links both perform file upload</w:t>
      </w:r>
    </w:p>
    <w:p w14:paraId="3180CA80" w14:textId="77777777" w:rsidR="009D0B88" w:rsidRPr="009D0B88" w:rsidRDefault="009D0B88" w:rsidP="009D0B88">
      <w:pPr>
        <w:numPr>
          <w:ilvl w:val="1"/>
          <w:numId w:val="3"/>
        </w:numPr>
      </w:pPr>
      <w:r w:rsidRPr="009D0B88">
        <w:lastRenderedPageBreak/>
        <w:t>Actual camera capture exists on the dedicated signature setup page, not in the wizard step fields themselves</w:t>
      </w:r>
    </w:p>
    <w:p w14:paraId="34E54B8B" w14:textId="77777777" w:rsidR="009D0B88" w:rsidRPr="009D0B88" w:rsidRDefault="009D0B88" w:rsidP="009D0B88">
      <w:pPr>
        <w:numPr>
          <w:ilvl w:val="0"/>
          <w:numId w:val="3"/>
        </w:numPr>
      </w:pPr>
      <w:r w:rsidRPr="009D0B88">
        <w:t>Report layout activation flow</w:t>
      </w:r>
      <w:r w:rsidRPr="009D0B88">
        <w:br/>
        <w:t>The app does not replace the standard check process automatically. Users must activate the app’s layouts for the supported check formats in report layout selection. A dedicated list page narrows the layout work to the supported check reports and lets the user:</w:t>
      </w:r>
    </w:p>
    <w:p w14:paraId="5B8FF26E" w14:textId="77777777" w:rsidR="009D0B88" w:rsidRPr="009D0B88" w:rsidRDefault="009D0B88" w:rsidP="009D0B88">
      <w:pPr>
        <w:numPr>
          <w:ilvl w:val="1"/>
          <w:numId w:val="3"/>
        </w:numPr>
      </w:pPr>
      <w:r w:rsidRPr="009D0B88">
        <w:t>Choose a built-in layout</w:t>
      </w:r>
    </w:p>
    <w:p w14:paraId="3C54451F" w14:textId="77777777" w:rsidR="009D0B88" w:rsidRPr="009D0B88" w:rsidRDefault="009D0B88" w:rsidP="009D0B88">
      <w:pPr>
        <w:numPr>
          <w:ilvl w:val="1"/>
          <w:numId w:val="3"/>
        </w:numPr>
      </w:pPr>
      <w:r w:rsidRPr="009D0B88">
        <w:t>Choose a custom layout</w:t>
      </w:r>
    </w:p>
    <w:p w14:paraId="07EC83F7" w14:textId="77777777" w:rsidR="009D0B88" w:rsidRPr="009D0B88" w:rsidRDefault="009D0B88" w:rsidP="009D0B88">
      <w:pPr>
        <w:numPr>
          <w:ilvl w:val="1"/>
          <w:numId w:val="3"/>
        </w:numPr>
      </w:pPr>
      <w:r w:rsidRPr="009D0B88">
        <w:t>Restore the default layout</w:t>
      </w:r>
    </w:p>
    <w:p w14:paraId="178F5C12" w14:textId="77777777" w:rsidR="009D0B88" w:rsidRPr="009D0B88" w:rsidRDefault="009D0B88" w:rsidP="009D0B88">
      <w:pPr>
        <w:numPr>
          <w:ilvl w:val="1"/>
          <w:numId w:val="3"/>
        </w:numPr>
      </w:pPr>
      <w:r w:rsidRPr="009D0B88">
        <w:t>Test-run the report</w:t>
      </w:r>
    </w:p>
    <w:p w14:paraId="71CBE0FF" w14:textId="77777777" w:rsidR="009D0B88" w:rsidRPr="009D0B88" w:rsidRDefault="009D0B88" w:rsidP="009D0B88">
      <w:r w:rsidRPr="009D0B88">
        <w:t>This is an important part of the solution: if the custom signature-ready layout is not selected, the signature logic in the layout will not be used.</w:t>
      </w:r>
    </w:p>
    <w:p w14:paraId="35839B43" w14:textId="77777777" w:rsidR="009D0B88" w:rsidRPr="009D0B88" w:rsidRDefault="009D0B88" w:rsidP="009D0B88">
      <w:pPr>
        <w:numPr>
          <w:ilvl w:val="0"/>
          <w:numId w:val="3"/>
        </w:numPr>
      </w:pPr>
      <w:r w:rsidRPr="009D0B88">
        <w:t>Bank account report selection flow</w:t>
      </w:r>
      <w:r w:rsidRPr="009D0B88">
        <w:br/>
        <w:t>A separate helper page filters report selections to bank-account check usage only. This helps the user verify which check report format is actually assigned for check printing. In practice, the user must align two things:</w:t>
      </w:r>
    </w:p>
    <w:p w14:paraId="14E8204D" w14:textId="77777777" w:rsidR="009D0B88" w:rsidRPr="009D0B88" w:rsidRDefault="009D0B88" w:rsidP="009D0B88">
      <w:pPr>
        <w:numPr>
          <w:ilvl w:val="1"/>
          <w:numId w:val="3"/>
        </w:numPr>
      </w:pPr>
      <w:r w:rsidRPr="009D0B88">
        <w:t>The bank account report selection must point to a supported check format</w:t>
      </w:r>
    </w:p>
    <w:p w14:paraId="282BDDFA" w14:textId="77777777" w:rsidR="009D0B88" w:rsidRPr="009D0B88" w:rsidRDefault="009D0B88" w:rsidP="009D0B88">
      <w:pPr>
        <w:numPr>
          <w:ilvl w:val="1"/>
          <w:numId w:val="3"/>
        </w:numPr>
      </w:pPr>
      <w:r w:rsidRPr="009D0B88">
        <w:t>The report layout selection must point that report to the app’s signature-ready layout</w:t>
      </w:r>
    </w:p>
    <w:p w14:paraId="35EF758B" w14:textId="77777777" w:rsidR="009D0B88" w:rsidRPr="009D0B88" w:rsidRDefault="009D0B88" w:rsidP="009D0B88">
      <w:pPr>
        <w:numPr>
          <w:ilvl w:val="0"/>
          <w:numId w:val="3"/>
        </w:numPr>
      </w:pPr>
      <w:r w:rsidRPr="009D0B88">
        <w:t>Print-time runtime flow</w:t>
      </w:r>
      <w:r w:rsidRPr="009D0B88">
        <w:br/>
        <w:t>During check printing, each supported report extension adds four values to the dataset:</w:t>
      </w:r>
    </w:p>
    <w:p w14:paraId="3E7D3867" w14:textId="77777777" w:rsidR="009D0B88" w:rsidRPr="009D0B88" w:rsidRDefault="009D0B88" w:rsidP="009D0B88">
      <w:pPr>
        <w:numPr>
          <w:ilvl w:val="1"/>
          <w:numId w:val="3"/>
        </w:numPr>
      </w:pPr>
      <w:r w:rsidRPr="009D0B88">
        <w:t>Signature A amount</w:t>
      </w:r>
    </w:p>
    <w:p w14:paraId="64E99843" w14:textId="77777777" w:rsidR="009D0B88" w:rsidRPr="009D0B88" w:rsidRDefault="009D0B88" w:rsidP="009D0B88">
      <w:pPr>
        <w:numPr>
          <w:ilvl w:val="1"/>
          <w:numId w:val="3"/>
        </w:numPr>
      </w:pPr>
      <w:r w:rsidRPr="009D0B88">
        <w:t>Signature A image</w:t>
      </w:r>
    </w:p>
    <w:p w14:paraId="7083422A" w14:textId="77777777" w:rsidR="009D0B88" w:rsidRPr="009D0B88" w:rsidRDefault="009D0B88" w:rsidP="009D0B88">
      <w:pPr>
        <w:numPr>
          <w:ilvl w:val="1"/>
          <w:numId w:val="3"/>
        </w:numPr>
      </w:pPr>
      <w:r w:rsidRPr="009D0B88">
        <w:t>Signature B amount</w:t>
      </w:r>
    </w:p>
    <w:p w14:paraId="768E40D0" w14:textId="77777777" w:rsidR="009D0B88" w:rsidRPr="009D0B88" w:rsidRDefault="009D0B88" w:rsidP="009D0B88">
      <w:pPr>
        <w:numPr>
          <w:ilvl w:val="1"/>
          <w:numId w:val="3"/>
        </w:numPr>
      </w:pPr>
      <w:r w:rsidRPr="009D0B88">
        <w:t>Signature B image</w:t>
      </w:r>
    </w:p>
    <w:p w14:paraId="4A5959A2" w14:textId="77777777" w:rsidR="009D0B88" w:rsidRPr="009D0B88" w:rsidRDefault="009D0B88" w:rsidP="009D0B88">
      <w:r w:rsidRPr="009D0B88">
        <w:t>Before records are processed, each report extension checks whether the app is licensed. If not licensed, it forces both amount thresholds to zero. That effectively suppresses signatures for normal positive-value checks.</w:t>
      </w:r>
    </w:p>
    <w:p w14:paraId="60D06F3F" w14:textId="77777777" w:rsidR="009D0B88" w:rsidRPr="009D0B88" w:rsidRDefault="009D0B88" w:rsidP="009D0B88">
      <w:r w:rsidRPr="009D0B88">
        <w:lastRenderedPageBreak/>
        <w:t>The actual show-or-hide decision is made inside the RDLC layouts, not in AL business logic. The layout caches:</w:t>
      </w:r>
    </w:p>
    <w:p w14:paraId="3748A418" w14:textId="77777777" w:rsidR="009D0B88" w:rsidRPr="009D0B88" w:rsidRDefault="009D0B88" w:rsidP="009D0B88">
      <w:pPr>
        <w:numPr>
          <w:ilvl w:val="1"/>
          <w:numId w:val="3"/>
        </w:numPr>
      </w:pPr>
      <w:r w:rsidRPr="009D0B88">
        <w:t>The configured thresholds</w:t>
      </w:r>
    </w:p>
    <w:p w14:paraId="78CC0F3F" w14:textId="77777777" w:rsidR="009D0B88" w:rsidRPr="009D0B88" w:rsidRDefault="009D0B88" w:rsidP="009D0B88">
      <w:pPr>
        <w:numPr>
          <w:ilvl w:val="1"/>
          <w:numId w:val="3"/>
        </w:numPr>
      </w:pPr>
      <w:r w:rsidRPr="009D0B88">
        <w:t>The two media blobs</w:t>
      </w:r>
    </w:p>
    <w:p w14:paraId="4771DE9F" w14:textId="77777777" w:rsidR="009D0B88" w:rsidRPr="009D0B88" w:rsidRDefault="009D0B88" w:rsidP="009D0B88">
      <w:pPr>
        <w:numPr>
          <w:ilvl w:val="1"/>
          <w:numId w:val="3"/>
        </w:numPr>
      </w:pPr>
      <w:r w:rsidRPr="009D0B88">
        <w:t>The check amount coming from the report body/footer context</w:t>
      </w:r>
    </w:p>
    <w:p w14:paraId="7676419D" w14:textId="77777777" w:rsidR="009D0B88" w:rsidRPr="009D0B88" w:rsidRDefault="009D0B88" w:rsidP="009D0B88">
      <w:r w:rsidRPr="009D0B88">
        <w:t>Each image is hidden when the check amount is greater than that signature’s configured amount. So the effective rule is:</w:t>
      </w:r>
    </w:p>
    <w:p w14:paraId="31C02BA8" w14:textId="77777777" w:rsidR="009D0B88" w:rsidRPr="009D0B88" w:rsidRDefault="009D0B88" w:rsidP="009D0B88">
      <w:pPr>
        <w:numPr>
          <w:ilvl w:val="1"/>
          <w:numId w:val="3"/>
        </w:numPr>
      </w:pPr>
      <w:r w:rsidRPr="009D0B88">
        <w:t>Show image when check amount is less than or equal to configured amount</w:t>
      </w:r>
    </w:p>
    <w:p w14:paraId="34579D2E" w14:textId="77777777" w:rsidR="009D0B88" w:rsidRPr="009D0B88" w:rsidRDefault="009D0B88" w:rsidP="009D0B88">
      <w:pPr>
        <w:numPr>
          <w:ilvl w:val="1"/>
          <w:numId w:val="3"/>
        </w:numPr>
      </w:pPr>
      <w:r w:rsidRPr="009D0B88">
        <w:t>Hide image when check amount is greater than configured amount</w:t>
      </w:r>
    </w:p>
    <w:p w14:paraId="2035BCB0" w14:textId="77777777" w:rsidR="009D0B88" w:rsidRPr="009D0B88" w:rsidRDefault="009D0B88" w:rsidP="009D0B88">
      <w:pPr>
        <w:numPr>
          <w:ilvl w:val="0"/>
          <w:numId w:val="3"/>
        </w:numPr>
      </w:pPr>
      <w:r w:rsidRPr="009D0B88">
        <w:t>Supported print formats</w:t>
      </w:r>
      <w:r w:rsidRPr="009D0B88">
        <w:br/>
        <w:t>The app actively supports four check layout variants. There is also a fifth variant present in source as commented-out code, which means it is not active in the shipped logic.</w:t>
      </w:r>
    </w:p>
    <w:p w14:paraId="489470A6" w14:textId="77777777" w:rsidR="009D0B88" w:rsidRPr="009D0B88" w:rsidRDefault="009D0B88" w:rsidP="009D0B88">
      <w:r w:rsidRPr="009D0B88">
        <w:rPr>
          <w:b/>
          <w:bCs/>
        </w:rPr>
        <w:t>Architecture Notes</w:t>
      </w:r>
    </w:p>
    <w:p w14:paraId="01B25970" w14:textId="77777777" w:rsidR="009D0B88" w:rsidRPr="009D0B88" w:rsidRDefault="009D0B88" w:rsidP="009D0B88">
      <w:pPr>
        <w:numPr>
          <w:ilvl w:val="0"/>
          <w:numId w:val="4"/>
        </w:numPr>
      </w:pPr>
      <w:r w:rsidRPr="009D0B88">
        <w:t>The app is intentionally narrow in scope. Most business data lives in standard setup, not in custom tables.</w:t>
      </w:r>
    </w:p>
    <w:p w14:paraId="321DDBF4" w14:textId="77777777" w:rsidR="009D0B88" w:rsidRPr="009D0B88" w:rsidRDefault="009D0B88" w:rsidP="009D0B88">
      <w:pPr>
        <w:numPr>
          <w:ilvl w:val="0"/>
          <w:numId w:val="4"/>
        </w:numPr>
      </w:pPr>
      <w:r w:rsidRPr="009D0B88">
        <w:t>The custom data model is very small: two media fields and two decimal thresholds added to Purchases &amp; Payables Setup.</w:t>
      </w:r>
    </w:p>
    <w:p w14:paraId="3E8BF74F" w14:textId="77777777" w:rsidR="009D0B88" w:rsidRPr="009D0B88" w:rsidRDefault="009D0B88" w:rsidP="009D0B88">
      <w:pPr>
        <w:numPr>
          <w:ilvl w:val="0"/>
          <w:numId w:val="4"/>
        </w:numPr>
      </w:pPr>
      <w:r w:rsidRPr="009D0B88">
        <w:t>The strongest runtime dependency is the shared framework for licensing, permissions, client registration, and telemetry.</w:t>
      </w:r>
    </w:p>
    <w:p w14:paraId="1A9B701D" w14:textId="77777777" w:rsidR="009D0B88" w:rsidRPr="009D0B88" w:rsidRDefault="009D0B88" w:rsidP="009D0B88">
      <w:pPr>
        <w:numPr>
          <w:ilvl w:val="0"/>
          <w:numId w:val="4"/>
        </w:numPr>
      </w:pPr>
      <w:r w:rsidRPr="009D0B88">
        <w:t>The printing solution is split across AL and RDLC:</w:t>
      </w:r>
    </w:p>
    <w:p w14:paraId="5828B6EA" w14:textId="77777777" w:rsidR="009D0B88" w:rsidRPr="009D0B88" w:rsidRDefault="009D0B88" w:rsidP="009D0B88">
      <w:pPr>
        <w:numPr>
          <w:ilvl w:val="1"/>
          <w:numId w:val="4"/>
        </w:numPr>
      </w:pPr>
      <w:r w:rsidRPr="009D0B88">
        <w:t>AL injects setup data and license state into the report dataset</w:t>
      </w:r>
    </w:p>
    <w:p w14:paraId="2CFE198F" w14:textId="77777777" w:rsidR="009D0B88" w:rsidRPr="009D0B88" w:rsidRDefault="009D0B88" w:rsidP="009D0B88">
      <w:pPr>
        <w:numPr>
          <w:ilvl w:val="1"/>
          <w:numId w:val="4"/>
        </w:numPr>
      </w:pPr>
      <w:r w:rsidRPr="009D0B88">
        <w:t>RDLC decides whether each signature image is visible on the printed output</w:t>
      </w:r>
    </w:p>
    <w:p w14:paraId="2B2741AA" w14:textId="77777777" w:rsidR="009D0B88" w:rsidRPr="009D0B88" w:rsidRDefault="009D0B88" w:rsidP="009D0B88">
      <w:r w:rsidRPr="009D0B88">
        <w:rPr>
          <w:b/>
          <w:bCs/>
        </w:rPr>
        <w:t>Review Notes</w:t>
      </w:r>
    </w:p>
    <w:p w14:paraId="1C0EF1E0" w14:textId="77777777" w:rsidR="009D0B88" w:rsidRPr="009D0B88" w:rsidRDefault="009D0B88" w:rsidP="009D0B88">
      <w:pPr>
        <w:numPr>
          <w:ilvl w:val="0"/>
          <w:numId w:val="5"/>
        </w:numPr>
      </w:pPr>
      <w:r w:rsidRPr="009D0B88">
        <w:t>The true print rule lives in RDLC expressions, not in the helper codeunit. That helper exists, but it is not the active source of print-time visibility.</w:t>
      </w:r>
    </w:p>
    <w:p w14:paraId="0461CD0F" w14:textId="77777777" w:rsidR="009D0B88" w:rsidRPr="009D0B88" w:rsidRDefault="009D0B88" w:rsidP="009D0B88">
      <w:pPr>
        <w:numPr>
          <w:ilvl w:val="0"/>
          <w:numId w:val="5"/>
        </w:numPr>
      </w:pPr>
      <w:r w:rsidRPr="009D0B88">
        <w:t>A legacy internal holding table exists but is not part of the active end-to-end flow.</w:t>
      </w:r>
    </w:p>
    <w:p w14:paraId="37047225" w14:textId="77777777" w:rsidR="009D0B88" w:rsidRPr="009D0B88" w:rsidRDefault="009D0B88" w:rsidP="009D0B88">
      <w:pPr>
        <w:numPr>
          <w:ilvl w:val="0"/>
          <w:numId w:val="5"/>
        </w:numPr>
      </w:pPr>
      <w:r w:rsidRPr="009D0B88">
        <w:t>One helper codeunit for signature values appears largely unused in current printing behavior.</w:t>
      </w:r>
    </w:p>
    <w:p w14:paraId="409BCA09" w14:textId="77777777" w:rsidR="009D0B88" w:rsidRPr="009D0B88" w:rsidRDefault="009D0B88" w:rsidP="009D0B88">
      <w:pPr>
        <w:numPr>
          <w:ilvl w:val="0"/>
          <w:numId w:val="5"/>
        </w:numPr>
      </w:pPr>
      <w:r w:rsidRPr="009D0B88">
        <w:lastRenderedPageBreak/>
        <w:t>One check-format extension is fully commented out, so the app’s effective support surface is smaller than the source tree might first suggest.</w:t>
      </w:r>
    </w:p>
    <w:p w14:paraId="33A297E2" w14:textId="77777777" w:rsidR="009D0B88" w:rsidRPr="009D0B88" w:rsidRDefault="009D0B88" w:rsidP="009D0B88">
      <w:pPr>
        <w:numPr>
          <w:ilvl w:val="0"/>
          <w:numId w:val="5"/>
        </w:numPr>
      </w:pPr>
      <w:r w:rsidRPr="009D0B88">
        <w:t>The file-import path explicitly modifies the setup record after image upload, while the camera path imports directly into the media field without the same explicit modify call. That inconsistency is worth validating in real usage.</w:t>
      </w:r>
    </w:p>
    <w:p w14:paraId="7FA9800E" w14:textId="77777777" w:rsidR="009D0B88" w:rsidRPr="009D0B88" w:rsidRDefault="009D0B88" w:rsidP="009D0B88">
      <w:pPr>
        <w:numPr>
          <w:ilvl w:val="0"/>
          <w:numId w:val="5"/>
        </w:numPr>
      </w:pPr>
      <w:r w:rsidRPr="009D0B88">
        <w:t>The onboarding wizard’s Take labels are misleading because they currently behave like file import, not camera capture.</w:t>
      </w:r>
    </w:p>
    <w:p w14:paraId="77DF3B62" w14:textId="77777777" w:rsidR="00906192" w:rsidRPr="009D0B88" w:rsidRDefault="00906192" w:rsidP="009D0B88"/>
    <w:sectPr w:rsidR="00906192" w:rsidRPr="009D0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4830"/>
    <w:multiLevelType w:val="multilevel"/>
    <w:tmpl w:val="3EA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F07E7"/>
    <w:multiLevelType w:val="multilevel"/>
    <w:tmpl w:val="9D3E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E93100"/>
    <w:multiLevelType w:val="multilevel"/>
    <w:tmpl w:val="F63C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63097"/>
    <w:multiLevelType w:val="multilevel"/>
    <w:tmpl w:val="AD72A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51687"/>
    <w:multiLevelType w:val="multilevel"/>
    <w:tmpl w:val="D4B4AE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380908">
    <w:abstractNumId w:val="1"/>
  </w:num>
  <w:num w:numId="2" w16cid:durableId="336006519">
    <w:abstractNumId w:val="4"/>
  </w:num>
  <w:num w:numId="3" w16cid:durableId="1927422653">
    <w:abstractNumId w:val="3"/>
  </w:num>
  <w:num w:numId="4" w16cid:durableId="756171216">
    <w:abstractNumId w:val="2"/>
  </w:num>
  <w:num w:numId="5" w16cid:durableId="194379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0BB"/>
    <w:rsid w:val="003B037F"/>
    <w:rsid w:val="00472BCF"/>
    <w:rsid w:val="007D7C8F"/>
    <w:rsid w:val="00906192"/>
    <w:rsid w:val="009D0B88"/>
    <w:rsid w:val="00CF19CE"/>
    <w:rsid w:val="00F500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4F43"/>
  <w15:chartTrackingRefBased/>
  <w15:docId w15:val="{74EBF841-575A-4D5F-A481-0781F7B2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0BB"/>
    <w:rPr>
      <w:rFonts w:eastAsiaTheme="majorEastAsia" w:cstheme="majorBidi"/>
      <w:color w:val="272727" w:themeColor="text1" w:themeTint="D8"/>
    </w:rPr>
  </w:style>
  <w:style w:type="paragraph" w:styleId="Title">
    <w:name w:val="Title"/>
    <w:basedOn w:val="Normal"/>
    <w:next w:val="Normal"/>
    <w:link w:val="TitleChar"/>
    <w:uiPriority w:val="10"/>
    <w:qFormat/>
    <w:rsid w:val="00F5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0BB"/>
    <w:pPr>
      <w:spacing w:before="160"/>
      <w:jc w:val="center"/>
    </w:pPr>
    <w:rPr>
      <w:i/>
      <w:iCs/>
      <w:color w:val="404040" w:themeColor="text1" w:themeTint="BF"/>
    </w:rPr>
  </w:style>
  <w:style w:type="character" w:customStyle="1" w:styleId="QuoteChar">
    <w:name w:val="Quote Char"/>
    <w:basedOn w:val="DefaultParagraphFont"/>
    <w:link w:val="Quote"/>
    <w:uiPriority w:val="29"/>
    <w:rsid w:val="00F500BB"/>
    <w:rPr>
      <w:i/>
      <w:iCs/>
      <w:color w:val="404040" w:themeColor="text1" w:themeTint="BF"/>
    </w:rPr>
  </w:style>
  <w:style w:type="paragraph" w:styleId="ListParagraph">
    <w:name w:val="List Paragraph"/>
    <w:basedOn w:val="Normal"/>
    <w:uiPriority w:val="34"/>
    <w:qFormat/>
    <w:rsid w:val="00F500BB"/>
    <w:pPr>
      <w:ind w:left="720"/>
      <w:contextualSpacing/>
    </w:pPr>
  </w:style>
  <w:style w:type="character" w:styleId="IntenseEmphasis">
    <w:name w:val="Intense Emphasis"/>
    <w:basedOn w:val="DefaultParagraphFont"/>
    <w:uiPriority w:val="21"/>
    <w:qFormat/>
    <w:rsid w:val="00F500BB"/>
    <w:rPr>
      <w:i/>
      <w:iCs/>
      <w:color w:val="0F4761" w:themeColor="accent1" w:themeShade="BF"/>
    </w:rPr>
  </w:style>
  <w:style w:type="paragraph" w:styleId="IntenseQuote">
    <w:name w:val="Intense Quote"/>
    <w:basedOn w:val="Normal"/>
    <w:next w:val="Normal"/>
    <w:link w:val="IntenseQuoteChar"/>
    <w:uiPriority w:val="30"/>
    <w:qFormat/>
    <w:rsid w:val="00F50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0BB"/>
    <w:rPr>
      <w:i/>
      <w:iCs/>
      <w:color w:val="0F4761" w:themeColor="accent1" w:themeShade="BF"/>
    </w:rPr>
  </w:style>
  <w:style w:type="character" w:styleId="IntenseReference">
    <w:name w:val="Intense Reference"/>
    <w:basedOn w:val="DefaultParagraphFont"/>
    <w:uiPriority w:val="32"/>
    <w:qFormat/>
    <w:rsid w:val="00F500BB"/>
    <w:rPr>
      <w:b/>
      <w:bCs/>
      <w:smallCaps/>
      <w:color w:val="0F4761" w:themeColor="accent1" w:themeShade="BF"/>
      <w:spacing w:val="5"/>
    </w:rPr>
  </w:style>
  <w:style w:type="character" w:styleId="Hyperlink">
    <w:name w:val="Hyperlink"/>
    <w:basedOn w:val="DefaultParagraphFont"/>
    <w:uiPriority w:val="99"/>
    <w:unhideWhenUsed/>
    <w:rsid w:val="009D0B88"/>
    <w:rPr>
      <w:color w:val="467886" w:themeColor="hyperlink"/>
      <w:u w:val="single"/>
    </w:rPr>
  </w:style>
  <w:style w:type="character" w:styleId="UnresolvedMention">
    <w:name w:val="Unresolved Mention"/>
    <w:basedOn w:val="DefaultParagraphFont"/>
    <w:uiPriority w:val="99"/>
    <w:semiHidden/>
    <w:unhideWhenUsed/>
    <w:rsid w:val="009D0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Chan</dc:creator>
  <cp:keywords/>
  <dc:description/>
  <cp:lastModifiedBy>Jeff Chan</cp:lastModifiedBy>
  <cp:revision>3</cp:revision>
  <dcterms:created xsi:type="dcterms:W3CDTF">2026-04-20T15:34:00Z</dcterms:created>
  <dcterms:modified xsi:type="dcterms:W3CDTF">2026-04-20T15:55:00Z</dcterms:modified>
</cp:coreProperties>
</file>