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pPr>
      <w:r>
        <w:rPr>
          <w:b/>
          <w:color w:val="2E4A6B"/>
          <w:spacing w:val="20"/>
          <w:sz w:val="18"/>
        </w:rPr>
        <w:t>CHANGE CONTROL DOCUMENT</w:t>
      </w:r>
    </w:p>
    <w:p>
      <w:pPr>
        <w:keepNext w:val="0"/>
        <w:spacing w:before="0" w:after="40"/>
      </w:pPr>
      <w:r>
        <w:rPr>
          <w:b/>
          <w:color w:val="1F3A5F"/>
          <w:sz w:val="40"/>
        </w:rPr>
        <w:t>Azure Databricks Platform — Dev, Test and Prod</w:t>
      </w:r>
    </w:p>
    <w:p>
      <w:pPr>
        <w:keepNext w:val="0"/>
        <w:spacing w:before="0" w:after="80"/>
      </w:pPr>
      <w:r>
        <w:rPr>
          <w:b w:val="0"/>
          <w:color w:val="2E4A6B"/>
          <w:sz w:val="23"/>
        </w:rPr>
        <w:t>New Databricks environments built with Terraform, and the supporting changes in the existing Baytex network</w:t>
      </w:r>
    </w:p>
    <w:p>
      <w:pPr>
        <w:keepNext w:val="0"/>
        <w:pBdr>
          <w:bottom w:val="single" w:sz="12" w:space="6" w:color="1F3A5F"/>
        </w:pBdr>
        <w:spacing w:before="0" w:after="240"/>
      </w:pPr>
      <w:r>
        <w:rPr>
          <w:b w:val="0"/>
          <w:color w:val="5F6B7A"/>
          <w:sz w:val="18"/>
        </w:rPr>
        <w:t>Baytex Energy  |  Prepared by AMTRA  |  28 September 2026</w:t>
      </w:r>
    </w:p>
    <w:p>
      <w:pPr>
        <w:pStyle w:val="Heading1"/>
      </w:pPr>
      <w:r>
        <w:t>1. Summary</w:t>
      </w:r>
    </w:p>
    <w:tbl>
      <w:tblPr>
        <w:tblW w:type="dxa" w:w="10080"/>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Layout w:type="fixed"/>
        <w:tblCellMar>
          <w:top w:w="40" w:type="dxa"/>
          <w:left w:w="90" w:type="dxa"/>
          <w:bottom w:w="40" w:type="dxa"/>
          <w:right w:w="90" w:type="dxa"/>
        </w:tblCellMar>
        <w:tblLook w:firstColumn="1" w:firstRow="1" w:lastColumn="0" w:lastRow="0" w:noHBand="0" w:noVBand="1" w:val="04A0"/>
      </w:tblPr>
      <w:tblGrid>
        <w:gridCol w:w="2736"/>
        <w:gridCol w:w="7344"/>
      </w:tblGrid>
      <w:tr>
        <w:trPr>
          <w:cantSplit/>
        </w:trPr>
        <w:tc>
          <w:tcPr>
            <w:tcW w:type="dxa" w:w="2736"/>
            <w:shd w:val="clear" w:color="auto" w:fill="E9EEF4"/>
            <w:vAlign w:val="top"/>
          </w:tcPr>
          <w:p>
            <w:pPr>
              <w:keepNext/>
              <w:spacing w:before="0" w:after="0" w:line="252" w:lineRule="auto"/>
            </w:pPr>
            <w:r>
              <w:rPr>
                <w:b/>
                <w:color w:val="1F3A5F"/>
                <w:sz w:val="18"/>
              </w:rPr>
              <w:t>What is changing</w:t>
            </w:r>
          </w:p>
        </w:tc>
        <w:tc>
          <w:tcPr>
            <w:tcW w:type="dxa" w:w="7344"/>
            <w:vAlign w:val="top"/>
          </w:tcPr>
          <w:p>
            <w:pPr>
              <w:keepNext/>
              <w:spacing w:before="0" w:after="0" w:line="252" w:lineRule="auto"/>
            </w:pPr>
            <w:r>
              <w:rPr>
                <w:b w:val="0"/>
                <w:sz w:val="18"/>
              </w:rPr>
              <w:t xml:space="preserve">Three new, isolated Azure Databricks environments for Baytex BI — </w:t>
            </w:r>
            <w:r>
              <w:rPr>
                <w:b/>
                <w:sz w:val="18"/>
              </w:rPr>
              <w:t>Dev, Test and Prod</w:t>
            </w:r>
            <w:r>
              <w:rPr>
                <w:b w:val="0"/>
                <w:sz w:val="18"/>
              </w:rPr>
              <w:t xml:space="preserve"> — built by AMTRA with Terraform in Azure Canada Central.</w:t>
            </w:r>
          </w:p>
        </w:tc>
      </w:tr>
      <w:tr>
        <w:trPr>
          <w:cantSplit/>
        </w:trPr>
        <w:tc>
          <w:tcPr>
            <w:tcW w:type="dxa" w:w="2736"/>
            <w:shd w:val="clear" w:color="auto" w:fill="E9EEF4"/>
            <w:vAlign w:val="top"/>
          </w:tcPr>
          <w:p>
            <w:pPr>
              <w:keepNext/>
              <w:spacing w:before="0" w:after="0" w:line="252" w:lineRule="auto"/>
            </w:pPr>
            <w:r>
              <w:rPr>
                <w:b/>
                <w:color w:val="1F3A5F"/>
                <w:sz w:val="18"/>
              </w:rPr>
              <w:t>Environments</w:t>
            </w:r>
          </w:p>
        </w:tc>
        <w:tc>
          <w:tcPr>
            <w:tcW w:type="dxa" w:w="7344"/>
            <w:vAlign w:val="top"/>
          </w:tcPr>
          <w:p>
            <w:pPr>
              <w:keepNext/>
              <w:spacing w:before="0" w:after="30" w:line="252" w:lineRule="auto"/>
            </w:pPr>
            <w:r>
              <w:rPr>
                <w:b/>
                <w:sz w:val="18"/>
              </w:rPr>
              <w:t>Dev</w:t>
            </w:r>
            <w:r>
              <w:rPr>
                <w:b w:val="0"/>
                <w:sz w:val="18"/>
              </w:rPr>
              <w:t xml:space="preserve"> — </w:t>
            </w:r>
            <w:r>
              <w:rPr>
                <w:rFonts w:ascii="Consolas" w:hAnsi="Consolas" w:eastAsia="Consolas" w:cs="Consolas"/>
                <w:b w:val="0"/>
                <w:sz w:val="17"/>
              </w:rPr>
              <w:t>SUB-BTE-CAN-DATA-NONPROD</w:t>
            </w:r>
            <w:r>
              <w:rPr>
                <w:b w:val="0"/>
                <w:sz w:val="18"/>
              </w:rPr>
              <w:t xml:space="preserve"> — </w:t>
            </w:r>
            <w:r>
              <w:rPr>
                <w:rFonts w:ascii="Consolas" w:hAnsi="Consolas" w:eastAsia="Consolas" w:cs="Consolas"/>
                <w:b w:val="0"/>
                <w:sz w:val="17"/>
              </w:rPr>
              <w:t>10.40.144.0/20</w:t>
            </w:r>
          </w:p>
          <w:p>
            <w:pPr>
              <w:keepNext/>
              <w:spacing w:before="0" w:after="30" w:line="252" w:lineRule="auto"/>
            </w:pPr>
            <w:r>
              <w:rPr>
                <w:b/>
                <w:sz w:val="18"/>
              </w:rPr>
              <w:t>Test</w:t>
            </w:r>
            <w:r>
              <w:rPr>
                <w:b w:val="0"/>
                <w:sz w:val="18"/>
              </w:rPr>
              <w:t xml:space="preserve"> — </w:t>
            </w:r>
            <w:r>
              <w:rPr>
                <w:rFonts w:ascii="Consolas" w:hAnsi="Consolas" w:eastAsia="Consolas" w:cs="Consolas"/>
                <w:b w:val="0"/>
                <w:sz w:val="17"/>
              </w:rPr>
              <w:t>SUB-BTE-CAN-DATA-TEST</w:t>
            </w:r>
            <w:r>
              <w:rPr>
                <w:b w:val="0"/>
                <w:sz w:val="18"/>
              </w:rPr>
              <w:t xml:space="preserve"> — </w:t>
            </w:r>
            <w:r>
              <w:rPr>
                <w:rFonts w:ascii="Consolas" w:hAnsi="Consolas" w:eastAsia="Consolas" w:cs="Consolas"/>
                <w:b w:val="0"/>
                <w:sz w:val="17"/>
              </w:rPr>
              <w:t>10.40.192.0/20</w:t>
            </w:r>
          </w:p>
          <w:p>
            <w:pPr>
              <w:keepNext/>
              <w:spacing w:before="0" w:after="0" w:line="252" w:lineRule="auto"/>
            </w:pPr>
            <w:r>
              <w:rPr>
                <w:b/>
                <w:sz w:val="18"/>
              </w:rPr>
              <w:t>Prod</w:t>
            </w:r>
            <w:r>
              <w:rPr>
                <w:b w:val="0"/>
                <w:sz w:val="18"/>
              </w:rPr>
              <w:t xml:space="preserve"> — </w:t>
            </w:r>
            <w:r>
              <w:rPr>
                <w:rFonts w:ascii="Consolas" w:hAnsi="Consolas" w:eastAsia="Consolas" w:cs="Consolas"/>
                <w:b w:val="0"/>
                <w:sz w:val="17"/>
              </w:rPr>
              <w:t>SUB-BTE-CAN-DATA-PROD</w:t>
            </w:r>
            <w:r>
              <w:rPr>
                <w:b w:val="0"/>
                <w:sz w:val="18"/>
              </w:rPr>
              <w:t xml:space="preserve"> — </w:t>
            </w:r>
            <w:r>
              <w:rPr>
                <w:rFonts w:ascii="Consolas" w:hAnsi="Consolas" w:eastAsia="Consolas" w:cs="Consolas"/>
                <w:b w:val="0"/>
                <w:sz w:val="17"/>
              </w:rPr>
              <w:t>10.40.176.0/20</w:t>
            </w:r>
          </w:p>
        </w:tc>
      </w:tr>
      <w:tr>
        <w:trPr>
          <w:cantSplit/>
        </w:trPr>
        <w:tc>
          <w:tcPr>
            <w:tcW w:type="dxa" w:w="2736"/>
            <w:shd w:val="clear" w:color="auto" w:fill="E9EEF4"/>
            <w:vAlign w:val="top"/>
          </w:tcPr>
          <w:p>
            <w:pPr>
              <w:keepNext/>
              <w:spacing w:before="0" w:after="0" w:line="252" w:lineRule="auto"/>
            </w:pPr>
            <w:r>
              <w:rPr>
                <w:b/>
                <w:color w:val="1F3A5F"/>
                <w:sz w:val="18"/>
              </w:rPr>
              <w:t>How it is deployed</w:t>
            </w:r>
          </w:p>
        </w:tc>
        <w:tc>
          <w:tcPr>
            <w:tcW w:type="dxa" w:w="7344"/>
            <w:vAlign w:val="top"/>
          </w:tcPr>
          <w:p>
            <w:pPr>
              <w:keepNext/>
              <w:spacing w:before="0" w:after="0" w:line="252" w:lineRule="auto"/>
            </w:pPr>
            <w:r>
              <w:rPr>
                <w:b w:val="0"/>
                <w:sz w:val="18"/>
              </w:rPr>
              <w:t xml:space="preserve">Terraform in GitHub repository </w:t>
            </w:r>
            <w:r>
              <w:rPr>
                <w:rFonts w:ascii="Consolas" w:hAnsi="Consolas" w:eastAsia="Consolas" w:cs="Consolas"/>
                <w:b w:val="0"/>
                <w:sz w:val="17"/>
              </w:rPr>
              <w:t>BTX-IT/terraform-azure-databricks-platform</w:t>
            </w:r>
            <w:r>
              <w:rPr>
                <w:b w:val="0"/>
                <w:sz w:val="18"/>
              </w:rPr>
              <w:t>. Every change is planned, reviewed and approved in GitHub Actions before it is applied.</w:t>
            </w:r>
          </w:p>
        </w:tc>
      </w:tr>
      <w:tr>
        <w:trPr>
          <w:cantSplit/>
        </w:trPr>
        <w:tc>
          <w:tcPr>
            <w:tcW w:type="dxa" w:w="2736"/>
            <w:shd w:val="clear" w:color="auto" w:fill="E9EEF4"/>
            <w:vAlign w:val="top"/>
          </w:tcPr>
          <w:p>
            <w:pPr>
              <w:keepNext/>
              <w:spacing w:before="0" w:after="0" w:line="252" w:lineRule="auto"/>
            </w:pPr>
            <w:r>
              <w:rPr>
                <w:b/>
                <w:color w:val="1F3A5F"/>
                <w:sz w:val="18"/>
              </w:rPr>
              <w:t>Supporting changes</w:t>
            </w:r>
          </w:p>
        </w:tc>
        <w:tc>
          <w:tcPr>
            <w:tcW w:type="dxa" w:w="7344"/>
            <w:vAlign w:val="top"/>
          </w:tcPr>
          <w:p>
            <w:pPr>
              <w:keepNext/>
              <w:spacing w:before="0" w:after="0" w:line="252" w:lineRule="auto"/>
            </w:pPr>
            <w:r>
              <w:rPr>
                <w:b w:val="0"/>
                <w:sz w:val="18"/>
              </w:rPr>
              <w:t xml:space="preserve">Made in the existing Baytex network by Baytex Infrastructure — </w:t>
            </w:r>
            <w:r>
              <w:rPr>
                <w:b/>
                <w:sz w:val="18"/>
              </w:rPr>
              <w:t>Andrew Smale</w:t>
            </w:r>
            <w:r>
              <w:rPr>
                <w:b w:val="0"/>
                <w:sz w:val="18"/>
              </w:rPr>
              <w:t xml:space="preserve"> and </w:t>
            </w:r>
            <w:r>
              <w:rPr>
                <w:b/>
                <w:sz w:val="18"/>
              </w:rPr>
              <w:t>Shawn Sardy</w:t>
            </w:r>
            <w:r>
              <w:rPr>
                <w:b w:val="0"/>
                <w:sz w:val="18"/>
              </w:rPr>
              <w:t>: VNet peering, a new Private DNS Resolver and Private DNS zones, a new DNS server for the spokes, and Cisco firewall rules and routes (section 4).</w:t>
            </w:r>
          </w:p>
        </w:tc>
      </w:tr>
      <w:tr>
        <w:trPr>
          <w:cantSplit/>
        </w:trPr>
        <w:tc>
          <w:tcPr>
            <w:tcW w:type="dxa" w:w="2736"/>
            <w:shd w:val="clear" w:color="auto" w:fill="E9EEF4"/>
            <w:vAlign w:val="top"/>
          </w:tcPr>
          <w:p>
            <w:pPr>
              <w:spacing w:before="0" w:after="0" w:line="252" w:lineRule="auto"/>
            </w:pPr>
            <w:r>
              <w:rPr>
                <w:b/>
                <w:color w:val="1F3A5F"/>
                <w:sz w:val="18"/>
              </w:rPr>
              <w:t>Effect on existing workloads</w:t>
            </w:r>
          </w:p>
        </w:tc>
        <w:tc>
          <w:tcPr>
            <w:tcW w:type="dxa" w:w="7344"/>
            <w:vAlign w:val="top"/>
          </w:tcPr>
          <w:p>
            <w:pPr>
              <w:spacing w:before="0" w:after="0" w:line="252" w:lineRule="auto"/>
            </w:pPr>
            <w:r>
              <w:rPr>
                <w:b/>
                <w:sz w:val="18"/>
              </w:rPr>
              <w:t>None expected.</w:t>
            </w:r>
            <w:r>
              <w:rPr>
                <w:b w:val="0"/>
                <w:sz w:val="18"/>
              </w:rPr>
              <w:t xml:space="preserve"> Terraform only adds new resources and does not change anything that already exists (section 5).</w:t>
            </w:r>
          </w:p>
        </w:tc>
      </w:tr>
    </w:tbl>
    <w:p>
      <w:pPr>
        <w:pStyle w:val="Heading1"/>
      </w:pPr>
      <w:r>
        <w:t>2. Environments and IP ranges</w:t>
      </w:r>
    </w:p>
    <w:p>
      <w:pPr>
        <w:keepNext/>
        <w:spacing w:before="0" w:after="100"/>
      </w:pPr>
      <w:r>
        <w:rPr>
          <w:b w:val="0"/>
          <w:sz w:val="20"/>
        </w:rPr>
        <w:t>Each environment is a new spoke VNet in its own subscription, with a /20 assigned by Baytex networking.</w:t>
      </w:r>
    </w:p>
    <w:tbl>
      <w:tblPr>
        <w:tblW w:type="dxa" w:w="10080"/>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Layout w:type="fixed"/>
        <w:tblCellMar>
          <w:top w:w="40" w:type="dxa"/>
          <w:left w:w="90" w:type="dxa"/>
          <w:bottom w:w="40" w:type="dxa"/>
          <w:right w:w="90" w:type="dxa"/>
        </w:tblCellMar>
        <w:tblLook w:firstColumn="1" w:firstRow="1" w:lastColumn="0" w:lastRow="0" w:noHBand="0" w:noVBand="1" w:val="04A0"/>
      </w:tblPr>
      <w:tblGrid>
        <w:gridCol w:w="2650"/>
        <w:gridCol w:w="2477"/>
        <w:gridCol w:w="2477"/>
        <w:gridCol w:w="2477"/>
      </w:tblGrid>
      <w:tr>
        <w:trPr>
          <w:cantSplit/>
          <w:tblHeader/>
        </w:trPr>
        <w:tc>
          <w:tcPr>
            <w:tcW w:type="dxa" w:w="2650"/>
            <w:shd w:val="clear" w:color="auto" w:fill="1F3A5F"/>
            <w:vAlign w:val="center"/>
          </w:tcPr>
          <w:p>
            <w:pPr>
              <w:keepNext/>
              <w:spacing w:before="0" w:after="0" w:line="252" w:lineRule="auto"/>
            </w:pPr>
          </w:p>
        </w:tc>
        <w:tc>
          <w:tcPr>
            <w:tcW w:type="dxa" w:w="2477"/>
            <w:shd w:val="clear" w:color="auto" w:fill="1F3A5F"/>
            <w:vAlign w:val="center"/>
          </w:tcPr>
          <w:p>
            <w:pPr>
              <w:keepNext/>
              <w:spacing w:before="0" w:after="0" w:line="252" w:lineRule="auto"/>
            </w:pPr>
            <w:r>
              <w:rPr>
                <w:b/>
                <w:color w:val="FFFFFF"/>
                <w:sz w:val="17"/>
              </w:rPr>
              <w:t>Dev</w:t>
            </w:r>
          </w:p>
        </w:tc>
        <w:tc>
          <w:tcPr>
            <w:tcW w:type="dxa" w:w="2477"/>
            <w:shd w:val="clear" w:color="auto" w:fill="1F3A5F"/>
            <w:vAlign w:val="center"/>
          </w:tcPr>
          <w:p>
            <w:pPr>
              <w:keepNext/>
              <w:spacing w:before="0" w:after="0" w:line="252" w:lineRule="auto"/>
            </w:pPr>
            <w:r>
              <w:rPr>
                <w:b/>
                <w:color w:val="FFFFFF"/>
                <w:sz w:val="17"/>
              </w:rPr>
              <w:t>Test</w:t>
            </w:r>
          </w:p>
        </w:tc>
        <w:tc>
          <w:tcPr>
            <w:tcW w:type="dxa" w:w="2477"/>
            <w:shd w:val="clear" w:color="auto" w:fill="1F3A5F"/>
            <w:vAlign w:val="center"/>
          </w:tcPr>
          <w:p>
            <w:pPr>
              <w:keepNext/>
              <w:spacing w:before="0" w:after="0" w:line="252" w:lineRule="auto"/>
            </w:pPr>
            <w:r>
              <w:rPr>
                <w:b/>
                <w:color w:val="FFFFFF"/>
                <w:sz w:val="17"/>
              </w:rPr>
              <w:t>Prod</w:t>
            </w:r>
          </w:p>
        </w:tc>
      </w:tr>
      <w:tr>
        <w:trPr>
          <w:cantSplit/>
        </w:trPr>
        <w:tc>
          <w:tcPr>
            <w:tcW w:type="dxa" w:w="2650"/>
            <w:shd w:val="clear" w:color="auto" w:fill="E9EEF4"/>
            <w:vAlign w:val="top"/>
          </w:tcPr>
          <w:p>
            <w:pPr>
              <w:spacing w:before="0" w:after="0" w:line="252" w:lineRule="auto"/>
            </w:pPr>
            <w:r>
              <w:rPr>
                <w:b/>
                <w:color w:val="1F3A5F"/>
                <w:sz w:val="17"/>
              </w:rPr>
              <w:t>Subscription</w:t>
            </w:r>
          </w:p>
        </w:tc>
        <w:tc>
          <w:tcPr>
            <w:tcW w:type="dxa" w:w="2477"/>
            <w:vAlign w:val="top"/>
          </w:tcPr>
          <w:p>
            <w:pPr>
              <w:spacing w:before="0" w:after="0" w:line="252" w:lineRule="auto"/>
            </w:pPr>
            <w:r>
              <w:rPr>
                <w:rFonts w:ascii="Consolas" w:hAnsi="Consolas" w:eastAsia="Consolas" w:cs="Consolas"/>
                <w:b w:val="0"/>
                <w:sz w:val="16"/>
              </w:rPr>
              <w:t>SUB-BTE-CAN-DATA-NONPROD</w:t>
            </w:r>
          </w:p>
        </w:tc>
        <w:tc>
          <w:tcPr>
            <w:tcW w:type="dxa" w:w="2477"/>
            <w:vAlign w:val="top"/>
          </w:tcPr>
          <w:p>
            <w:pPr>
              <w:spacing w:before="0" w:after="0" w:line="252" w:lineRule="auto"/>
            </w:pPr>
            <w:r>
              <w:rPr>
                <w:rFonts w:ascii="Consolas" w:hAnsi="Consolas" w:eastAsia="Consolas" w:cs="Consolas"/>
                <w:b w:val="0"/>
                <w:sz w:val="16"/>
              </w:rPr>
              <w:t>SUB-BTE-CAN-DATA-TEST</w:t>
            </w:r>
          </w:p>
        </w:tc>
        <w:tc>
          <w:tcPr>
            <w:tcW w:type="dxa" w:w="2477"/>
            <w:vAlign w:val="top"/>
          </w:tcPr>
          <w:p>
            <w:pPr>
              <w:spacing w:before="0" w:after="0" w:line="252" w:lineRule="auto"/>
            </w:pPr>
            <w:r>
              <w:rPr>
                <w:rFonts w:ascii="Consolas" w:hAnsi="Consolas" w:eastAsia="Consolas" w:cs="Consolas"/>
                <w:b w:val="0"/>
                <w:sz w:val="16"/>
              </w:rPr>
              <w:t>SUB-BTE-CAN-DATA-PROD</w:t>
            </w:r>
          </w:p>
        </w:tc>
      </w:tr>
      <w:tr>
        <w:trPr>
          <w:cantSplit/>
        </w:trPr>
        <w:tc>
          <w:tcPr>
            <w:tcW w:type="dxa" w:w="2650"/>
            <w:shd w:val="clear" w:color="auto" w:fill="E9EEF4"/>
            <w:vAlign w:val="top"/>
          </w:tcPr>
          <w:p>
            <w:pPr>
              <w:spacing w:before="0" w:after="0" w:line="252" w:lineRule="auto"/>
            </w:pPr>
            <w:r>
              <w:rPr>
                <w:b/>
                <w:color w:val="1F3A5F"/>
                <w:sz w:val="17"/>
              </w:rPr>
              <w:t>VNet</w:t>
            </w:r>
          </w:p>
        </w:tc>
        <w:tc>
          <w:tcPr>
            <w:tcW w:type="dxa" w:w="2477"/>
            <w:shd w:val="clear" w:color="auto" w:fill="F4F6F9"/>
            <w:vAlign w:val="top"/>
          </w:tcPr>
          <w:p>
            <w:pPr>
              <w:spacing w:before="0" w:after="0" w:line="252" w:lineRule="auto"/>
            </w:pPr>
            <w:r>
              <w:rPr>
                <w:rFonts w:ascii="Consolas" w:hAnsi="Consolas" w:eastAsia="Consolas" w:cs="Consolas"/>
                <w:b w:val="0"/>
                <w:sz w:val="16"/>
              </w:rPr>
              <w:t>vnet-bte-dbx-dev-cnc-001</w:t>
            </w:r>
          </w:p>
        </w:tc>
        <w:tc>
          <w:tcPr>
            <w:tcW w:type="dxa" w:w="2477"/>
            <w:shd w:val="clear" w:color="auto" w:fill="F4F6F9"/>
            <w:vAlign w:val="top"/>
          </w:tcPr>
          <w:p>
            <w:pPr>
              <w:spacing w:before="0" w:after="0" w:line="252" w:lineRule="auto"/>
            </w:pPr>
            <w:r>
              <w:rPr>
                <w:rFonts w:ascii="Consolas" w:hAnsi="Consolas" w:eastAsia="Consolas" w:cs="Consolas"/>
                <w:b w:val="0"/>
                <w:sz w:val="16"/>
              </w:rPr>
              <w:t>vnet-bte-dbx-test-cnc-002</w:t>
            </w:r>
          </w:p>
        </w:tc>
        <w:tc>
          <w:tcPr>
            <w:tcW w:type="dxa" w:w="2477"/>
            <w:shd w:val="clear" w:color="auto" w:fill="F4F6F9"/>
            <w:vAlign w:val="top"/>
          </w:tcPr>
          <w:p>
            <w:pPr>
              <w:spacing w:before="0" w:after="0" w:line="252" w:lineRule="auto"/>
            </w:pPr>
            <w:r>
              <w:rPr>
                <w:rFonts w:ascii="Consolas" w:hAnsi="Consolas" w:eastAsia="Consolas" w:cs="Consolas"/>
                <w:b w:val="0"/>
                <w:sz w:val="16"/>
              </w:rPr>
              <w:t>vnet-bte-dbx-prod-cnc-001</w:t>
            </w:r>
          </w:p>
        </w:tc>
      </w:tr>
      <w:tr>
        <w:trPr>
          <w:cantSplit/>
        </w:trPr>
        <w:tc>
          <w:tcPr>
            <w:tcW w:type="dxa" w:w="2650"/>
            <w:shd w:val="clear" w:color="auto" w:fill="E9EEF4"/>
            <w:vAlign w:val="top"/>
          </w:tcPr>
          <w:p>
            <w:pPr>
              <w:spacing w:before="0" w:after="0" w:line="252" w:lineRule="auto"/>
            </w:pPr>
            <w:r>
              <w:rPr>
                <w:b/>
                <w:color w:val="1F3A5F"/>
                <w:sz w:val="17"/>
              </w:rPr>
              <w:t>VNet address space</w:t>
            </w:r>
          </w:p>
        </w:tc>
        <w:tc>
          <w:tcPr>
            <w:tcW w:type="dxa" w:w="2477"/>
            <w:vAlign w:val="top"/>
          </w:tcPr>
          <w:p>
            <w:pPr>
              <w:spacing w:before="0" w:after="0" w:line="252" w:lineRule="auto"/>
            </w:pPr>
            <w:r>
              <w:rPr>
                <w:rFonts w:ascii="Consolas" w:hAnsi="Consolas" w:eastAsia="Consolas" w:cs="Consolas"/>
                <w:b/>
                <w:sz w:val="16"/>
              </w:rPr>
              <w:t>10.40.144.0/20</w:t>
            </w:r>
          </w:p>
        </w:tc>
        <w:tc>
          <w:tcPr>
            <w:tcW w:type="dxa" w:w="2477"/>
            <w:vAlign w:val="top"/>
          </w:tcPr>
          <w:p>
            <w:pPr>
              <w:spacing w:before="0" w:after="0" w:line="252" w:lineRule="auto"/>
            </w:pPr>
            <w:r>
              <w:rPr>
                <w:rFonts w:ascii="Consolas" w:hAnsi="Consolas" w:eastAsia="Consolas" w:cs="Consolas"/>
                <w:b/>
                <w:sz w:val="16"/>
              </w:rPr>
              <w:t>10.40.192.0/20</w:t>
            </w:r>
          </w:p>
        </w:tc>
        <w:tc>
          <w:tcPr>
            <w:tcW w:type="dxa" w:w="2477"/>
            <w:vAlign w:val="top"/>
          </w:tcPr>
          <w:p>
            <w:pPr>
              <w:spacing w:before="0" w:after="0" w:line="252" w:lineRule="auto"/>
            </w:pPr>
            <w:r>
              <w:rPr>
                <w:rFonts w:ascii="Consolas" w:hAnsi="Consolas" w:eastAsia="Consolas" w:cs="Consolas"/>
                <w:b/>
                <w:sz w:val="16"/>
              </w:rPr>
              <w:t>10.40.176.0/20</w:t>
            </w:r>
          </w:p>
        </w:tc>
      </w:tr>
      <w:tr>
        <w:trPr>
          <w:cantSplit/>
        </w:trPr>
        <w:tc>
          <w:tcPr>
            <w:tcW w:type="dxa" w:w="2650"/>
            <w:shd w:val="clear" w:color="auto" w:fill="E9EEF4"/>
            <w:vAlign w:val="top"/>
          </w:tcPr>
          <w:p>
            <w:pPr>
              <w:spacing w:before="0" w:after="0" w:line="252" w:lineRule="auto"/>
            </w:pPr>
            <w:r>
              <w:rPr>
                <w:b/>
                <w:color w:val="1F3A5F"/>
                <w:sz w:val="17"/>
              </w:rPr>
              <w:t>Databricks host subnet</w:t>
            </w:r>
          </w:p>
        </w:tc>
        <w:tc>
          <w:tcPr>
            <w:tcW w:type="dxa" w:w="2477"/>
            <w:shd w:val="clear" w:color="auto" w:fill="F4F6F9"/>
            <w:vAlign w:val="top"/>
          </w:tcPr>
          <w:p>
            <w:pPr>
              <w:spacing w:before="0" w:after="0" w:line="252" w:lineRule="auto"/>
            </w:pPr>
            <w:r>
              <w:rPr>
                <w:rFonts w:ascii="Consolas" w:hAnsi="Consolas" w:eastAsia="Consolas" w:cs="Consolas"/>
                <w:b w:val="0"/>
                <w:sz w:val="16"/>
              </w:rPr>
              <w:t>10.40.144.0/24</w:t>
            </w:r>
          </w:p>
        </w:tc>
        <w:tc>
          <w:tcPr>
            <w:tcW w:type="dxa" w:w="2477"/>
            <w:shd w:val="clear" w:color="auto" w:fill="F4F6F9"/>
            <w:vAlign w:val="top"/>
          </w:tcPr>
          <w:p>
            <w:pPr>
              <w:spacing w:before="0" w:after="0" w:line="252" w:lineRule="auto"/>
            </w:pPr>
            <w:r>
              <w:rPr>
                <w:rFonts w:ascii="Consolas" w:hAnsi="Consolas" w:eastAsia="Consolas" w:cs="Consolas"/>
                <w:b w:val="0"/>
                <w:sz w:val="16"/>
              </w:rPr>
              <w:t>10.40.192.0/24</w:t>
            </w:r>
          </w:p>
        </w:tc>
        <w:tc>
          <w:tcPr>
            <w:tcW w:type="dxa" w:w="2477"/>
            <w:shd w:val="clear" w:color="auto" w:fill="F4F6F9"/>
            <w:vAlign w:val="top"/>
          </w:tcPr>
          <w:p>
            <w:pPr>
              <w:spacing w:before="0" w:after="0" w:line="252" w:lineRule="auto"/>
            </w:pPr>
            <w:r>
              <w:rPr>
                <w:rFonts w:ascii="Consolas" w:hAnsi="Consolas" w:eastAsia="Consolas" w:cs="Consolas"/>
                <w:b w:val="0"/>
                <w:sz w:val="16"/>
              </w:rPr>
              <w:t>10.40.176.0/24</w:t>
            </w:r>
          </w:p>
        </w:tc>
      </w:tr>
      <w:tr>
        <w:trPr>
          <w:cantSplit/>
        </w:trPr>
        <w:tc>
          <w:tcPr>
            <w:tcW w:type="dxa" w:w="2650"/>
            <w:shd w:val="clear" w:color="auto" w:fill="E9EEF4"/>
            <w:vAlign w:val="top"/>
          </w:tcPr>
          <w:p>
            <w:pPr>
              <w:spacing w:before="0" w:after="0" w:line="252" w:lineRule="auto"/>
            </w:pPr>
            <w:r>
              <w:rPr>
                <w:b/>
                <w:color w:val="1F3A5F"/>
                <w:sz w:val="17"/>
              </w:rPr>
              <w:t>Databricks container subnet</w:t>
            </w:r>
          </w:p>
        </w:tc>
        <w:tc>
          <w:tcPr>
            <w:tcW w:type="dxa" w:w="2477"/>
            <w:vAlign w:val="top"/>
          </w:tcPr>
          <w:p>
            <w:pPr>
              <w:spacing w:before="0" w:after="0" w:line="252" w:lineRule="auto"/>
            </w:pPr>
            <w:r>
              <w:rPr>
                <w:rFonts w:ascii="Consolas" w:hAnsi="Consolas" w:eastAsia="Consolas" w:cs="Consolas"/>
                <w:b w:val="0"/>
                <w:sz w:val="16"/>
              </w:rPr>
              <w:t>10.40.145.0/24</w:t>
            </w:r>
          </w:p>
        </w:tc>
        <w:tc>
          <w:tcPr>
            <w:tcW w:type="dxa" w:w="2477"/>
            <w:vAlign w:val="top"/>
          </w:tcPr>
          <w:p>
            <w:pPr>
              <w:spacing w:before="0" w:after="0" w:line="252" w:lineRule="auto"/>
            </w:pPr>
            <w:r>
              <w:rPr>
                <w:rFonts w:ascii="Consolas" w:hAnsi="Consolas" w:eastAsia="Consolas" w:cs="Consolas"/>
                <w:b w:val="0"/>
                <w:sz w:val="16"/>
              </w:rPr>
              <w:t>10.40.193.0/24</w:t>
            </w:r>
          </w:p>
        </w:tc>
        <w:tc>
          <w:tcPr>
            <w:tcW w:type="dxa" w:w="2477"/>
            <w:vAlign w:val="top"/>
          </w:tcPr>
          <w:p>
            <w:pPr>
              <w:spacing w:before="0" w:after="0" w:line="252" w:lineRule="auto"/>
            </w:pPr>
            <w:r>
              <w:rPr>
                <w:rFonts w:ascii="Consolas" w:hAnsi="Consolas" w:eastAsia="Consolas" w:cs="Consolas"/>
                <w:b w:val="0"/>
                <w:sz w:val="16"/>
              </w:rPr>
              <w:t>10.40.177.0/24</w:t>
            </w:r>
          </w:p>
        </w:tc>
      </w:tr>
      <w:tr>
        <w:trPr>
          <w:cantSplit/>
        </w:trPr>
        <w:tc>
          <w:tcPr>
            <w:tcW w:type="dxa" w:w="2650"/>
            <w:shd w:val="clear" w:color="auto" w:fill="E9EEF4"/>
            <w:vAlign w:val="top"/>
          </w:tcPr>
          <w:p>
            <w:pPr>
              <w:spacing w:before="0" w:after="0" w:line="252" w:lineRule="auto"/>
            </w:pPr>
            <w:r>
              <w:rPr>
                <w:b/>
                <w:color w:val="1F3A5F"/>
                <w:sz w:val="17"/>
              </w:rPr>
              <w:t>Private endpoint subnet</w:t>
            </w:r>
          </w:p>
        </w:tc>
        <w:tc>
          <w:tcPr>
            <w:tcW w:type="dxa" w:w="2477"/>
            <w:shd w:val="clear" w:color="auto" w:fill="F4F6F9"/>
            <w:vAlign w:val="top"/>
          </w:tcPr>
          <w:p>
            <w:pPr>
              <w:spacing w:before="0" w:after="0" w:line="252" w:lineRule="auto"/>
            </w:pPr>
            <w:r>
              <w:rPr>
                <w:rFonts w:ascii="Consolas" w:hAnsi="Consolas" w:eastAsia="Consolas" w:cs="Consolas"/>
                <w:b w:val="0"/>
                <w:sz w:val="16"/>
              </w:rPr>
              <w:t>10.40.146.0/26</w:t>
            </w:r>
          </w:p>
        </w:tc>
        <w:tc>
          <w:tcPr>
            <w:tcW w:type="dxa" w:w="2477"/>
            <w:shd w:val="clear" w:color="auto" w:fill="F4F6F9"/>
            <w:vAlign w:val="top"/>
          </w:tcPr>
          <w:p>
            <w:pPr>
              <w:spacing w:before="0" w:after="0" w:line="252" w:lineRule="auto"/>
            </w:pPr>
            <w:r>
              <w:rPr>
                <w:rFonts w:ascii="Consolas" w:hAnsi="Consolas" w:eastAsia="Consolas" w:cs="Consolas"/>
                <w:b w:val="0"/>
                <w:sz w:val="16"/>
              </w:rPr>
              <w:t>10.40.194.0/26</w:t>
            </w:r>
          </w:p>
        </w:tc>
        <w:tc>
          <w:tcPr>
            <w:tcW w:type="dxa" w:w="2477"/>
            <w:shd w:val="clear" w:color="auto" w:fill="F4F6F9"/>
            <w:vAlign w:val="top"/>
          </w:tcPr>
          <w:p>
            <w:pPr>
              <w:spacing w:before="0" w:after="0" w:line="252" w:lineRule="auto"/>
            </w:pPr>
            <w:r>
              <w:rPr>
                <w:rFonts w:ascii="Consolas" w:hAnsi="Consolas" w:eastAsia="Consolas" w:cs="Consolas"/>
                <w:b w:val="0"/>
                <w:sz w:val="16"/>
              </w:rPr>
              <w:t>10.40.178.0/26</w:t>
            </w:r>
          </w:p>
        </w:tc>
      </w:tr>
      <w:tr>
        <w:trPr>
          <w:cantSplit/>
        </w:trPr>
        <w:tc>
          <w:tcPr>
            <w:tcW w:type="dxa" w:w="2650"/>
            <w:shd w:val="clear" w:color="auto" w:fill="E9EEF4"/>
            <w:vAlign w:val="top"/>
          </w:tcPr>
          <w:p>
            <w:pPr>
              <w:spacing w:before="0" w:after="0" w:line="252" w:lineRule="auto"/>
            </w:pPr>
            <w:r>
              <w:rPr>
                <w:b/>
                <w:color w:val="1F3A5F"/>
                <w:sz w:val="17"/>
              </w:rPr>
              <w:t>Proxy (HAProxy) subnet</w:t>
            </w:r>
          </w:p>
        </w:tc>
        <w:tc>
          <w:tcPr>
            <w:tcW w:type="dxa" w:w="2477"/>
            <w:vAlign w:val="top"/>
          </w:tcPr>
          <w:p>
            <w:pPr>
              <w:spacing w:before="0" w:after="0" w:line="252" w:lineRule="auto"/>
            </w:pPr>
            <w:r>
              <w:rPr>
                <w:rFonts w:ascii="Consolas" w:hAnsi="Consolas" w:eastAsia="Consolas" w:cs="Consolas"/>
                <w:b w:val="0"/>
                <w:sz w:val="16"/>
              </w:rPr>
              <w:t>10.40.147.0/26</w:t>
            </w:r>
          </w:p>
        </w:tc>
        <w:tc>
          <w:tcPr>
            <w:tcW w:type="dxa" w:w="2477"/>
            <w:vAlign w:val="top"/>
          </w:tcPr>
          <w:p>
            <w:pPr>
              <w:spacing w:before="0" w:after="0" w:line="252" w:lineRule="auto"/>
            </w:pPr>
            <w:r>
              <w:rPr>
                <w:rFonts w:ascii="Consolas" w:hAnsi="Consolas" w:eastAsia="Consolas" w:cs="Consolas"/>
                <w:b w:val="0"/>
                <w:sz w:val="16"/>
              </w:rPr>
              <w:t>10.40.195.0/26</w:t>
            </w:r>
          </w:p>
        </w:tc>
        <w:tc>
          <w:tcPr>
            <w:tcW w:type="dxa" w:w="2477"/>
            <w:vAlign w:val="top"/>
          </w:tcPr>
          <w:p>
            <w:pPr>
              <w:spacing w:before="0" w:after="0" w:line="252" w:lineRule="auto"/>
            </w:pPr>
            <w:r>
              <w:rPr>
                <w:rFonts w:ascii="Consolas" w:hAnsi="Consolas" w:eastAsia="Consolas" w:cs="Consolas"/>
                <w:b w:val="0"/>
                <w:sz w:val="16"/>
              </w:rPr>
              <w:t>10.40.179.0/26</w:t>
            </w:r>
          </w:p>
        </w:tc>
      </w:tr>
      <w:tr>
        <w:trPr>
          <w:cantSplit/>
        </w:trPr>
        <w:tc>
          <w:tcPr>
            <w:tcW w:type="dxa" w:w="2650"/>
            <w:shd w:val="clear" w:color="auto" w:fill="E9EEF4"/>
            <w:vAlign w:val="top"/>
          </w:tcPr>
          <w:p>
            <w:pPr>
              <w:spacing w:before="0" w:after="0" w:line="252" w:lineRule="auto"/>
            </w:pPr>
            <w:r>
              <w:rPr>
                <w:b/>
                <w:color w:val="1F3A5F"/>
                <w:sz w:val="17"/>
              </w:rPr>
              <w:t>HAProxy VM IPs</w:t>
            </w:r>
          </w:p>
        </w:tc>
        <w:tc>
          <w:tcPr>
            <w:tcW w:type="dxa" w:w="2477"/>
            <w:shd w:val="clear" w:color="auto" w:fill="F4F6F9"/>
            <w:vAlign w:val="top"/>
          </w:tcPr>
          <w:p>
            <w:pPr>
              <w:spacing w:before="0" w:after="0" w:line="252" w:lineRule="auto"/>
            </w:pPr>
            <w:r>
              <w:rPr>
                <w:rFonts w:ascii="Consolas" w:hAnsi="Consolas" w:eastAsia="Consolas" w:cs="Consolas"/>
                <w:b w:val="0"/>
                <w:sz w:val="16"/>
              </w:rPr>
              <w:t>10.40.147.5</w:t>
            </w:r>
            <w:r>
              <w:rPr>
                <w:b w:val="0"/>
                <w:sz w:val="17"/>
              </w:rPr>
              <w:t xml:space="preserve">, </w:t>
            </w:r>
            <w:r>
              <w:rPr>
                <w:rFonts w:ascii="Consolas" w:hAnsi="Consolas" w:eastAsia="Consolas" w:cs="Consolas"/>
                <w:b w:val="0"/>
                <w:sz w:val="16"/>
              </w:rPr>
              <w:t>.6</w:t>
            </w:r>
          </w:p>
        </w:tc>
        <w:tc>
          <w:tcPr>
            <w:tcW w:type="dxa" w:w="2477"/>
            <w:shd w:val="clear" w:color="auto" w:fill="F4F6F9"/>
            <w:vAlign w:val="top"/>
          </w:tcPr>
          <w:p>
            <w:pPr>
              <w:spacing w:before="0" w:after="0" w:line="252" w:lineRule="auto"/>
            </w:pPr>
            <w:r>
              <w:rPr>
                <w:rFonts w:ascii="Consolas" w:hAnsi="Consolas" w:eastAsia="Consolas" w:cs="Consolas"/>
                <w:b w:val="0"/>
                <w:sz w:val="16"/>
              </w:rPr>
              <w:t>10.40.195.5</w:t>
            </w:r>
            <w:r>
              <w:rPr>
                <w:b w:val="0"/>
                <w:sz w:val="17"/>
              </w:rPr>
              <w:t xml:space="preserve">, </w:t>
            </w:r>
            <w:r>
              <w:rPr>
                <w:rFonts w:ascii="Consolas" w:hAnsi="Consolas" w:eastAsia="Consolas" w:cs="Consolas"/>
                <w:b w:val="0"/>
                <w:sz w:val="16"/>
              </w:rPr>
              <w:t>.6</w:t>
            </w:r>
          </w:p>
        </w:tc>
        <w:tc>
          <w:tcPr>
            <w:tcW w:type="dxa" w:w="2477"/>
            <w:shd w:val="clear" w:color="auto" w:fill="F4F6F9"/>
            <w:vAlign w:val="top"/>
          </w:tcPr>
          <w:p>
            <w:pPr>
              <w:spacing w:before="0" w:after="0" w:line="252" w:lineRule="auto"/>
            </w:pPr>
            <w:r>
              <w:rPr>
                <w:rFonts w:ascii="Consolas" w:hAnsi="Consolas" w:eastAsia="Consolas" w:cs="Consolas"/>
                <w:b w:val="0"/>
                <w:sz w:val="16"/>
              </w:rPr>
              <w:t>10.40.179.5</w:t>
            </w:r>
            <w:r>
              <w:rPr>
                <w:b w:val="0"/>
                <w:sz w:val="17"/>
              </w:rPr>
              <w:t xml:space="preserve">, </w:t>
            </w:r>
            <w:r>
              <w:rPr>
                <w:rFonts w:ascii="Consolas" w:hAnsi="Consolas" w:eastAsia="Consolas" w:cs="Consolas"/>
                <w:b w:val="0"/>
                <w:sz w:val="16"/>
              </w:rPr>
              <w:t>.6</w:t>
            </w:r>
          </w:p>
        </w:tc>
      </w:tr>
      <w:tr>
        <w:trPr>
          <w:cantSplit/>
        </w:trPr>
        <w:tc>
          <w:tcPr>
            <w:tcW w:type="dxa" w:w="2650"/>
            <w:shd w:val="clear" w:color="auto" w:fill="E9EEF4"/>
            <w:vAlign w:val="top"/>
          </w:tcPr>
          <w:p>
            <w:pPr>
              <w:spacing w:before="0" w:after="0" w:line="252" w:lineRule="auto"/>
            </w:pPr>
            <w:r>
              <w:rPr>
                <w:b/>
                <w:color w:val="1F3A5F"/>
                <w:sz w:val="17"/>
              </w:rPr>
              <w:t>Storage private endpoints</w:t>
            </w:r>
          </w:p>
        </w:tc>
        <w:tc>
          <w:tcPr>
            <w:tcW w:type="dxa" w:w="2477"/>
            <w:vAlign w:val="top"/>
          </w:tcPr>
          <w:p>
            <w:pPr>
              <w:spacing w:before="0" w:after="0" w:line="252" w:lineRule="auto"/>
            </w:pPr>
            <w:r>
              <w:rPr>
                <w:rFonts w:ascii="Consolas" w:hAnsi="Consolas" w:eastAsia="Consolas" w:cs="Consolas"/>
                <w:b w:val="0"/>
                <w:sz w:val="16"/>
              </w:rPr>
              <w:t>10.40.146.4</w:t>
            </w:r>
            <w:r>
              <w:rPr>
                <w:b w:val="0"/>
                <w:sz w:val="17"/>
              </w:rPr>
              <w:t xml:space="preserve">, </w:t>
            </w:r>
            <w:r>
              <w:rPr>
                <w:rFonts w:ascii="Consolas" w:hAnsi="Consolas" w:eastAsia="Consolas" w:cs="Consolas"/>
                <w:b w:val="0"/>
                <w:sz w:val="16"/>
              </w:rPr>
              <w:t>.5</w:t>
            </w:r>
          </w:p>
        </w:tc>
        <w:tc>
          <w:tcPr>
            <w:tcW w:type="dxa" w:w="2477"/>
            <w:vAlign w:val="top"/>
          </w:tcPr>
          <w:p>
            <w:pPr>
              <w:spacing w:before="0" w:after="0" w:line="252" w:lineRule="auto"/>
            </w:pPr>
            <w:r>
              <w:rPr>
                <w:rFonts w:ascii="Consolas" w:hAnsi="Consolas" w:eastAsia="Consolas" w:cs="Consolas"/>
                <w:b w:val="0"/>
                <w:sz w:val="16"/>
              </w:rPr>
              <w:t>10.40.194.4</w:t>
            </w:r>
            <w:r>
              <w:rPr>
                <w:b w:val="0"/>
                <w:sz w:val="17"/>
              </w:rPr>
              <w:t xml:space="preserve">, </w:t>
            </w:r>
            <w:r>
              <w:rPr>
                <w:rFonts w:ascii="Consolas" w:hAnsi="Consolas" w:eastAsia="Consolas" w:cs="Consolas"/>
                <w:b w:val="0"/>
                <w:sz w:val="16"/>
              </w:rPr>
              <w:t>.5</w:t>
            </w:r>
          </w:p>
        </w:tc>
        <w:tc>
          <w:tcPr>
            <w:tcW w:type="dxa" w:w="2477"/>
            <w:vAlign w:val="top"/>
          </w:tcPr>
          <w:p>
            <w:pPr>
              <w:spacing w:before="0" w:after="0" w:line="252" w:lineRule="auto"/>
            </w:pPr>
            <w:r>
              <w:rPr>
                <w:rFonts w:ascii="Consolas" w:hAnsi="Consolas" w:eastAsia="Consolas" w:cs="Consolas"/>
                <w:b w:val="0"/>
                <w:sz w:val="16"/>
              </w:rPr>
              <w:t>10.40.178.4</w:t>
            </w:r>
            <w:r>
              <w:rPr>
                <w:b w:val="0"/>
                <w:sz w:val="17"/>
              </w:rPr>
              <w:t xml:space="preserve">, </w:t>
            </w:r>
            <w:r>
              <w:rPr>
                <w:rFonts w:ascii="Consolas" w:hAnsi="Consolas" w:eastAsia="Consolas" w:cs="Consolas"/>
                <w:b w:val="0"/>
                <w:sz w:val="16"/>
              </w:rPr>
              <w:t>.5</w:t>
            </w:r>
          </w:p>
        </w:tc>
      </w:tr>
      <w:tr>
        <w:trPr>
          <w:cantSplit/>
        </w:trPr>
        <w:tc>
          <w:tcPr>
            <w:tcW w:type="dxa" w:w="2650"/>
            <w:shd w:val="clear" w:color="auto" w:fill="E9EEF4"/>
            <w:vAlign w:val="top"/>
          </w:tcPr>
          <w:p>
            <w:pPr>
              <w:spacing w:before="0" w:after="0" w:line="252" w:lineRule="auto"/>
            </w:pPr>
            <w:r>
              <w:rPr>
                <w:b/>
                <w:color w:val="1F3A5F"/>
                <w:sz w:val="17"/>
              </w:rPr>
              <w:t>NAT Gateway public IP (outbound)</w:t>
            </w:r>
          </w:p>
        </w:tc>
        <w:tc>
          <w:tcPr>
            <w:tcW w:type="dxa" w:w="2477"/>
            <w:shd w:val="clear" w:color="auto" w:fill="F4F6F9"/>
            <w:vAlign w:val="top"/>
          </w:tcPr>
          <w:p>
            <w:pPr>
              <w:spacing w:before="0" w:after="0" w:line="252" w:lineRule="auto"/>
            </w:pPr>
            <w:r>
              <w:rPr>
                <w:rFonts w:ascii="Consolas" w:hAnsi="Consolas" w:eastAsia="Consolas" w:cs="Consolas"/>
                <w:b w:val="0"/>
                <w:sz w:val="16"/>
              </w:rPr>
              <w:t>20.104.51.152</w:t>
            </w:r>
          </w:p>
        </w:tc>
        <w:tc>
          <w:tcPr>
            <w:tcW w:type="dxa" w:w="2477"/>
            <w:shd w:val="clear" w:color="auto" w:fill="F4F6F9"/>
            <w:vAlign w:val="top"/>
          </w:tcPr>
          <w:p>
            <w:pPr>
              <w:spacing w:before="0" w:after="0" w:line="252" w:lineRule="auto"/>
            </w:pPr>
            <w:r>
              <w:rPr>
                <w:rFonts w:ascii="Consolas" w:hAnsi="Consolas" w:eastAsia="Consolas" w:cs="Consolas"/>
                <w:b w:val="0"/>
                <w:sz w:val="16"/>
              </w:rPr>
              <w:t>Assigned at deployment</w:t>
            </w:r>
          </w:p>
        </w:tc>
        <w:tc>
          <w:tcPr>
            <w:tcW w:type="dxa" w:w="2477"/>
            <w:shd w:val="clear" w:color="auto" w:fill="F4F6F9"/>
            <w:vAlign w:val="top"/>
          </w:tcPr>
          <w:p>
            <w:pPr>
              <w:spacing w:before="0" w:after="0" w:line="252" w:lineRule="auto"/>
            </w:pPr>
            <w:r>
              <w:rPr>
                <w:rFonts w:ascii="Consolas" w:hAnsi="Consolas" w:eastAsia="Consolas" w:cs="Consolas"/>
                <w:b w:val="0"/>
                <w:sz w:val="16"/>
              </w:rPr>
              <w:t>20.220.62.227</w:t>
            </w:r>
          </w:p>
        </w:tc>
      </w:tr>
      <w:tr>
        <w:trPr>
          <w:cantSplit/>
        </w:trPr>
        <w:tc>
          <w:tcPr>
            <w:tcW w:type="dxa" w:w="2650"/>
            <w:shd w:val="clear" w:color="auto" w:fill="E9EEF4"/>
            <w:vAlign w:val="top"/>
          </w:tcPr>
          <w:p>
            <w:pPr>
              <w:spacing w:before="0" w:after="0" w:line="252" w:lineRule="auto"/>
            </w:pPr>
            <w:r>
              <w:rPr>
                <w:b/>
                <w:color w:val="1F3A5F"/>
                <w:sz w:val="17"/>
              </w:rPr>
              <w:t>Databricks workspace</w:t>
            </w:r>
          </w:p>
        </w:tc>
        <w:tc>
          <w:tcPr>
            <w:tcW w:type="dxa" w:w="2477"/>
            <w:vAlign w:val="top"/>
          </w:tcPr>
          <w:p>
            <w:pPr>
              <w:spacing w:before="0" w:after="0" w:line="252" w:lineRule="auto"/>
            </w:pPr>
            <w:r>
              <w:rPr>
                <w:rFonts w:ascii="Consolas" w:hAnsi="Consolas" w:eastAsia="Consolas" w:cs="Consolas"/>
                <w:b w:val="0"/>
                <w:sz w:val="16"/>
              </w:rPr>
              <w:t>dbw-bte-dbx-dev-cnc-001</w:t>
            </w:r>
          </w:p>
        </w:tc>
        <w:tc>
          <w:tcPr>
            <w:tcW w:type="dxa" w:w="2477"/>
            <w:vAlign w:val="top"/>
          </w:tcPr>
          <w:p>
            <w:pPr>
              <w:spacing w:before="0" w:after="0" w:line="252" w:lineRule="auto"/>
            </w:pPr>
            <w:r>
              <w:rPr>
                <w:rFonts w:ascii="Consolas" w:hAnsi="Consolas" w:eastAsia="Consolas" w:cs="Consolas"/>
                <w:b w:val="0"/>
                <w:sz w:val="16"/>
              </w:rPr>
              <w:t>dbw-bte-dbx-test-cnc-002</w:t>
            </w:r>
          </w:p>
        </w:tc>
        <w:tc>
          <w:tcPr>
            <w:tcW w:type="dxa" w:w="2477"/>
            <w:vAlign w:val="top"/>
          </w:tcPr>
          <w:p>
            <w:pPr>
              <w:spacing w:before="0" w:after="0" w:line="252" w:lineRule="auto"/>
            </w:pPr>
            <w:r>
              <w:rPr>
                <w:rFonts w:ascii="Consolas" w:hAnsi="Consolas" w:eastAsia="Consolas" w:cs="Consolas"/>
                <w:b w:val="0"/>
                <w:sz w:val="16"/>
              </w:rPr>
              <w:t>dbw-bte-dbx-prod-cnc-001</w:t>
            </w:r>
          </w:p>
        </w:tc>
      </w:tr>
      <w:tr>
        <w:trPr>
          <w:cantSplit/>
        </w:trPr>
        <w:tc>
          <w:tcPr>
            <w:tcW w:type="dxa" w:w="2650"/>
            <w:shd w:val="clear" w:color="auto" w:fill="E9EEF4"/>
            <w:vAlign w:val="top"/>
          </w:tcPr>
          <w:p>
            <w:pPr>
              <w:spacing w:before="0" w:after="0" w:line="252" w:lineRule="auto"/>
            </w:pPr>
            <w:r>
              <w:rPr>
                <w:b/>
                <w:color w:val="1F3A5F"/>
                <w:sz w:val="17"/>
              </w:rPr>
              <w:t>Data storage account</w:t>
            </w:r>
          </w:p>
        </w:tc>
        <w:tc>
          <w:tcPr>
            <w:tcW w:type="dxa" w:w="2477"/>
            <w:shd w:val="clear" w:color="auto" w:fill="F4F6F9"/>
            <w:vAlign w:val="top"/>
          </w:tcPr>
          <w:p>
            <w:pPr>
              <w:spacing w:before="0" w:after="0" w:line="252" w:lineRule="auto"/>
            </w:pPr>
            <w:r>
              <w:rPr>
                <w:rFonts w:ascii="Consolas" w:hAnsi="Consolas" w:eastAsia="Consolas" w:cs="Consolas"/>
                <w:b w:val="0"/>
                <w:sz w:val="16"/>
              </w:rPr>
              <w:t>stbtedbxdevcnc001</w:t>
            </w:r>
          </w:p>
        </w:tc>
        <w:tc>
          <w:tcPr>
            <w:tcW w:type="dxa" w:w="2477"/>
            <w:shd w:val="clear" w:color="auto" w:fill="F4F6F9"/>
            <w:vAlign w:val="top"/>
          </w:tcPr>
          <w:p>
            <w:pPr>
              <w:spacing w:before="0" w:after="0" w:line="252" w:lineRule="auto"/>
            </w:pPr>
            <w:r>
              <w:rPr>
                <w:rFonts w:ascii="Consolas" w:hAnsi="Consolas" w:eastAsia="Consolas" w:cs="Consolas"/>
                <w:b w:val="0"/>
                <w:sz w:val="16"/>
              </w:rPr>
              <w:t>stbtedbxtestcnc002</w:t>
            </w:r>
          </w:p>
        </w:tc>
        <w:tc>
          <w:tcPr>
            <w:tcW w:type="dxa" w:w="2477"/>
            <w:shd w:val="clear" w:color="auto" w:fill="F4F6F9"/>
            <w:vAlign w:val="top"/>
          </w:tcPr>
          <w:p>
            <w:pPr>
              <w:spacing w:before="0" w:after="0" w:line="252" w:lineRule="auto"/>
            </w:pPr>
            <w:r>
              <w:rPr>
                <w:rFonts w:ascii="Consolas" w:hAnsi="Consolas" w:eastAsia="Consolas" w:cs="Consolas"/>
                <w:b w:val="0"/>
                <w:sz w:val="16"/>
              </w:rPr>
              <w:t>stbtedbxprodcnc001</w:t>
            </w:r>
          </w:p>
        </w:tc>
      </w:tr>
    </w:tbl>
    <w:p>
      <w:pPr>
        <w:keepNext w:val="0"/>
        <w:spacing w:before="60" w:after="120"/>
      </w:pPr>
      <w:r>
        <w:rPr>
          <w:b w:val="0"/>
          <w:color w:val="5F6B7A"/>
          <w:sz w:val="17"/>
        </w:rPr>
        <w:t xml:space="preserve">All three environments use DNS server </w:t>
      </w:r>
      <w:r>
        <w:rPr>
          <w:rFonts w:ascii="Consolas" w:hAnsi="Consolas" w:eastAsia="Consolas" w:cs="Consolas"/>
          <w:b w:val="0"/>
          <w:color w:val="5F6B7A"/>
          <w:sz w:val="16"/>
        </w:rPr>
        <w:t>10.40.240.132</w:t>
      </w:r>
      <w:r>
        <w:rPr>
          <w:b w:val="0"/>
          <w:color w:val="5F6B7A"/>
          <w:sz w:val="17"/>
        </w:rPr>
        <w:t xml:space="preserve"> (the hub Private DNS Resolver) and send on-premises and cross-spoke traffic through the Cisco firewall </w:t>
      </w:r>
      <w:r>
        <w:rPr>
          <w:rFonts w:ascii="Consolas" w:hAnsi="Consolas" w:eastAsia="Consolas" w:cs="Consolas"/>
          <w:b w:val="0"/>
          <w:color w:val="5F6B7A"/>
          <w:sz w:val="16"/>
        </w:rPr>
        <w:t>10.40.240.36</w:t>
      </w:r>
      <w:r>
        <w:rPr>
          <w:b w:val="0"/>
          <w:color w:val="5F6B7A"/>
          <w:sz w:val="17"/>
        </w:rPr>
        <w:t>.</w:t>
      </w:r>
    </w:p>
    <w:p>
      <w:pPr>
        <w:keepNext w:val="0"/>
        <w:spacing w:before="60" w:after="120"/>
      </w:pPr>
      <w:r>
        <w:rPr>
          <w:b w:val="0"/>
          <w:color w:val="5F6B7A"/>
          <w:sz w:val="17"/>
        </w:rPr>
        <w:t xml:space="preserve">Classic compute in the Databricks host and container subnets reaches the internet through the environment’s NAT Gateway, from its static public IP </w:t>
      </w:r>
      <w:r>
        <w:rPr>
          <w:rFonts w:ascii="Consolas" w:hAnsi="Consolas" w:eastAsia="Consolas" w:cs="Consolas"/>
          <w:b w:val="0"/>
          <w:color w:val="5F6B7A"/>
          <w:sz w:val="16"/>
        </w:rPr>
        <w:t>pip-bte-dbx-&lt;env&gt;-cnc-001-nat</w:t>
      </w:r>
      <w:r>
        <w:rPr>
          <w:b w:val="0"/>
          <w:color w:val="5F6B7A"/>
          <w:sz w:val="17"/>
        </w:rPr>
        <w:t xml:space="preserve"> in the table above. An external service that allows access by source IP needs that address on its allow list. Serverless compute does not use it; its outbound access is limited by the serverless egress policy. The HAProxy VMs reach the internet through the Cisco firewall.</w:t>
      </w:r>
    </w:p>
    <w:p>
      <w:pPr>
        <w:pStyle w:val="Heading1"/>
      </w:pPr>
      <w:r>
        <w:t>3. What Terraform creates</w:t>
      </w:r>
    </w:p>
    <w:p>
      <w:pPr>
        <w:keepNext/>
        <w:spacing w:before="0" w:after="100"/>
      </w:pPr>
      <w:r>
        <w:rPr>
          <w:b w:val="0"/>
          <w:sz w:val="20"/>
        </w:rPr>
        <w:t>The same code creates the following in each environment (</w:t>
      </w:r>
      <w:r>
        <w:rPr>
          <w:rFonts w:ascii="Consolas" w:hAnsi="Consolas" w:eastAsia="Consolas" w:cs="Consolas"/>
          <w:b w:val="0"/>
          <w:sz w:val="19"/>
        </w:rPr>
        <w:t>&lt;env&gt;</w:t>
      </w:r>
      <w:r>
        <w:rPr>
          <w:b w:val="0"/>
          <w:sz w:val="20"/>
        </w:rPr>
        <w:t xml:space="preserve"> = </w:t>
      </w:r>
      <w:r>
        <w:rPr>
          <w:rFonts w:ascii="Consolas" w:hAnsi="Consolas" w:eastAsia="Consolas" w:cs="Consolas"/>
          <w:b w:val="0"/>
          <w:sz w:val="19"/>
        </w:rPr>
        <w:t>dev</w:t>
      </w:r>
      <w:r>
        <w:rPr>
          <w:b w:val="0"/>
          <w:sz w:val="20"/>
        </w:rPr>
        <w:t xml:space="preserve">, </w:t>
      </w:r>
      <w:r>
        <w:rPr>
          <w:rFonts w:ascii="Consolas" w:hAnsi="Consolas" w:eastAsia="Consolas" w:cs="Consolas"/>
          <w:b w:val="0"/>
          <w:sz w:val="19"/>
        </w:rPr>
        <w:t>test</w:t>
      </w:r>
      <w:r>
        <w:rPr>
          <w:b w:val="0"/>
          <w:sz w:val="20"/>
        </w:rPr>
        <w:t xml:space="preserve"> or </w:t>
      </w:r>
      <w:r>
        <w:rPr>
          <w:rFonts w:ascii="Consolas" w:hAnsi="Consolas" w:eastAsia="Consolas" w:cs="Consolas"/>
          <w:b w:val="0"/>
          <w:sz w:val="19"/>
        </w:rPr>
        <w:t>prod</w:t>
      </w:r>
      <w:r>
        <w:rPr>
          <w:b w:val="0"/>
          <w:sz w:val="20"/>
        </w:rPr>
        <w:t>). Everything is new. In test, names end in 002 instead of 001.</w:t>
      </w:r>
    </w:p>
    <w:tbl>
      <w:tblPr>
        <w:tblW w:type="dxa" w:w="10080"/>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Layout w:type="fixed"/>
        <w:tblCellMar>
          <w:top w:w="40" w:type="dxa"/>
          <w:left w:w="90" w:type="dxa"/>
          <w:bottom w:w="40" w:type="dxa"/>
          <w:right w:w="90" w:type="dxa"/>
        </w:tblCellMar>
        <w:tblLook w:firstColumn="1" w:firstRow="1" w:lastColumn="0" w:lastRow="0" w:noHBand="0" w:noVBand="1" w:val="04A0"/>
      </w:tblPr>
      <w:tblGrid>
        <w:gridCol w:w="1872"/>
        <w:gridCol w:w="4608"/>
        <w:gridCol w:w="3600"/>
      </w:tblGrid>
      <w:tr>
        <w:trPr>
          <w:cantSplit/>
          <w:tblHeader/>
        </w:trPr>
        <w:tc>
          <w:tcPr>
            <w:tcW w:type="dxa" w:w="1872"/>
            <w:shd w:val="clear" w:color="auto" w:fill="1F3A5F"/>
            <w:vAlign w:val="center"/>
          </w:tcPr>
          <w:p>
            <w:pPr>
              <w:keepNext/>
              <w:spacing w:before="0" w:after="0" w:line="252" w:lineRule="auto"/>
            </w:pPr>
            <w:r>
              <w:rPr>
                <w:b/>
                <w:color w:val="FFFFFF"/>
                <w:sz w:val="17"/>
              </w:rPr>
              <w:t>Component</w:t>
            </w:r>
          </w:p>
        </w:tc>
        <w:tc>
          <w:tcPr>
            <w:tcW w:type="dxa" w:w="4608"/>
            <w:shd w:val="clear" w:color="auto" w:fill="1F3A5F"/>
            <w:vAlign w:val="center"/>
          </w:tcPr>
          <w:p>
            <w:pPr>
              <w:keepNext/>
              <w:spacing w:before="0" w:after="0" w:line="252" w:lineRule="auto"/>
            </w:pPr>
            <w:r>
              <w:rPr>
                <w:b/>
                <w:color w:val="FFFFFF"/>
                <w:sz w:val="17"/>
              </w:rPr>
              <w:t>What is created</w:t>
            </w:r>
          </w:p>
        </w:tc>
        <w:tc>
          <w:tcPr>
            <w:tcW w:type="dxa" w:w="3600"/>
            <w:shd w:val="clear" w:color="auto" w:fill="1F3A5F"/>
            <w:vAlign w:val="center"/>
          </w:tcPr>
          <w:p>
            <w:pPr>
              <w:keepNext/>
              <w:spacing w:before="0" w:after="0" w:line="252" w:lineRule="auto"/>
            </w:pPr>
            <w:r>
              <w:rPr>
                <w:b/>
                <w:color w:val="FFFFFF"/>
                <w:sz w:val="17"/>
              </w:rPr>
              <w:t>Resource group</w:t>
            </w:r>
          </w:p>
        </w:tc>
      </w:tr>
      <w:tr>
        <w:trPr>
          <w:cantSplit/>
        </w:trPr>
        <w:tc>
          <w:tcPr>
            <w:tcW w:type="dxa" w:w="1872"/>
            <w:shd w:val="clear" w:color="auto" w:fill="E9EEF4"/>
            <w:vAlign w:val="top"/>
          </w:tcPr>
          <w:p>
            <w:pPr>
              <w:spacing w:before="0" w:after="0" w:line="252" w:lineRule="auto"/>
            </w:pPr>
            <w:r>
              <w:rPr>
                <w:b/>
                <w:color w:val="1F3A5F"/>
                <w:sz w:val="17"/>
              </w:rPr>
              <w:t>Network</w:t>
            </w:r>
          </w:p>
        </w:tc>
        <w:tc>
          <w:tcPr>
            <w:tcW w:type="dxa" w:w="4608"/>
            <w:vAlign w:val="top"/>
          </w:tcPr>
          <w:p>
            <w:pPr>
              <w:spacing w:before="0" w:after="0" w:line="252" w:lineRule="auto"/>
            </w:pPr>
            <w:r>
              <w:rPr>
                <w:b w:val="0"/>
                <w:sz w:val="17"/>
              </w:rPr>
              <w:t>Spoke VNet with four subnets, NSGs, a NAT Gateway with a static public IP for internet access, and route tables that send on-premises, Trimble and other-spoke traffic to the Cisco firewall</w:t>
            </w:r>
          </w:p>
        </w:tc>
        <w:tc>
          <w:tcPr>
            <w:tcW w:type="dxa" w:w="3600"/>
            <w:vAlign w:val="top"/>
          </w:tcPr>
          <w:p>
            <w:pPr>
              <w:spacing w:before="0" w:after="0" w:line="252" w:lineRule="auto"/>
            </w:pPr>
            <w:r>
              <w:rPr>
                <w:rFonts w:ascii="Consolas" w:hAnsi="Consolas" w:eastAsia="Consolas" w:cs="Consolas"/>
                <w:b w:val="0"/>
                <w:sz w:val="16"/>
              </w:rPr>
              <w:t>rg-bte-dbx-&lt;env&gt;-network-cnc-001</w:t>
            </w:r>
          </w:p>
        </w:tc>
      </w:tr>
      <w:tr>
        <w:trPr>
          <w:cantSplit/>
        </w:trPr>
        <w:tc>
          <w:tcPr>
            <w:tcW w:type="dxa" w:w="1872"/>
            <w:shd w:val="clear" w:color="auto" w:fill="E9EEF4"/>
            <w:vAlign w:val="top"/>
          </w:tcPr>
          <w:p>
            <w:pPr>
              <w:spacing w:before="0" w:after="0" w:line="252" w:lineRule="auto"/>
            </w:pPr>
            <w:r>
              <w:rPr>
                <w:b/>
                <w:color w:val="1F3A5F"/>
                <w:sz w:val="17"/>
              </w:rPr>
              <w:t>Databricks workspace</w:t>
            </w:r>
          </w:p>
        </w:tc>
        <w:tc>
          <w:tcPr>
            <w:tcW w:type="dxa" w:w="4608"/>
            <w:shd w:val="clear" w:color="auto" w:fill="F4F6F9"/>
            <w:vAlign w:val="top"/>
          </w:tcPr>
          <w:p>
            <w:pPr>
              <w:spacing w:before="0" w:after="0" w:line="252" w:lineRule="auto"/>
            </w:pPr>
            <w:r>
              <w:rPr>
                <w:rFonts w:ascii="Consolas" w:hAnsi="Consolas" w:eastAsia="Consolas" w:cs="Consolas"/>
                <w:b w:val="0"/>
                <w:sz w:val="16"/>
              </w:rPr>
              <w:t>dbw-bte-dbx-&lt;env&gt;-cnc-001</w:t>
            </w:r>
            <w:r>
              <w:rPr>
                <w:b w:val="0"/>
                <w:sz w:val="17"/>
              </w:rPr>
              <w:t xml:space="preserve"> — Premium, inside the spoke VNet, no public IPs on compute. Databricks manages the second resource group.</w:t>
            </w:r>
          </w:p>
        </w:tc>
        <w:tc>
          <w:tcPr>
            <w:tcW w:type="dxa" w:w="3600"/>
            <w:shd w:val="clear" w:color="auto" w:fill="F4F6F9"/>
            <w:vAlign w:val="top"/>
          </w:tcPr>
          <w:p>
            <w:pPr>
              <w:spacing w:before="0" w:after="30" w:line="252" w:lineRule="auto"/>
            </w:pPr>
            <w:r>
              <w:rPr>
                <w:rFonts w:ascii="Consolas" w:hAnsi="Consolas" w:eastAsia="Consolas" w:cs="Consolas"/>
                <w:b w:val="0"/>
                <w:sz w:val="16"/>
              </w:rPr>
              <w:t>rg-bte-dbx-&lt;env&gt;-platform-cnc-001</w:t>
            </w:r>
          </w:p>
          <w:p>
            <w:pPr>
              <w:spacing w:before="0" w:after="0" w:line="252" w:lineRule="auto"/>
            </w:pPr>
            <w:r>
              <w:rPr>
                <w:rFonts w:ascii="Consolas" w:hAnsi="Consolas" w:eastAsia="Consolas" w:cs="Consolas"/>
                <w:b w:val="0"/>
                <w:sz w:val="16"/>
              </w:rPr>
              <w:t>rg-bte-dbx-&lt;env&gt;-dbx-managed-cnc-001</w:t>
            </w:r>
          </w:p>
        </w:tc>
      </w:tr>
      <w:tr>
        <w:trPr>
          <w:cantSplit/>
        </w:trPr>
        <w:tc>
          <w:tcPr>
            <w:tcW w:type="dxa" w:w="1872"/>
            <w:shd w:val="clear" w:color="auto" w:fill="E9EEF4"/>
            <w:vAlign w:val="top"/>
          </w:tcPr>
          <w:p>
            <w:pPr>
              <w:spacing w:before="0" w:after="0" w:line="252" w:lineRule="auto"/>
            </w:pPr>
            <w:r>
              <w:rPr>
                <w:b/>
                <w:color w:val="1F3A5F"/>
                <w:sz w:val="17"/>
              </w:rPr>
              <w:t>Data storage</w:t>
            </w:r>
          </w:p>
        </w:tc>
        <w:tc>
          <w:tcPr>
            <w:tcW w:type="dxa" w:w="4608"/>
            <w:vAlign w:val="top"/>
          </w:tcPr>
          <w:p>
            <w:pPr>
              <w:spacing w:before="0" w:after="0" w:line="252" w:lineRule="auto"/>
            </w:pPr>
            <w:r>
              <w:rPr>
                <w:b w:val="0"/>
                <w:sz w:val="17"/>
              </w:rPr>
              <w:t xml:space="preserve">ADLS Gen2 account </w:t>
            </w:r>
            <w:r>
              <w:rPr>
                <w:rFonts w:ascii="Consolas" w:hAnsi="Consolas" w:eastAsia="Consolas" w:cs="Consolas"/>
                <w:b w:val="0"/>
                <w:sz w:val="16"/>
              </w:rPr>
              <w:t>stbtedbx&lt;env&gt;cnc001</w:t>
            </w:r>
            <w:r>
              <w:rPr>
                <w:b w:val="0"/>
                <w:sz w:val="17"/>
              </w:rPr>
              <w:t xml:space="preserve"> with public access disabled, reached only through private endpoints; Access Connector for Unity Catalog</w:t>
            </w:r>
          </w:p>
        </w:tc>
        <w:tc>
          <w:tcPr>
            <w:tcW w:type="dxa" w:w="3600"/>
            <w:vAlign w:val="top"/>
          </w:tcPr>
          <w:p>
            <w:pPr>
              <w:spacing w:before="0" w:after="0" w:line="252" w:lineRule="auto"/>
            </w:pPr>
            <w:r>
              <w:rPr>
                <w:rFonts w:ascii="Consolas" w:hAnsi="Consolas" w:eastAsia="Consolas" w:cs="Consolas"/>
                <w:b w:val="0"/>
                <w:sz w:val="16"/>
              </w:rPr>
              <w:t>rg-bte-dbx-&lt;env&gt;-data-cnc-001</w:t>
            </w:r>
          </w:p>
        </w:tc>
      </w:tr>
      <w:tr>
        <w:trPr>
          <w:cantSplit/>
        </w:trPr>
        <w:tc>
          <w:tcPr>
            <w:tcW w:type="dxa" w:w="1872"/>
            <w:shd w:val="clear" w:color="auto" w:fill="E9EEF4"/>
            <w:vAlign w:val="top"/>
          </w:tcPr>
          <w:p>
            <w:pPr>
              <w:spacing w:before="0" w:after="0" w:line="252" w:lineRule="auto"/>
            </w:pPr>
            <w:r>
              <w:rPr>
                <w:b/>
                <w:color w:val="1F3A5F"/>
                <w:sz w:val="17"/>
              </w:rPr>
              <w:t>On-premises access</w:t>
            </w:r>
          </w:p>
        </w:tc>
        <w:tc>
          <w:tcPr>
            <w:tcW w:type="dxa" w:w="4608"/>
            <w:shd w:val="clear" w:color="auto" w:fill="F4F6F9"/>
            <w:vAlign w:val="top"/>
          </w:tcPr>
          <w:p>
            <w:pPr>
              <w:spacing w:before="0" w:after="0" w:line="252" w:lineRule="auto"/>
            </w:pPr>
            <w:r>
              <w:rPr>
                <w:b w:val="0"/>
                <w:sz w:val="17"/>
              </w:rPr>
              <w:t>Two HAProxy VMs (zones 1 and 2), an internal load balancer and seven Private Link Services, so serverless compute can reach the on-premises databases</w:t>
            </w:r>
          </w:p>
        </w:tc>
        <w:tc>
          <w:tcPr>
            <w:tcW w:type="dxa" w:w="3600"/>
            <w:shd w:val="clear" w:color="auto" w:fill="F4F6F9"/>
            <w:vAlign w:val="top"/>
          </w:tcPr>
          <w:p>
            <w:pPr>
              <w:spacing w:before="0" w:after="0" w:line="252" w:lineRule="auto"/>
            </w:pPr>
            <w:r>
              <w:rPr>
                <w:rFonts w:ascii="Consolas" w:hAnsi="Consolas" w:eastAsia="Consolas" w:cs="Consolas"/>
                <w:b w:val="0"/>
                <w:sz w:val="16"/>
              </w:rPr>
              <w:t>rg-bte-dbx-&lt;env&gt;-connectivity-cnc-001</w:t>
            </w:r>
          </w:p>
        </w:tc>
      </w:tr>
      <w:tr>
        <w:trPr>
          <w:cantSplit/>
        </w:trPr>
        <w:tc>
          <w:tcPr>
            <w:tcW w:type="dxa" w:w="1872"/>
            <w:shd w:val="clear" w:color="auto" w:fill="E9EEF4"/>
            <w:vAlign w:val="top"/>
          </w:tcPr>
          <w:p>
            <w:pPr>
              <w:spacing w:before="0" w:after="0" w:line="252" w:lineRule="auto"/>
            </w:pPr>
            <w:r>
              <w:rPr>
                <w:b/>
                <w:color w:val="1F3A5F"/>
                <w:sz w:val="17"/>
              </w:rPr>
              <w:t>Databricks account</w:t>
            </w:r>
          </w:p>
        </w:tc>
        <w:tc>
          <w:tcPr>
            <w:tcW w:type="dxa" w:w="4608"/>
            <w:vAlign w:val="top"/>
          </w:tcPr>
          <w:p>
            <w:pPr>
              <w:spacing w:before="0" w:after="0" w:line="252" w:lineRule="auto"/>
            </w:pPr>
            <w:r>
              <w:rPr>
                <w:b w:val="0"/>
                <w:sz w:val="17"/>
              </w:rPr>
              <w:t xml:space="preserve">Network Connectivity Config </w:t>
            </w:r>
            <w:r>
              <w:rPr>
                <w:rFonts w:ascii="Consolas" w:hAnsi="Consolas" w:eastAsia="Consolas" w:cs="Consolas"/>
                <w:b w:val="0"/>
                <w:sz w:val="16"/>
              </w:rPr>
              <w:t>ncc-bte-dbx-&lt;env&gt;-cnc-001</w:t>
            </w:r>
            <w:r>
              <w:rPr>
                <w:b w:val="0"/>
                <w:sz w:val="17"/>
              </w:rPr>
              <w:t xml:space="preserve"> and serverless egress policy </w:t>
            </w:r>
            <w:r>
              <w:rPr>
                <w:rFonts w:ascii="Consolas" w:hAnsi="Consolas" w:eastAsia="Consolas" w:cs="Consolas"/>
                <w:b w:val="0"/>
                <w:sz w:val="16"/>
              </w:rPr>
              <w:t>np-bte-dbx-&lt;env&gt;-cnc-001</w:t>
            </w:r>
            <w:r>
              <w:rPr>
                <w:b w:val="0"/>
                <w:sz w:val="17"/>
              </w:rPr>
              <w:t xml:space="preserve"> (12 approved internet domains, dry-run mode), attached only to the new workspace</w:t>
            </w:r>
          </w:p>
        </w:tc>
        <w:tc>
          <w:tcPr>
            <w:tcW w:type="dxa" w:w="3600"/>
            <w:vAlign w:val="top"/>
          </w:tcPr>
          <w:p>
            <w:pPr>
              <w:spacing w:before="0" w:after="0" w:line="252" w:lineRule="auto"/>
            </w:pPr>
            <w:r>
              <w:rPr>
                <w:b w:val="0"/>
                <w:sz w:val="17"/>
              </w:rPr>
              <w:t>Databricks account</w:t>
            </w:r>
          </w:p>
        </w:tc>
      </w:tr>
      <w:tr>
        <w:trPr>
          <w:cantSplit/>
        </w:trPr>
        <w:tc>
          <w:tcPr>
            <w:tcW w:type="dxa" w:w="1872"/>
            <w:shd w:val="clear" w:color="auto" w:fill="E9EEF4"/>
            <w:vAlign w:val="top"/>
          </w:tcPr>
          <w:p>
            <w:pPr>
              <w:spacing w:before="0" w:after="0" w:line="252" w:lineRule="auto"/>
            </w:pPr>
            <w:r>
              <w:rPr>
                <w:b/>
                <w:color w:val="1F3A5F"/>
                <w:sz w:val="17"/>
              </w:rPr>
              <w:t>Unity Catalog</w:t>
            </w:r>
          </w:p>
        </w:tc>
        <w:tc>
          <w:tcPr>
            <w:tcW w:type="dxa" w:w="4608"/>
            <w:shd w:val="clear" w:color="auto" w:fill="F4F6F9"/>
            <w:vAlign w:val="top"/>
          </w:tcPr>
          <w:p>
            <w:pPr>
              <w:spacing w:before="0" w:after="0" w:line="252" w:lineRule="auto"/>
            </w:pPr>
            <w:r>
              <w:rPr>
                <w:b w:val="0"/>
                <w:sz w:val="17"/>
              </w:rPr>
              <w:t xml:space="preserve">Storage credential </w:t>
            </w:r>
            <w:r>
              <w:rPr>
                <w:rFonts w:ascii="Consolas" w:hAnsi="Consolas" w:eastAsia="Consolas" w:cs="Consolas"/>
                <w:b w:val="0"/>
                <w:sz w:val="16"/>
              </w:rPr>
              <w:t>sc_bte_dbx_&lt;env&gt;_data_cnc_001</w:t>
            </w:r>
            <w:r>
              <w:rPr>
                <w:b w:val="0"/>
                <w:sz w:val="17"/>
              </w:rPr>
              <w:t xml:space="preserve"> and external location </w:t>
            </w:r>
            <w:r>
              <w:rPr>
                <w:rFonts w:ascii="Consolas" w:hAnsi="Consolas" w:eastAsia="Consolas" w:cs="Consolas"/>
                <w:b w:val="0"/>
                <w:sz w:val="16"/>
              </w:rPr>
              <w:t>el_bte_dbx_&lt;env&gt;_data_cnc_001</w:t>
            </w:r>
            <w:r>
              <w:rPr>
                <w:b w:val="0"/>
                <w:sz w:val="17"/>
              </w:rPr>
              <w:t xml:space="preserve"> on the data storage account, usable only from the new workspace. No catalogs are created.</w:t>
            </w:r>
          </w:p>
        </w:tc>
        <w:tc>
          <w:tcPr>
            <w:tcW w:type="dxa" w:w="3600"/>
            <w:shd w:val="clear" w:color="auto" w:fill="F4F6F9"/>
            <w:vAlign w:val="top"/>
          </w:tcPr>
          <w:p>
            <w:pPr>
              <w:spacing w:before="0" w:after="0" w:line="252" w:lineRule="auto"/>
            </w:pPr>
            <w:r>
              <w:rPr>
                <w:b w:val="0"/>
                <w:sz w:val="17"/>
              </w:rPr>
              <w:t>Existing metastore</w:t>
            </w:r>
          </w:p>
        </w:tc>
      </w:tr>
      <w:tr>
        <w:trPr>
          <w:cantSplit/>
        </w:trPr>
        <w:tc>
          <w:tcPr>
            <w:tcW w:type="dxa" w:w="1872"/>
            <w:shd w:val="clear" w:color="auto" w:fill="E9EEF4"/>
            <w:vAlign w:val="top"/>
          </w:tcPr>
          <w:p>
            <w:pPr>
              <w:spacing w:before="0" w:after="0" w:line="252" w:lineRule="auto"/>
            </w:pPr>
            <w:r>
              <w:rPr>
                <w:b/>
                <w:color w:val="1F3A5F"/>
                <w:sz w:val="17"/>
              </w:rPr>
              <w:t>Operations</w:t>
            </w:r>
          </w:p>
        </w:tc>
        <w:tc>
          <w:tcPr>
            <w:tcW w:type="dxa" w:w="4608"/>
            <w:vAlign w:val="top"/>
          </w:tcPr>
          <w:p>
            <w:pPr>
              <w:spacing w:before="0" w:after="0" w:line="252" w:lineRule="auto"/>
            </w:pPr>
            <w:r>
              <w:rPr>
                <w:b w:val="0"/>
                <w:sz w:val="17"/>
              </w:rPr>
              <w:t>Log Analytics, diagnostics and alerts; Terraform state storage</w:t>
            </w:r>
          </w:p>
        </w:tc>
        <w:tc>
          <w:tcPr>
            <w:tcW w:type="dxa" w:w="3600"/>
            <w:vAlign w:val="top"/>
          </w:tcPr>
          <w:p>
            <w:pPr>
              <w:spacing w:before="0" w:after="30" w:line="252" w:lineRule="auto"/>
            </w:pPr>
            <w:r>
              <w:rPr>
                <w:rFonts w:ascii="Consolas" w:hAnsi="Consolas" w:eastAsia="Consolas" w:cs="Consolas"/>
                <w:b w:val="0"/>
                <w:sz w:val="16"/>
              </w:rPr>
              <w:t>rg-bte-dbx-&lt;env&gt;-ops-cnc-001</w:t>
            </w:r>
          </w:p>
          <w:p>
            <w:pPr>
              <w:spacing w:before="0" w:after="0" w:line="252" w:lineRule="auto"/>
            </w:pPr>
            <w:r>
              <w:rPr>
                <w:rFonts w:ascii="Consolas" w:hAnsi="Consolas" w:eastAsia="Consolas" w:cs="Consolas"/>
                <w:b w:val="0"/>
                <w:sz w:val="16"/>
              </w:rPr>
              <w:t>rg-bte-dbx-&lt;env&gt;-tfstate-cnc-001</w:t>
            </w:r>
          </w:p>
        </w:tc>
      </w:tr>
    </w:tbl>
    <w:p>
      <w:pPr>
        <w:pStyle w:val="Heading2"/>
      </w:pPr>
      <w:r>
        <w:t>3.1 HAProxy VMs and SSH keys</w:t>
      </w:r>
    </w:p>
    <w:p>
      <w:pPr>
        <w:keepNext/>
        <w:spacing w:before="0" w:after="100"/>
      </w:pPr>
      <w:r>
        <w:rPr>
          <w:b w:val="0"/>
          <w:sz w:val="19"/>
        </w:rPr>
        <w:t xml:space="preserve">SSH key login only; no SSH port is open to the network. The keys are in the password vault, collection </w:t>
      </w:r>
      <w:r>
        <w:rPr>
          <w:b/>
          <w:sz w:val="19"/>
        </w:rPr>
        <w:t>AMTRA_BTE_ITBI</w:t>
      </w:r>
      <w:r>
        <w:rPr>
          <w:b w:val="0"/>
          <w:sz w:val="19"/>
        </w:rPr>
        <w:t xml:space="preserve"> (how-to: </w:t>
      </w:r>
      <w:r>
        <w:rPr>
          <w:b/>
          <w:sz w:val="19"/>
        </w:rPr>
        <w:t>BTE HAProxy SSH Key - Instructions</w:t>
      </w:r>
      <w:r>
        <w:rPr>
          <w:b w:val="0"/>
          <w:sz w:val="19"/>
        </w:rPr>
        <w:t>).</w:t>
      </w:r>
    </w:p>
    <w:tbl>
      <w:tblPr>
        <w:tblW w:type="dxa" w:w="10080"/>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Layout w:type="fixed"/>
        <w:tblCellMar>
          <w:top w:w="40" w:type="dxa"/>
          <w:left w:w="90" w:type="dxa"/>
          <w:bottom w:w="40" w:type="dxa"/>
          <w:right w:w="90" w:type="dxa"/>
        </w:tblCellMar>
        <w:tblLook w:firstColumn="1" w:firstRow="1" w:lastColumn="0" w:lastRow="0" w:noHBand="0" w:noVBand="1" w:val="04A0"/>
      </w:tblPr>
      <w:tblGrid>
        <w:gridCol w:w="1008"/>
        <w:gridCol w:w="4032"/>
        <w:gridCol w:w="1944"/>
        <w:gridCol w:w="3096"/>
      </w:tblGrid>
      <w:tr>
        <w:trPr>
          <w:cantSplit/>
          <w:tblHeader/>
        </w:trPr>
        <w:tc>
          <w:tcPr>
            <w:tcW w:type="dxa" w:w="1008"/>
            <w:shd w:val="clear" w:color="auto" w:fill="1F3A5F"/>
            <w:vAlign w:val="center"/>
          </w:tcPr>
          <w:p>
            <w:pPr>
              <w:keepNext/>
              <w:spacing w:before="0" w:after="0" w:line="252" w:lineRule="auto"/>
            </w:pPr>
            <w:r>
              <w:rPr>
                <w:b/>
                <w:color w:val="FFFFFF"/>
                <w:sz w:val="17"/>
              </w:rPr>
              <w:t>Env</w:t>
            </w:r>
          </w:p>
        </w:tc>
        <w:tc>
          <w:tcPr>
            <w:tcW w:type="dxa" w:w="4032"/>
            <w:shd w:val="clear" w:color="auto" w:fill="1F3A5F"/>
            <w:vAlign w:val="center"/>
          </w:tcPr>
          <w:p>
            <w:pPr>
              <w:keepNext/>
              <w:spacing w:before="0" w:after="0" w:line="252" w:lineRule="auto"/>
            </w:pPr>
            <w:r>
              <w:rPr>
                <w:b/>
                <w:color w:val="FFFFFF"/>
                <w:sz w:val="17"/>
              </w:rPr>
              <w:t>VM names</w:t>
            </w:r>
          </w:p>
        </w:tc>
        <w:tc>
          <w:tcPr>
            <w:tcW w:type="dxa" w:w="1944"/>
            <w:shd w:val="clear" w:color="auto" w:fill="1F3A5F"/>
            <w:vAlign w:val="center"/>
          </w:tcPr>
          <w:p>
            <w:pPr>
              <w:keepNext/>
              <w:spacing w:before="0" w:after="0" w:line="252" w:lineRule="auto"/>
            </w:pPr>
            <w:r>
              <w:rPr>
                <w:b/>
                <w:color w:val="FFFFFF"/>
                <w:sz w:val="17"/>
              </w:rPr>
              <w:t>IPs</w:t>
            </w:r>
          </w:p>
        </w:tc>
        <w:tc>
          <w:tcPr>
            <w:tcW w:type="dxa" w:w="3096"/>
            <w:shd w:val="clear" w:color="auto" w:fill="1F3A5F"/>
            <w:vAlign w:val="center"/>
          </w:tcPr>
          <w:p>
            <w:pPr>
              <w:keepNext/>
              <w:spacing w:before="0" w:after="0" w:line="252" w:lineRule="auto"/>
            </w:pPr>
            <w:r>
              <w:rPr>
                <w:b/>
                <w:color w:val="FFFFFF"/>
                <w:sz w:val="17"/>
              </w:rPr>
              <w:t>Vault item</w:t>
            </w:r>
          </w:p>
        </w:tc>
      </w:tr>
      <w:tr>
        <w:trPr>
          <w:cantSplit/>
        </w:trPr>
        <w:tc>
          <w:tcPr>
            <w:tcW w:type="dxa" w:w="1008"/>
            <w:shd w:val="clear" w:color="auto" w:fill="E9EEF4"/>
            <w:vAlign w:val="top"/>
          </w:tcPr>
          <w:p>
            <w:pPr>
              <w:keepNext/>
              <w:spacing w:before="0" w:after="0" w:line="252" w:lineRule="auto"/>
            </w:pPr>
            <w:r>
              <w:rPr>
                <w:b/>
                <w:color w:val="1F3A5F"/>
                <w:sz w:val="17"/>
              </w:rPr>
              <w:t>Dev</w:t>
            </w:r>
          </w:p>
        </w:tc>
        <w:tc>
          <w:tcPr>
            <w:tcW w:type="dxa" w:w="4032"/>
            <w:vAlign w:val="top"/>
          </w:tcPr>
          <w:p>
            <w:pPr>
              <w:keepNext/>
              <w:spacing w:before="0" w:after="0" w:line="252" w:lineRule="auto"/>
            </w:pPr>
            <w:r>
              <w:rPr>
                <w:rFonts w:ascii="Consolas" w:hAnsi="Consolas" w:eastAsia="Consolas" w:cs="Consolas"/>
                <w:b w:val="0"/>
                <w:sz w:val="16"/>
              </w:rPr>
              <w:t>vm-bte-dbx-dev-cnc-001-proxy-01</w:t>
            </w:r>
            <w:r>
              <w:rPr>
                <w:b w:val="0"/>
                <w:sz w:val="17"/>
              </w:rPr>
              <w:t xml:space="preserve">, </w:t>
            </w:r>
            <w:r>
              <w:rPr>
                <w:rFonts w:ascii="Consolas" w:hAnsi="Consolas" w:eastAsia="Consolas" w:cs="Consolas"/>
                <w:b w:val="0"/>
                <w:sz w:val="16"/>
              </w:rPr>
              <w:t>-02</w:t>
            </w:r>
          </w:p>
        </w:tc>
        <w:tc>
          <w:tcPr>
            <w:tcW w:type="dxa" w:w="1944"/>
            <w:vAlign w:val="top"/>
          </w:tcPr>
          <w:p>
            <w:pPr>
              <w:keepNext/>
              <w:spacing w:before="0" w:after="0" w:line="252" w:lineRule="auto"/>
            </w:pPr>
            <w:r>
              <w:rPr>
                <w:rFonts w:ascii="Consolas" w:hAnsi="Consolas" w:eastAsia="Consolas" w:cs="Consolas"/>
                <w:b w:val="0"/>
                <w:sz w:val="16"/>
              </w:rPr>
              <w:t>10.40.147.5</w:t>
            </w:r>
            <w:r>
              <w:rPr>
                <w:b w:val="0"/>
                <w:sz w:val="17"/>
              </w:rPr>
              <w:t xml:space="preserve">, </w:t>
            </w:r>
            <w:r>
              <w:rPr>
                <w:rFonts w:ascii="Consolas" w:hAnsi="Consolas" w:eastAsia="Consolas" w:cs="Consolas"/>
                <w:b w:val="0"/>
                <w:sz w:val="16"/>
              </w:rPr>
              <w:t>.6</w:t>
            </w:r>
          </w:p>
        </w:tc>
        <w:tc>
          <w:tcPr>
            <w:tcW w:type="dxa" w:w="3096"/>
            <w:vAlign w:val="top"/>
          </w:tcPr>
          <w:p>
            <w:pPr>
              <w:keepNext/>
              <w:spacing w:before="0" w:after="0" w:line="252" w:lineRule="auto"/>
            </w:pPr>
            <w:r>
              <w:rPr>
                <w:b w:val="0"/>
                <w:sz w:val="17"/>
              </w:rPr>
              <w:t>BTE Databricks HAProxy SSH key - DE</w:t>
            </w:r>
          </w:p>
        </w:tc>
      </w:tr>
      <w:tr>
        <w:trPr>
          <w:cantSplit/>
        </w:trPr>
        <w:tc>
          <w:tcPr>
            <w:tcW w:type="dxa" w:w="1008"/>
            <w:shd w:val="clear" w:color="auto" w:fill="E9EEF4"/>
            <w:vAlign w:val="top"/>
          </w:tcPr>
          <w:p>
            <w:pPr>
              <w:keepNext/>
              <w:spacing w:before="0" w:after="0" w:line="252" w:lineRule="auto"/>
            </w:pPr>
            <w:r>
              <w:rPr>
                <w:b/>
                <w:color w:val="1F3A5F"/>
                <w:sz w:val="17"/>
              </w:rPr>
              <w:t>Test</w:t>
            </w:r>
          </w:p>
        </w:tc>
        <w:tc>
          <w:tcPr>
            <w:tcW w:type="dxa" w:w="4032"/>
            <w:shd w:val="clear" w:color="auto" w:fill="F4F6F9"/>
            <w:vAlign w:val="top"/>
          </w:tcPr>
          <w:p>
            <w:pPr>
              <w:keepNext/>
              <w:spacing w:before="0" w:after="0" w:line="252" w:lineRule="auto"/>
            </w:pPr>
            <w:r>
              <w:rPr>
                <w:rFonts w:ascii="Consolas" w:hAnsi="Consolas" w:eastAsia="Consolas" w:cs="Consolas"/>
                <w:b w:val="0"/>
                <w:sz w:val="16"/>
              </w:rPr>
              <w:t>vm-bte-dbx-test-cnc-002-proxy-01</w:t>
            </w:r>
            <w:r>
              <w:rPr>
                <w:b w:val="0"/>
                <w:sz w:val="17"/>
              </w:rPr>
              <w:t xml:space="preserve">, </w:t>
            </w:r>
            <w:r>
              <w:rPr>
                <w:rFonts w:ascii="Consolas" w:hAnsi="Consolas" w:eastAsia="Consolas" w:cs="Consolas"/>
                <w:b w:val="0"/>
                <w:sz w:val="16"/>
              </w:rPr>
              <w:t>-02</w:t>
            </w:r>
          </w:p>
        </w:tc>
        <w:tc>
          <w:tcPr>
            <w:tcW w:type="dxa" w:w="1944"/>
            <w:shd w:val="clear" w:color="auto" w:fill="F4F6F9"/>
            <w:vAlign w:val="top"/>
          </w:tcPr>
          <w:p>
            <w:pPr>
              <w:keepNext/>
              <w:spacing w:before="0" w:after="0" w:line="252" w:lineRule="auto"/>
            </w:pPr>
            <w:r>
              <w:rPr>
                <w:rFonts w:ascii="Consolas" w:hAnsi="Consolas" w:eastAsia="Consolas" w:cs="Consolas"/>
                <w:b w:val="0"/>
                <w:sz w:val="16"/>
              </w:rPr>
              <w:t>10.40.195.5</w:t>
            </w:r>
            <w:r>
              <w:rPr>
                <w:b w:val="0"/>
                <w:sz w:val="17"/>
              </w:rPr>
              <w:t xml:space="preserve">, </w:t>
            </w:r>
            <w:r>
              <w:rPr>
                <w:rFonts w:ascii="Consolas" w:hAnsi="Consolas" w:eastAsia="Consolas" w:cs="Consolas"/>
                <w:b w:val="0"/>
                <w:sz w:val="16"/>
              </w:rPr>
              <w:t>.6</w:t>
            </w:r>
          </w:p>
        </w:tc>
        <w:tc>
          <w:tcPr>
            <w:tcW w:type="dxa" w:w="3096"/>
            <w:shd w:val="clear" w:color="auto" w:fill="F4F6F9"/>
            <w:vAlign w:val="top"/>
          </w:tcPr>
          <w:p>
            <w:pPr>
              <w:keepNext/>
              <w:spacing w:before="0" w:after="0" w:line="252" w:lineRule="auto"/>
            </w:pPr>
            <w:r>
              <w:rPr>
                <w:b w:val="0"/>
                <w:sz w:val="17"/>
              </w:rPr>
              <w:t>BTE Databricks HAProxy SSH key - TE</w:t>
            </w:r>
          </w:p>
        </w:tc>
      </w:tr>
      <w:tr>
        <w:trPr>
          <w:cantSplit/>
        </w:trPr>
        <w:tc>
          <w:tcPr>
            <w:tcW w:type="dxa" w:w="1008"/>
            <w:shd w:val="clear" w:color="auto" w:fill="E9EEF4"/>
            <w:vAlign w:val="top"/>
          </w:tcPr>
          <w:p>
            <w:pPr>
              <w:spacing w:before="0" w:after="0" w:line="252" w:lineRule="auto"/>
            </w:pPr>
            <w:r>
              <w:rPr>
                <w:b/>
                <w:color w:val="1F3A5F"/>
                <w:sz w:val="17"/>
              </w:rPr>
              <w:t>Prod</w:t>
            </w:r>
          </w:p>
        </w:tc>
        <w:tc>
          <w:tcPr>
            <w:tcW w:type="dxa" w:w="4032"/>
            <w:vAlign w:val="top"/>
          </w:tcPr>
          <w:p>
            <w:pPr>
              <w:spacing w:before="0" w:after="0" w:line="252" w:lineRule="auto"/>
            </w:pPr>
            <w:r>
              <w:rPr>
                <w:rFonts w:ascii="Consolas" w:hAnsi="Consolas" w:eastAsia="Consolas" w:cs="Consolas"/>
                <w:b w:val="0"/>
                <w:sz w:val="16"/>
              </w:rPr>
              <w:t>vm-bte-dbx-prod-cnc-001-proxy-01</w:t>
            </w:r>
            <w:r>
              <w:rPr>
                <w:b w:val="0"/>
                <w:sz w:val="17"/>
              </w:rPr>
              <w:t xml:space="preserve">, </w:t>
            </w:r>
            <w:r>
              <w:rPr>
                <w:rFonts w:ascii="Consolas" w:hAnsi="Consolas" w:eastAsia="Consolas" w:cs="Consolas"/>
                <w:b w:val="0"/>
                <w:sz w:val="16"/>
              </w:rPr>
              <w:t>-02</w:t>
            </w:r>
          </w:p>
        </w:tc>
        <w:tc>
          <w:tcPr>
            <w:tcW w:type="dxa" w:w="1944"/>
            <w:vAlign w:val="top"/>
          </w:tcPr>
          <w:p>
            <w:pPr>
              <w:spacing w:before="0" w:after="0" w:line="252" w:lineRule="auto"/>
            </w:pPr>
            <w:r>
              <w:rPr>
                <w:rFonts w:ascii="Consolas" w:hAnsi="Consolas" w:eastAsia="Consolas" w:cs="Consolas"/>
                <w:b w:val="0"/>
                <w:sz w:val="16"/>
              </w:rPr>
              <w:t>10.40.179.5</w:t>
            </w:r>
            <w:r>
              <w:rPr>
                <w:b w:val="0"/>
                <w:sz w:val="17"/>
              </w:rPr>
              <w:t xml:space="preserve">, </w:t>
            </w:r>
            <w:r>
              <w:rPr>
                <w:rFonts w:ascii="Consolas" w:hAnsi="Consolas" w:eastAsia="Consolas" w:cs="Consolas"/>
                <w:b w:val="0"/>
                <w:sz w:val="16"/>
              </w:rPr>
              <w:t>.6</w:t>
            </w:r>
          </w:p>
        </w:tc>
        <w:tc>
          <w:tcPr>
            <w:tcW w:type="dxa" w:w="3096"/>
            <w:vAlign w:val="top"/>
          </w:tcPr>
          <w:p>
            <w:pPr>
              <w:spacing w:before="0" w:after="0" w:line="252" w:lineRule="auto"/>
            </w:pPr>
            <w:r>
              <w:rPr>
                <w:b w:val="0"/>
                <w:sz w:val="17"/>
              </w:rPr>
              <w:t>BTE Databricks HAProxy SSH key - PR</w:t>
            </w:r>
          </w:p>
        </w:tc>
      </w:tr>
    </w:tbl>
    <w:p>
      <w:pPr>
        <w:pStyle w:val="Heading1"/>
      </w:pPr>
      <w:r>
        <w:t>4. Changes made in the existing Baytex environment</w:t>
      </w:r>
    </w:p>
    <w:tbl>
      <w:tblPr>
        <w:tblW w:type="dxa" w:w="10080"/>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0080"/>
      </w:tblGrid>
      <w:tr>
        <w:trPr>
          <w:cantSplit/>
        </w:trPr>
        <w:tc>
          <w:tcPr>
            <w:tcW w:type="dxa" w:w="10080"/>
            <w:tcBorders>
              <w:top w:val="nil"/>
              <w:left w:val="single" w:sz="24" w:space="0" w:color="1F3A5F"/>
              <w:bottom w:val="nil"/>
              <w:right w:val="nil"/>
            </w:tcBorders>
            <w:shd w:val="clear" w:color="auto" w:fill="EEF3F8"/>
            <w:vAlign w:val="top"/>
          </w:tcPr>
          <w:p>
            <w:pPr>
              <w:spacing w:before="0" w:after="0" w:line="252" w:lineRule="auto"/>
            </w:pPr>
            <w:r>
              <w:rPr>
                <w:b w:val="0"/>
                <w:sz w:val="19"/>
              </w:rPr>
              <w:t xml:space="preserve">Made and maintained by </w:t>
            </w:r>
            <w:r>
              <w:rPr>
                <w:b/>
                <w:sz w:val="19"/>
              </w:rPr>
              <w:t>Baytex Infrastructure — Andrew Smale and Shawn Sardy</w:t>
            </w:r>
            <w:r>
              <w:rPr>
                <w:b w:val="0"/>
                <w:sz w:val="19"/>
              </w:rPr>
              <w:t xml:space="preserve">, in the hub subscription </w:t>
            </w:r>
            <w:r>
              <w:rPr>
                <w:rFonts w:ascii="Consolas" w:hAnsi="Consolas" w:eastAsia="Consolas" w:cs="Consolas"/>
                <w:b w:val="0"/>
                <w:sz w:val="18"/>
              </w:rPr>
              <w:t>SUB-BTE-CAN-HUB</w:t>
            </w:r>
            <w:r>
              <w:rPr>
                <w:b w:val="0"/>
                <w:sz w:val="19"/>
              </w:rPr>
              <w:t xml:space="preserve"> and the on-premises network. Terraform does not change the hub.</w:t>
            </w:r>
          </w:p>
        </w:tc>
      </w:tr>
    </w:tbl>
    <w:p>
      <w:pPr>
        <w:spacing w:before="0" w:after="0" w:line="100" w:lineRule="exact"/>
      </w:pPr>
    </w:p>
    <w:tbl>
      <w:tblPr>
        <w:tblW w:type="dxa" w:w="10080"/>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Layout w:type="fixed"/>
        <w:tblCellMar>
          <w:top w:w="40" w:type="dxa"/>
          <w:left w:w="90" w:type="dxa"/>
          <w:bottom w:w="40" w:type="dxa"/>
          <w:right w:w="90" w:type="dxa"/>
        </w:tblCellMar>
        <w:tblLook w:firstColumn="1" w:firstRow="1" w:lastColumn="0" w:lastRow="0" w:noHBand="0" w:noVBand="1" w:val="04A0"/>
      </w:tblPr>
      <w:tblGrid>
        <w:gridCol w:w="2376"/>
        <w:gridCol w:w="7704"/>
      </w:tblGrid>
      <w:tr>
        <w:trPr>
          <w:cantSplit/>
          <w:tblHeader/>
        </w:trPr>
        <w:tc>
          <w:tcPr>
            <w:tcW w:type="dxa" w:w="2376"/>
            <w:shd w:val="clear" w:color="auto" w:fill="1F3A5F"/>
            <w:vAlign w:val="center"/>
          </w:tcPr>
          <w:p>
            <w:pPr>
              <w:keepNext/>
              <w:spacing w:before="0" w:after="0" w:line="252" w:lineRule="auto"/>
            </w:pPr>
            <w:r>
              <w:rPr>
                <w:b/>
                <w:color w:val="FFFFFF"/>
                <w:sz w:val="17"/>
              </w:rPr>
              <w:t>Change</w:t>
            </w:r>
          </w:p>
        </w:tc>
        <w:tc>
          <w:tcPr>
            <w:tcW w:type="dxa" w:w="7704"/>
            <w:shd w:val="clear" w:color="auto" w:fill="1F3A5F"/>
            <w:vAlign w:val="center"/>
          </w:tcPr>
          <w:p>
            <w:pPr>
              <w:keepNext/>
              <w:spacing w:before="0" w:after="0" w:line="252" w:lineRule="auto"/>
            </w:pPr>
            <w:r>
              <w:rPr>
                <w:b/>
                <w:color w:val="FFFFFF"/>
                <w:sz w:val="17"/>
              </w:rPr>
              <w:t>What was done to support the new environments</w:t>
            </w:r>
          </w:p>
        </w:tc>
      </w:tr>
      <w:tr>
        <w:trPr>
          <w:cantSplit/>
        </w:trPr>
        <w:tc>
          <w:tcPr>
            <w:tcW w:type="dxa" w:w="2376"/>
            <w:shd w:val="clear" w:color="auto" w:fill="E9EEF4"/>
            <w:vAlign w:val="top"/>
          </w:tcPr>
          <w:p>
            <w:pPr>
              <w:keepNext/>
              <w:spacing w:before="0" w:after="0" w:line="252" w:lineRule="auto"/>
            </w:pPr>
            <w:r>
              <w:rPr>
                <w:b/>
                <w:color w:val="1F3A5F"/>
                <w:sz w:val="17"/>
              </w:rPr>
              <w:t>VNet peering</w:t>
            </w:r>
          </w:p>
        </w:tc>
        <w:tc>
          <w:tcPr>
            <w:tcW w:type="dxa" w:w="7704"/>
            <w:vAlign w:val="top"/>
          </w:tcPr>
          <w:p>
            <w:pPr>
              <w:keepNext/>
              <w:spacing w:before="0" w:after="0" w:line="252" w:lineRule="auto"/>
            </w:pPr>
            <w:r>
              <w:rPr>
                <w:b w:val="0"/>
                <w:sz w:val="17"/>
              </w:rPr>
              <w:t xml:space="preserve">Hub VNet </w:t>
            </w:r>
            <w:r>
              <w:rPr>
                <w:rFonts w:ascii="Consolas" w:hAnsi="Consolas" w:eastAsia="Consolas" w:cs="Consolas"/>
                <w:b w:val="0"/>
                <w:sz w:val="16"/>
              </w:rPr>
              <w:t>vnet-bte-hub-cnc-02</w:t>
            </w:r>
            <w:r>
              <w:rPr>
                <w:b w:val="0"/>
                <w:sz w:val="17"/>
              </w:rPr>
              <w:t xml:space="preserve"> peered with each new spoke (dev, test and prod), in both directions.</w:t>
            </w:r>
          </w:p>
        </w:tc>
      </w:tr>
      <w:tr>
        <w:trPr>
          <w:cantSplit/>
        </w:trPr>
        <w:tc>
          <w:tcPr>
            <w:tcW w:type="dxa" w:w="2376"/>
            <w:shd w:val="clear" w:color="auto" w:fill="E9EEF4"/>
            <w:vAlign w:val="top"/>
          </w:tcPr>
          <w:p>
            <w:pPr>
              <w:keepNext/>
              <w:spacing w:before="0" w:after="0" w:line="252" w:lineRule="auto"/>
            </w:pPr>
            <w:r>
              <w:rPr>
                <w:b/>
                <w:color w:val="1F3A5F"/>
                <w:sz w:val="17"/>
              </w:rPr>
              <w:t>Private DNS Resolver (new)</w:t>
            </w:r>
          </w:p>
        </w:tc>
        <w:tc>
          <w:tcPr>
            <w:tcW w:type="dxa" w:w="7704"/>
            <w:shd w:val="clear" w:color="auto" w:fill="F4F6F9"/>
            <w:vAlign w:val="top"/>
          </w:tcPr>
          <w:p>
            <w:pPr>
              <w:keepNext/>
              <w:spacing w:before="0" w:after="0" w:line="252" w:lineRule="auto"/>
            </w:pPr>
            <w:r>
              <w:rPr>
                <w:rFonts w:ascii="Consolas" w:hAnsi="Consolas" w:eastAsia="Consolas" w:cs="Consolas"/>
                <w:b w:val="0"/>
                <w:sz w:val="16"/>
              </w:rPr>
              <w:t>dnspr-bte-hub-cnc-02</w:t>
            </w:r>
            <w:r>
              <w:rPr>
                <w:b w:val="0"/>
                <w:sz w:val="17"/>
              </w:rPr>
              <w:t xml:space="preserve"> added to the hub VNet. Its inbound endpoint </w:t>
            </w:r>
            <w:r>
              <w:rPr>
                <w:rFonts w:ascii="Consolas" w:hAnsi="Consolas" w:eastAsia="Consolas" w:cs="Consolas"/>
                <w:b w:val="0"/>
                <w:sz w:val="16"/>
              </w:rPr>
              <w:t>10.40.240.132</w:t>
            </w:r>
            <w:r>
              <w:rPr>
                <w:b w:val="0"/>
                <w:sz w:val="17"/>
              </w:rPr>
              <w:t xml:space="preserve"> is the new DNS server for the Databricks spokes and HAProxy VMs. A forwarding ruleset sends </w:t>
            </w:r>
            <w:r>
              <w:rPr>
                <w:rFonts w:ascii="Consolas" w:hAnsi="Consolas" w:eastAsia="Consolas" w:cs="Consolas"/>
                <w:b w:val="0"/>
                <w:sz w:val="16"/>
              </w:rPr>
              <w:t>baytexenergy.com</w:t>
            </w:r>
            <w:r>
              <w:rPr>
                <w:b w:val="0"/>
                <w:sz w:val="17"/>
              </w:rPr>
              <w:t xml:space="preserve"> lookups to the on-premises DNS servers, so every on-premises database name, including Trimble SQL </w:t>
            </w:r>
            <w:r>
              <w:rPr>
                <w:rFonts w:ascii="Consolas" w:hAnsi="Consolas" w:eastAsia="Consolas" w:cs="Consolas"/>
                <w:b w:val="0"/>
                <w:sz w:val="16"/>
              </w:rPr>
              <w:t>tmwsql.baytexenergy.com</w:t>
            </w:r>
            <w:r>
              <w:rPr>
                <w:b w:val="0"/>
                <w:sz w:val="17"/>
              </w:rPr>
              <w:t>, resolves from Azure.</w:t>
            </w:r>
          </w:p>
        </w:tc>
      </w:tr>
      <w:tr>
        <w:trPr>
          <w:cantSplit/>
        </w:trPr>
        <w:tc>
          <w:tcPr>
            <w:tcW w:type="dxa" w:w="2376"/>
            <w:shd w:val="clear" w:color="auto" w:fill="E9EEF4"/>
            <w:vAlign w:val="top"/>
          </w:tcPr>
          <w:p>
            <w:pPr>
              <w:keepNext/>
              <w:spacing w:before="0" w:after="0" w:line="252" w:lineRule="auto"/>
            </w:pPr>
            <w:r>
              <w:rPr>
                <w:b/>
                <w:color w:val="1F3A5F"/>
                <w:sz w:val="17"/>
              </w:rPr>
              <w:t>Private DNS zones (new)</w:t>
            </w:r>
          </w:p>
        </w:tc>
        <w:tc>
          <w:tcPr>
            <w:tcW w:type="dxa" w:w="7704"/>
            <w:vAlign w:val="top"/>
          </w:tcPr>
          <w:p>
            <w:pPr>
              <w:keepNext/>
              <w:spacing w:before="0" w:after="30" w:line="252" w:lineRule="auto"/>
            </w:pPr>
            <w:r>
              <w:rPr>
                <w:rFonts w:ascii="Consolas" w:hAnsi="Consolas" w:eastAsia="Consolas" w:cs="Consolas"/>
                <w:b w:val="0"/>
                <w:sz w:val="16"/>
              </w:rPr>
              <w:t>privatelink.blob.core.windows.net</w:t>
            </w:r>
            <w:r>
              <w:rPr>
                <w:b w:val="0"/>
                <w:sz w:val="17"/>
              </w:rPr>
              <w:t xml:space="preserve"> and </w:t>
            </w:r>
            <w:r>
              <w:rPr>
                <w:rFonts w:ascii="Consolas" w:hAnsi="Consolas" w:eastAsia="Consolas" w:cs="Consolas"/>
                <w:b w:val="0"/>
                <w:sz w:val="16"/>
              </w:rPr>
              <w:t>privatelink.dfs.core.windows.net</w:t>
            </w:r>
            <w:r>
              <w:rPr>
                <w:b w:val="0"/>
                <w:sz w:val="17"/>
              </w:rPr>
              <w:t xml:space="preserve"> created and linked to the hub VNet, with A records for each data storage account (blob, dfs):</w:t>
            </w:r>
          </w:p>
          <w:p>
            <w:pPr>
              <w:keepNext/>
              <w:spacing w:before="0" w:after="0" w:line="252" w:lineRule="auto"/>
            </w:pPr>
            <w:r>
              <w:rPr>
                <w:b w:val="0"/>
                <w:sz w:val="17"/>
              </w:rPr>
              <w:t xml:space="preserve">dev </w:t>
            </w:r>
            <w:r>
              <w:rPr>
                <w:rFonts w:ascii="Consolas" w:hAnsi="Consolas" w:eastAsia="Consolas" w:cs="Consolas"/>
                <w:b w:val="0"/>
                <w:sz w:val="16"/>
              </w:rPr>
              <w:t>10.40.146.4</w:t>
            </w:r>
            <w:r>
              <w:rPr>
                <w:b w:val="0"/>
                <w:sz w:val="17"/>
              </w:rPr>
              <w:t xml:space="preserve">, </w:t>
            </w:r>
            <w:r>
              <w:rPr>
                <w:rFonts w:ascii="Consolas" w:hAnsi="Consolas" w:eastAsia="Consolas" w:cs="Consolas"/>
                <w:b w:val="0"/>
                <w:sz w:val="16"/>
              </w:rPr>
              <w:t>.5</w:t>
            </w:r>
            <w:r>
              <w:rPr>
                <w:b w:val="0"/>
                <w:sz w:val="17"/>
              </w:rPr>
              <w:t xml:space="preserve">   |   test </w:t>
            </w:r>
            <w:r>
              <w:rPr>
                <w:rFonts w:ascii="Consolas" w:hAnsi="Consolas" w:eastAsia="Consolas" w:cs="Consolas"/>
                <w:b w:val="0"/>
                <w:sz w:val="16"/>
              </w:rPr>
              <w:t>10.40.194.4</w:t>
            </w:r>
            <w:r>
              <w:rPr>
                <w:b w:val="0"/>
                <w:sz w:val="17"/>
              </w:rPr>
              <w:t xml:space="preserve">, </w:t>
            </w:r>
            <w:r>
              <w:rPr>
                <w:rFonts w:ascii="Consolas" w:hAnsi="Consolas" w:eastAsia="Consolas" w:cs="Consolas"/>
                <w:b w:val="0"/>
                <w:sz w:val="16"/>
              </w:rPr>
              <w:t>.5</w:t>
            </w:r>
            <w:r>
              <w:rPr>
                <w:b w:val="0"/>
                <w:sz w:val="17"/>
              </w:rPr>
              <w:t xml:space="preserve">   |   prod </w:t>
            </w:r>
            <w:r>
              <w:rPr>
                <w:rFonts w:ascii="Consolas" w:hAnsi="Consolas" w:eastAsia="Consolas" w:cs="Consolas"/>
                <w:b w:val="0"/>
                <w:sz w:val="16"/>
              </w:rPr>
              <w:t>10.40.178.4</w:t>
            </w:r>
            <w:r>
              <w:rPr>
                <w:b w:val="0"/>
                <w:sz w:val="17"/>
              </w:rPr>
              <w:t xml:space="preserve">, </w:t>
            </w:r>
            <w:r>
              <w:rPr>
                <w:rFonts w:ascii="Consolas" w:hAnsi="Consolas" w:eastAsia="Consolas" w:cs="Consolas"/>
                <w:b w:val="0"/>
                <w:sz w:val="16"/>
              </w:rPr>
              <w:t>.5</w:t>
            </w:r>
          </w:p>
        </w:tc>
      </w:tr>
      <w:tr>
        <w:trPr>
          <w:cantSplit/>
        </w:trPr>
        <w:tc>
          <w:tcPr>
            <w:tcW w:type="dxa" w:w="2376"/>
            <w:shd w:val="clear" w:color="auto" w:fill="E9EEF4"/>
            <w:vAlign w:val="top"/>
          </w:tcPr>
          <w:p>
            <w:pPr>
              <w:keepNext/>
              <w:spacing w:before="0" w:after="0" w:line="252" w:lineRule="auto"/>
            </w:pPr>
            <w:r>
              <w:rPr>
                <w:b/>
                <w:color w:val="1F3A5F"/>
                <w:sz w:val="17"/>
              </w:rPr>
              <w:t>Cisco firewall</w:t>
            </w:r>
          </w:p>
        </w:tc>
        <w:tc>
          <w:tcPr>
            <w:tcW w:type="dxa" w:w="7704"/>
            <w:shd w:val="clear" w:color="auto" w:fill="F4F6F9"/>
            <w:vAlign w:val="top"/>
          </w:tcPr>
          <w:p>
            <w:pPr>
              <w:pStyle w:val="ListBullet"/>
              <w:keepNext/>
              <w:spacing w:before="0" w:after="30" w:line="252" w:lineRule="auto"/>
              <w:ind w:left="216" w:hanging="187"/>
            </w:pPr>
            <w:r>
              <w:rPr>
                <w:b w:val="0"/>
                <w:sz w:val="17"/>
              </w:rPr>
              <w:t>Address objects for the three new spoke ranges</w:t>
            </w:r>
          </w:p>
          <w:p>
            <w:pPr>
              <w:pStyle w:val="ListBullet"/>
              <w:keepNext/>
              <w:spacing w:before="0" w:after="30" w:line="252" w:lineRule="auto"/>
              <w:ind w:left="216" w:hanging="187"/>
            </w:pPr>
            <w:r>
              <w:rPr>
                <w:b w:val="0"/>
                <w:sz w:val="17"/>
              </w:rPr>
              <w:t xml:space="preserve">Databricks and proxy subnets to on-premises SQL Server </w:t>
            </w:r>
            <w:r>
              <w:rPr>
                <w:rFonts w:ascii="Consolas" w:hAnsi="Consolas" w:eastAsia="Consolas" w:cs="Consolas"/>
                <w:b w:val="0"/>
                <w:sz w:val="16"/>
              </w:rPr>
              <w:t>172.19.77.45</w:t>
            </w:r>
            <w:r>
              <w:rPr>
                <w:b w:val="0"/>
                <w:sz w:val="17"/>
              </w:rPr>
              <w:t xml:space="preserve">, </w:t>
            </w:r>
            <w:r>
              <w:rPr>
                <w:rFonts w:ascii="Consolas" w:hAnsi="Consolas" w:eastAsia="Consolas" w:cs="Consolas"/>
                <w:b w:val="0"/>
                <w:sz w:val="16"/>
              </w:rPr>
              <w:t>172.19.96.44</w:t>
            </w:r>
            <w:r>
              <w:rPr>
                <w:b w:val="0"/>
                <w:sz w:val="17"/>
              </w:rPr>
              <w:t xml:space="preserve">, </w:t>
            </w:r>
            <w:r>
              <w:rPr>
                <w:rFonts w:ascii="Consolas" w:hAnsi="Consolas" w:eastAsia="Consolas" w:cs="Consolas"/>
                <w:b w:val="0"/>
                <w:sz w:val="16"/>
              </w:rPr>
              <w:t>172.19.77.94</w:t>
            </w:r>
            <w:r>
              <w:rPr>
                <w:b w:val="0"/>
                <w:sz w:val="17"/>
              </w:rPr>
              <w:t xml:space="preserve">, </w:t>
            </w:r>
            <w:r>
              <w:rPr>
                <w:rFonts w:ascii="Consolas" w:hAnsi="Consolas" w:eastAsia="Consolas" w:cs="Consolas"/>
                <w:b w:val="0"/>
                <w:sz w:val="16"/>
              </w:rPr>
              <w:t>172.19.77.123</w:t>
            </w:r>
            <w:r>
              <w:rPr>
                <w:b w:val="0"/>
                <w:sz w:val="17"/>
              </w:rPr>
              <w:t xml:space="preserve"> (TCP 1433) and Oracle </w:t>
            </w:r>
            <w:r>
              <w:rPr>
                <w:rFonts w:ascii="Consolas" w:hAnsi="Consolas" w:eastAsia="Consolas" w:cs="Consolas"/>
                <w:b w:val="0"/>
                <w:sz w:val="16"/>
              </w:rPr>
              <w:t>172.19.77.88</w:t>
            </w:r>
            <w:r>
              <w:rPr>
                <w:b w:val="0"/>
                <w:sz w:val="17"/>
              </w:rPr>
              <w:t xml:space="preserve">, </w:t>
            </w:r>
            <w:r>
              <w:rPr>
                <w:rFonts w:ascii="Consolas" w:hAnsi="Consolas" w:eastAsia="Consolas" w:cs="Consolas"/>
                <w:b w:val="0"/>
                <w:sz w:val="16"/>
              </w:rPr>
              <w:t>172.19.96.112</w:t>
            </w:r>
            <w:r>
              <w:rPr>
                <w:b w:val="0"/>
                <w:sz w:val="17"/>
              </w:rPr>
              <w:t xml:space="preserve"> (TCP 1521)</w:t>
            </w:r>
          </w:p>
          <w:p>
            <w:pPr>
              <w:pStyle w:val="ListBullet"/>
              <w:keepNext/>
              <w:spacing w:before="0" w:after="30" w:line="252" w:lineRule="auto"/>
              <w:ind w:left="216" w:hanging="187"/>
            </w:pPr>
            <w:r>
              <w:rPr>
                <w:b w:val="0"/>
                <w:sz w:val="17"/>
              </w:rPr>
              <w:t xml:space="preserve">Databricks and proxy subnets to Trimble SQL </w:t>
            </w:r>
            <w:r>
              <w:rPr>
                <w:rFonts w:ascii="Consolas" w:hAnsi="Consolas" w:eastAsia="Consolas" w:cs="Consolas"/>
                <w:b w:val="0"/>
                <w:sz w:val="16"/>
              </w:rPr>
              <w:t>172.23.178.197</w:t>
            </w:r>
            <w:r>
              <w:rPr>
                <w:b w:val="0"/>
                <w:sz w:val="17"/>
              </w:rPr>
              <w:t xml:space="preserve"> (TCP 1433) over the vendor VPN</w:t>
            </w:r>
          </w:p>
          <w:p>
            <w:pPr>
              <w:pStyle w:val="ListBullet"/>
              <w:keepNext/>
              <w:spacing w:before="0" w:after="30" w:line="252" w:lineRule="auto"/>
              <w:ind w:left="216" w:hanging="187"/>
            </w:pPr>
            <w:r>
              <w:rPr>
                <w:b w:val="0"/>
                <w:sz w:val="17"/>
              </w:rPr>
              <w:t>Proxy subnets to the Ubuntu package mirrors (TCP 80, 443), for HAProxy install and patching</w:t>
            </w:r>
          </w:p>
          <w:p>
            <w:pPr>
              <w:pStyle w:val="ListBullet"/>
              <w:keepNext/>
              <w:spacing w:before="0" w:after="0" w:line="252" w:lineRule="auto"/>
              <w:ind w:left="216" w:hanging="187"/>
            </w:pPr>
            <w:r>
              <w:rPr>
                <w:b w:val="0"/>
                <w:sz w:val="17"/>
              </w:rPr>
              <w:t>Traffic between the new spokes and the other Azure spokes</w:t>
            </w:r>
          </w:p>
        </w:tc>
      </w:tr>
      <w:tr>
        <w:trPr>
          <w:cantSplit/>
        </w:trPr>
        <w:tc>
          <w:tcPr>
            <w:tcW w:type="dxa" w:w="2376"/>
            <w:shd w:val="clear" w:color="auto" w:fill="E9EEF4"/>
            <w:vAlign w:val="top"/>
          </w:tcPr>
          <w:p>
            <w:pPr>
              <w:spacing w:before="0" w:after="0" w:line="252" w:lineRule="auto"/>
            </w:pPr>
            <w:r>
              <w:rPr>
                <w:b/>
                <w:color w:val="1F3A5F"/>
                <w:sz w:val="17"/>
              </w:rPr>
              <w:t>Return routes</w:t>
            </w:r>
          </w:p>
        </w:tc>
        <w:tc>
          <w:tcPr>
            <w:tcW w:type="dxa" w:w="7704"/>
            <w:vAlign w:val="top"/>
          </w:tcPr>
          <w:p>
            <w:pPr>
              <w:spacing w:before="0" w:after="0" w:line="252" w:lineRule="auto"/>
            </w:pPr>
            <w:r>
              <w:rPr>
                <w:b w:val="0"/>
                <w:sz w:val="17"/>
              </w:rPr>
              <w:t xml:space="preserve">The on-premises network and the Trimble VPN route </w:t>
            </w:r>
            <w:r>
              <w:rPr>
                <w:rFonts w:ascii="Consolas" w:hAnsi="Consolas" w:eastAsia="Consolas" w:cs="Consolas"/>
                <w:b w:val="0"/>
                <w:sz w:val="16"/>
              </w:rPr>
              <w:t>10.40.144.0/20</w:t>
            </w:r>
            <w:r>
              <w:rPr>
                <w:b w:val="0"/>
                <w:sz w:val="17"/>
              </w:rPr>
              <w:t xml:space="preserve">, </w:t>
            </w:r>
            <w:r>
              <w:rPr>
                <w:rFonts w:ascii="Consolas" w:hAnsi="Consolas" w:eastAsia="Consolas" w:cs="Consolas"/>
                <w:b w:val="0"/>
                <w:sz w:val="16"/>
              </w:rPr>
              <w:t>10.40.192.0/20</w:t>
            </w:r>
            <w:r>
              <w:rPr>
                <w:b w:val="0"/>
                <w:sz w:val="17"/>
              </w:rPr>
              <w:t xml:space="preserve"> and </w:t>
            </w:r>
            <w:r>
              <w:rPr>
                <w:rFonts w:ascii="Consolas" w:hAnsi="Consolas" w:eastAsia="Consolas" w:cs="Consolas"/>
                <w:b w:val="0"/>
                <w:sz w:val="16"/>
              </w:rPr>
              <w:t>10.40.176.0/20</w:t>
            </w:r>
            <w:r>
              <w:rPr>
                <w:b w:val="0"/>
                <w:sz w:val="17"/>
              </w:rPr>
              <w:t xml:space="preserve"> back through the firewall.</w:t>
            </w:r>
          </w:p>
        </w:tc>
      </w:tr>
    </w:tbl>
    <w:p>
      <w:pPr>
        <w:pStyle w:val="Heading1"/>
      </w:pPr>
      <w:r>
        <w:t>5. Effect on existing workloads</w:t>
      </w:r>
    </w:p>
    <w:tbl>
      <w:tblPr>
        <w:tblW w:type="dxa" w:w="10080"/>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Layout w:type="fixed"/>
        <w:tblCellMar>
          <w:top w:w="40" w:type="dxa"/>
          <w:left w:w="90" w:type="dxa"/>
          <w:bottom w:w="40" w:type="dxa"/>
          <w:right w:w="90" w:type="dxa"/>
        </w:tblCellMar>
        <w:tblLook w:firstColumn="1" w:firstRow="1" w:lastColumn="0" w:lastRow="0" w:noHBand="0" w:noVBand="1" w:val="04A0"/>
      </w:tblPr>
      <w:tblGrid>
        <w:gridCol w:w="2736"/>
        <w:gridCol w:w="7344"/>
      </w:tblGrid>
      <w:tr>
        <w:trPr>
          <w:cantSplit/>
          <w:tblHeader/>
        </w:trPr>
        <w:tc>
          <w:tcPr>
            <w:tcW w:type="dxa" w:w="2736"/>
            <w:shd w:val="clear" w:color="auto" w:fill="1F3A5F"/>
            <w:vAlign w:val="center"/>
          </w:tcPr>
          <w:p>
            <w:pPr>
              <w:keepNext/>
              <w:spacing w:before="0" w:after="0" w:line="252" w:lineRule="auto"/>
            </w:pPr>
            <w:r>
              <w:rPr>
                <w:b/>
                <w:color w:val="FFFFFF"/>
                <w:sz w:val="17"/>
              </w:rPr>
              <w:t>Area</w:t>
            </w:r>
          </w:p>
        </w:tc>
        <w:tc>
          <w:tcPr>
            <w:tcW w:type="dxa" w:w="7344"/>
            <w:shd w:val="clear" w:color="auto" w:fill="1F3A5F"/>
            <w:vAlign w:val="center"/>
          </w:tcPr>
          <w:p>
            <w:pPr>
              <w:keepNext/>
              <w:spacing w:before="0" w:after="0" w:line="252" w:lineRule="auto"/>
            </w:pPr>
            <w:r>
              <w:rPr>
                <w:b/>
                <w:color w:val="FFFFFF"/>
                <w:sz w:val="17"/>
              </w:rPr>
              <w:t>Effect</w:t>
            </w:r>
          </w:p>
        </w:tc>
      </w:tr>
      <w:tr>
        <w:trPr>
          <w:cantSplit/>
        </w:trPr>
        <w:tc>
          <w:tcPr>
            <w:tcW w:type="dxa" w:w="2736"/>
            <w:shd w:val="clear" w:color="auto" w:fill="E9EEF4"/>
            <w:vAlign w:val="top"/>
          </w:tcPr>
          <w:p>
            <w:pPr>
              <w:keepNext/>
              <w:spacing w:before="0" w:after="0" w:line="252" w:lineRule="auto"/>
            </w:pPr>
            <w:r>
              <w:rPr>
                <w:b/>
                <w:color w:val="1F3A5F"/>
                <w:sz w:val="17"/>
              </w:rPr>
              <w:t>Existing Azure resources</w:t>
            </w:r>
          </w:p>
        </w:tc>
        <w:tc>
          <w:tcPr>
            <w:tcW w:type="dxa" w:w="7344"/>
            <w:vAlign w:val="top"/>
          </w:tcPr>
          <w:p>
            <w:pPr>
              <w:keepNext/>
              <w:spacing w:before="0" w:after="0" w:line="252" w:lineRule="auto"/>
            </w:pPr>
            <w:r>
              <w:rPr>
                <w:b/>
                <w:sz w:val="17"/>
              </w:rPr>
              <w:t>None.</w:t>
            </w:r>
            <w:r>
              <w:rPr>
                <w:b w:val="0"/>
                <w:sz w:val="17"/>
              </w:rPr>
              <w:t xml:space="preserve"> Terraform only creates new resource groups (</w:t>
            </w:r>
            <w:r>
              <w:rPr>
                <w:rFonts w:ascii="Consolas" w:hAnsi="Consolas" w:eastAsia="Consolas" w:cs="Consolas"/>
                <w:b w:val="0"/>
                <w:sz w:val="16"/>
              </w:rPr>
              <w:t>rg-bte-dbx-&lt;env&gt;-…</w:t>
            </w:r>
            <w:r>
              <w:rPr>
                <w:b w:val="0"/>
                <w:sz w:val="17"/>
              </w:rPr>
              <w:t>). It does not import, change or delete anything that already exists.</w:t>
            </w:r>
          </w:p>
        </w:tc>
      </w:tr>
      <w:tr>
        <w:trPr>
          <w:cantSplit/>
        </w:trPr>
        <w:tc>
          <w:tcPr>
            <w:tcW w:type="dxa" w:w="2736"/>
            <w:shd w:val="clear" w:color="auto" w:fill="E9EEF4"/>
            <w:vAlign w:val="top"/>
          </w:tcPr>
          <w:p>
            <w:pPr>
              <w:keepNext/>
              <w:spacing w:before="0" w:after="0" w:line="252" w:lineRule="auto"/>
            </w:pPr>
            <w:r>
              <w:rPr>
                <w:b/>
                <w:color w:val="1F3A5F"/>
                <w:sz w:val="17"/>
              </w:rPr>
              <w:t>Existing BI production</w:t>
            </w:r>
          </w:p>
        </w:tc>
        <w:tc>
          <w:tcPr>
            <w:tcW w:type="dxa" w:w="7344"/>
            <w:shd w:val="clear" w:color="auto" w:fill="F4F6F9"/>
            <w:vAlign w:val="top"/>
          </w:tcPr>
          <w:p>
            <w:pPr>
              <w:keepNext/>
              <w:spacing w:before="0" w:after="0" w:line="252" w:lineRule="auto"/>
            </w:pPr>
            <w:r>
              <w:rPr>
                <w:b/>
                <w:sz w:val="17"/>
              </w:rPr>
              <w:t>None.</w:t>
            </w:r>
            <w:r>
              <w:rPr>
                <w:b w:val="0"/>
                <w:sz w:val="17"/>
              </w:rPr>
              <w:t xml:space="preserve"> The new prod environment is deployed into </w:t>
            </w:r>
            <w:r>
              <w:rPr>
                <w:rFonts w:ascii="Consolas" w:hAnsi="Consolas" w:eastAsia="Consolas" w:cs="Consolas"/>
                <w:b w:val="0"/>
                <w:sz w:val="16"/>
              </w:rPr>
              <w:t>SUB-BTE-CAN-DATA-PROD</w:t>
            </w:r>
            <w:r>
              <w:rPr>
                <w:b w:val="0"/>
                <w:sz w:val="17"/>
              </w:rPr>
              <w:t xml:space="preserve"> beside the existing BI production resources (</w:t>
            </w:r>
            <w:r>
              <w:rPr>
                <w:rFonts w:ascii="Consolas" w:hAnsi="Consolas" w:eastAsia="Consolas" w:cs="Consolas"/>
                <w:b w:val="0"/>
                <w:sz w:val="16"/>
              </w:rPr>
              <w:t>vnet-bte-bi-prod-cnc-01</w:t>
            </w:r>
            <w:r>
              <w:rPr>
                <w:b w:val="0"/>
                <w:sz w:val="17"/>
              </w:rPr>
              <w:t xml:space="preserve"> and its SQL proxy VMs), in its own address range. Terraform does not reference or change them.</w:t>
            </w:r>
          </w:p>
        </w:tc>
      </w:tr>
      <w:tr>
        <w:trPr>
          <w:cantSplit/>
        </w:trPr>
        <w:tc>
          <w:tcPr>
            <w:tcW w:type="dxa" w:w="2736"/>
            <w:shd w:val="clear" w:color="auto" w:fill="E9EEF4"/>
            <w:vAlign w:val="top"/>
          </w:tcPr>
          <w:p>
            <w:pPr>
              <w:keepNext/>
              <w:spacing w:before="0" w:after="0" w:line="252" w:lineRule="auto"/>
            </w:pPr>
            <w:r>
              <w:rPr>
                <w:b/>
                <w:color w:val="1F3A5F"/>
                <w:sz w:val="17"/>
              </w:rPr>
              <w:t>Existing Databricks workspaces</w:t>
            </w:r>
          </w:p>
        </w:tc>
        <w:tc>
          <w:tcPr>
            <w:tcW w:type="dxa" w:w="7344"/>
            <w:vAlign w:val="top"/>
          </w:tcPr>
          <w:p>
            <w:pPr>
              <w:keepNext/>
              <w:spacing w:before="0" w:after="0" w:line="252" w:lineRule="auto"/>
            </w:pPr>
            <w:r>
              <w:rPr>
                <w:b/>
                <w:sz w:val="17"/>
              </w:rPr>
              <w:t>None.</w:t>
            </w:r>
            <w:r>
              <w:rPr>
                <w:b w:val="0"/>
                <w:sz w:val="17"/>
              </w:rPr>
              <w:t xml:space="preserve"> The new NCC and serverless egress policy are attached only to the new workspaces. The account's default policy is not changed.</w:t>
            </w:r>
          </w:p>
        </w:tc>
      </w:tr>
      <w:tr>
        <w:trPr>
          <w:cantSplit/>
        </w:trPr>
        <w:tc>
          <w:tcPr>
            <w:tcW w:type="dxa" w:w="2736"/>
            <w:shd w:val="clear" w:color="auto" w:fill="E9EEF4"/>
            <w:vAlign w:val="top"/>
          </w:tcPr>
          <w:p>
            <w:pPr>
              <w:keepNext/>
              <w:spacing w:before="0" w:after="0" w:line="252" w:lineRule="auto"/>
            </w:pPr>
            <w:r>
              <w:rPr>
                <w:b/>
                <w:color w:val="1F3A5F"/>
                <w:sz w:val="17"/>
              </w:rPr>
              <w:t>Unity Catalog metastore</w:t>
            </w:r>
          </w:p>
        </w:tc>
        <w:tc>
          <w:tcPr>
            <w:tcW w:type="dxa" w:w="7344"/>
            <w:shd w:val="clear" w:color="auto" w:fill="F4F6F9"/>
            <w:vAlign w:val="top"/>
          </w:tcPr>
          <w:p>
            <w:pPr>
              <w:keepNext/>
              <w:spacing w:before="0" w:after="0" w:line="252" w:lineRule="auto"/>
            </w:pPr>
            <w:r>
              <w:rPr>
                <w:b/>
                <w:sz w:val="17"/>
              </w:rPr>
              <w:t>Additive only.</w:t>
            </w:r>
            <w:r>
              <w:rPr>
                <w:b w:val="0"/>
                <w:sz w:val="17"/>
              </w:rPr>
              <w:t xml:space="preserve"> Azure assigns each new workspace to the existing metastore. Terraform adds one storage credential and one external location per environment, usable only from the new workspace. Existing catalogs, schemas and grants are not changed.</w:t>
            </w:r>
          </w:p>
        </w:tc>
      </w:tr>
      <w:tr>
        <w:trPr>
          <w:cantSplit/>
        </w:trPr>
        <w:tc>
          <w:tcPr>
            <w:tcW w:type="dxa" w:w="2736"/>
            <w:shd w:val="clear" w:color="auto" w:fill="E9EEF4"/>
            <w:vAlign w:val="top"/>
          </w:tcPr>
          <w:p>
            <w:pPr>
              <w:keepNext/>
              <w:spacing w:before="0" w:after="0" w:line="252" w:lineRule="auto"/>
            </w:pPr>
            <w:r>
              <w:rPr>
                <w:b/>
                <w:color w:val="1F3A5F"/>
                <w:sz w:val="17"/>
              </w:rPr>
              <w:t>Hub network</w:t>
            </w:r>
          </w:p>
        </w:tc>
        <w:tc>
          <w:tcPr>
            <w:tcW w:type="dxa" w:w="7344"/>
            <w:vAlign w:val="top"/>
          </w:tcPr>
          <w:p>
            <w:pPr>
              <w:keepNext/>
              <w:spacing w:before="0" w:after="0" w:line="252" w:lineRule="auto"/>
            </w:pPr>
            <w:r>
              <w:rPr>
                <w:b/>
                <w:sz w:val="17"/>
              </w:rPr>
              <w:t>No Terraform changes.</w:t>
            </w:r>
            <w:r>
              <w:rPr>
                <w:b w:val="0"/>
                <w:sz w:val="17"/>
              </w:rPr>
              <w:t xml:space="preserve"> Baytex's changes in section 4 are additions for the new ranges: new peerings, a DNS resolver and zones, and firewall rules.</w:t>
            </w:r>
          </w:p>
        </w:tc>
      </w:tr>
      <w:tr>
        <w:trPr>
          <w:cantSplit/>
        </w:trPr>
        <w:tc>
          <w:tcPr>
            <w:tcW w:type="dxa" w:w="2736"/>
            <w:shd w:val="clear" w:color="auto" w:fill="E9EEF4"/>
            <w:vAlign w:val="top"/>
          </w:tcPr>
          <w:p>
            <w:pPr>
              <w:spacing w:before="0" w:after="0" w:line="252" w:lineRule="auto"/>
            </w:pPr>
            <w:r>
              <w:rPr>
                <w:b/>
                <w:color w:val="1F3A5F"/>
                <w:sz w:val="17"/>
              </w:rPr>
              <w:t>IP addressing</w:t>
            </w:r>
          </w:p>
        </w:tc>
        <w:tc>
          <w:tcPr>
            <w:tcW w:type="dxa" w:w="7344"/>
            <w:shd w:val="clear" w:color="auto" w:fill="F4F6F9"/>
            <w:vAlign w:val="top"/>
          </w:tcPr>
          <w:p>
            <w:pPr>
              <w:spacing w:before="0" w:after="0" w:line="252" w:lineRule="auto"/>
            </w:pPr>
            <w:r>
              <w:rPr>
                <w:b/>
                <w:sz w:val="17"/>
              </w:rPr>
              <w:t>No overlap.</w:t>
            </w:r>
            <w:r>
              <w:rPr>
                <w:b w:val="0"/>
                <w:sz w:val="17"/>
              </w:rPr>
              <w:t xml:space="preserve"> Each environment uses its own /20 from the Baytex Azure range.</w:t>
            </w:r>
          </w:p>
        </w:tc>
      </w:tr>
    </w:tbl>
    <w:p>
      <w:pPr>
        <w:pStyle w:val="Heading1"/>
      </w:pPr>
      <w:r>
        <w:t>6. Risk, backout and validation</w:t>
      </w:r>
    </w:p>
    <w:tbl>
      <w:tblPr>
        <w:tblW w:type="dxa" w:w="10080"/>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Layout w:type="fixed"/>
        <w:tblCellMar>
          <w:top w:w="40" w:type="dxa"/>
          <w:left w:w="90" w:type="dxa"/>
          <w:bottom w:w="40" w:type="dxa"/>
          <w:right w:w="90" w:type="dxa"/>
        </w:tblCellMar>
        <w:tblLook w:firstColumn="1" w:firstRow="1" w:lastColumn="0" w:lastRow="0" w:noHBand="0" w:noVBand="1" w:val="04A0"/>
      </w:tblPr>
      <w:tblGrid>
        <w:gridCol w:w="2016"/>
        <w:gridCol w:w="8064"/>
      </w:tblGrid>
      <w:tr>
        <w:trPr>
          <w:cantSplit/>
        </w:trPr>
        <w:tc>
          <w:tcPr>
            <w:tcW w:type="dxa" w:w="2016"/>
            <w:shd w:val="clear" w:color="auto" w:fill="E9EEF4"/>
            <w:vAlign w:val="top"/>
          </w:tcPr>
          <w:p>
            <w:pPr>
              <w:keepNext/>
              <w:spacing w:before="0" w:after="0" w:line="252" w:lineRule="auto"/>
            </w:pPr>
            <w:r>
              <w:rPr>
                <w:b/>
                <w:color w:val="1F3A5F"/>
                <w:sz w:val="18"/>
              </w:rPr>
              <w:t>Risk</w:t>
            </w:r>
          </w:p>
        </w:tc>
        <w:tc>
          <w:tcPr>
            <w:tcW w:type="dxa" w:w="8064"/>
            <w:vAlign w:val="top"/>
          </w:tcPr>
          <w:p>
            <w:pPr>
              <w:keepNext/>
              <w:spacing w:before="0" w:after="0" w:line="252" w:lineRule="auto"/>
            </w:pPr>
            <w:r>
              <w:rPr>
                <w:b/>
                <w:sz w:val="18"/>
              </w:rPr>
              <w:t>Low.</w:t>
            </w:r>
            <w:r>
              <w:rPr>
                <w:b w:val="0"/>
                <w:sz w:val="18"/>
              </w:rPr>
              <w:t xml:space="preserve"> The change is additive and isolated to the new environments. A firewall, routing or DNS error would affect only the new environments. The serverless egress policy is in dry-run mode, so it logs rather than blocks.</w:t>
            </w:r>
          </w:p>
        </w:tc>
      </w:tr>
      <w:tr>
        <w:trPr>
          <w:cantSplit/>
        </w:trPr>
        <w:tc>
          <w:tcPr>
            <w:tcW w:type="dxa" w:w="2016"/>
            <w:shd w:val="clear" w:color="auto" w:fill="E9EEF4"/>
            <w:vAlign w:val="top"/>
          </w:tcPr>
          <w:p>
            <w:pPr>
              <w:keepNext/>
              <w:spacing w:before="0" w:after="0" w:line="252" w:lineRule="auto"/>
            </w:pPr>
            <w:r>
              <w:rPr>
                <w:b/>
                <w:color w:val="1F3A5F"/>
                <w:sz w:val="18"/>
              </w:rPr>
              <w:t>Backout</w:t>
            </w:r>
          </w:p>
        </w:tc>
        <w:tc>
          <w:tcPr>
            <w:tcW w:type="dxa" w:w="8064"/>
            <w:vAlign w:val="top"/>
          </w:tcPr>
          <w:p>
            <w:pPr>
              <w:keepNext/>
              <w:spacing w:before="0" w:after="0" w:line="252" w:lineRule="auto"/>
            </w:pPr>
            <w:r>
              <w:rPr>
                <w:b w:val="0"/>
                <w:sz w:val="18"/>
              </w:rPr>
              <w:t xml:space="preserve">Revert the Terraform change and redeploy, or remove an environment with the </w:t>
            </w:r>
            <w:r>
              <w:rPr>
                <w:b/>
                <w:sz w:val="18"/>
              </w:rPr>
              <w:t>Terraform Destroy Platform</w:t>
            </w:r>
            <w:r>
              <w:rPr>
                <w:b w:val="0"/>
                <w:sz w:val="18"/>
              </w:rPr>
              <w:t xml:space="preserve"> pipeline (approval required). Baytex removes the peering, firewall rules and DNS entries through their change process. Existing workloads are not affected.</w:t>
            </w:r>
          </w:p>
        </w:tc>
      </w:tr>
      <w:tr>
        <w:trPr>
          <w:cantSplit/>
        </w:trPr>
        <w:tc>
          <w:tcPr>
            <w:tcW w:type="dxa" w:w="2016"/>
            <w:shd w:val="clear" w:color="auto" w:fill="E9EEF4"/>
            <w:vAlign w:val="top"/>
          </w:tcPr>
          <w:p>
            <w:pPr>
              <w:spacing w:before="0" w:after="0" w:line="252" w:lineRule="auto"/>
            </w:pPr>
            <w:r>
              <w:rPr>
                <w:b/>
                <w:color w:val="1F3A5F"/>
                <w:sz w:val="18"/>
              </w:rPr>
              <w:t>Validation</w:t>
            </w:r>
          </w:p>
        </w:tc>
        <w:tc>
          <w:tcPr>
            <w:tcW w:type="dxa" w:w="8064"/>
            <w:vAlign w:val="top"/>
          </w:tcPr>
          <w:p>
            <w:pPr>
              <w:spacing w:before="0" w:after="0" w:line="252" w:lineRule="auto"/>
            </w:pPr>
            <w:r>
              <w:rPr>
                <w:b w:val="0"/>
                <w:sz w:val="18"/>
              </w:rPr>
              <w:t xml:space="preserve">Plan reviewed and approved before every apply. After deployment: private endpoint connections established, connectivity checks from classic and serverless compute to every database, Unity Catalog </w:t>
            </w:r>
            <w:r>
              <w:rPr>
                <w:b/>
                <w:sz w:val="18"/>
              </w:rPr>
              <w:t>Test connection</w:t>
            </w:r>
            <w:r>
              <w:rPr>
                <w:b w:val="0"/>
                <w:sz w:val="18"/>
              </w:rPr>
              <w:t>, and no monitoring alerts.</w:t>
            </w:r>
          </w:p>
        </w:tc>
      </w:tr>
    </w:tbl>
    <w:sectPr w:rsidR="00FC693F" w:rsidRPr="0006063C" w:rsidSect="00034616">
      <w:headerReference w:type="default" r:id="rId9"/>
      <w:footerReference w:type="default" r:id="rId10"/>
      <w:footerReference w:type="first" r:id="rId11"/>
      <w:pgSz w:w="12240" w:h="15840"/>
      <w:pgMar w:top="1008" w:right="1080" w:bottom="1008"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0080" w:val="right"/>
      </w:tabs>
    </w:pPr>
    <w:r>
      <w:rPr>
        <w:color w:val="5F6B7A"/>
        <w:sz w:val="16"/>
      </w:rPr>
      <w:t>AMTRA  |  28 September 2026</w:t>
    </w:r>
    <w:r>
      <w:tab/>
    </w:r>
    <w:r>
      <w:rPr>
        <w:color w:val="5F6B7A"/>
        <w:sz w:val="16"/>
      </w:rPr>
      <w:t xml:space="preserve">Page </w:t>
    </w:r>
    <w:r>
      <w:rPr>
        <w:color w:val="5F6B7A"/>
        <w:sz w:val="16"/>
      </w:rPr>
      <w:fldChar w:fldCharType="begin"/>
    </w:r>
    <w:r>
      <w:rPr>
        <w:color w:val="5F6B7A"/>
        <w:sz w:val="16"/>
      </w:rPr>
      <w:instrText xml:space="preserve"> PAGE </w:instrText>
    </w:r>
    <w:r>
      <w:rPr>
        <w:color w:val="5F6B7A"/>
        <w:sz w:val="16"/>
      </w:rPr>
      <w:fldChar w:fldCharType="separate"/>
    </w:r>
    <w:r>
      <w:rPr>
        <w:color w:val="5F6B7A"/>
        <w:sz w:val="16"/>
      </w:rPr>
      <w:t>1</w:t>
    </w:r>
    <w:r>
      <w:rPr>
        <w:color w:val="5F6B7A"/>
        <w:sz w:val="16"/>
      </w:rPr>
      <w:fldChar w:fldCharType="end"/>
    </w:r>
    <w:r>
      <w:rPr>
        <w:color w:val="5F6B7A"/>
        <w:sz w:val="16"/>
      </w:rPr>
      <w:t xml:space="preserve"> of </w:t>
    </w:r>
    <w:r>
      <w:rPr>
        <w:color w:val="5F6B7A"/>
        <w:sz w:val="16"/>
      </w:rPr>
      <w:fldChar w:fldCharType="begin"/>
    </w:r>
    <w:r>
      <w:rPr>
        <w:color w:val="5F6B7A"/>
        <w:sz w:val="16"/>
      </w:rPr>
      <w:instrText xml:space="preserve"> NUMPAGES </w:instrText>
    </w:r>
    <w:r>
      <w:rPr>
        <w:color w:val="5F6B7A"/>
        <w:sz w:val="16"/>
      </w:rPr>
      <w:fldChar w:fldCharType="separate"/>
    </w:r>
    <w:r>
      <w:rPr>
        <w:color w:val="5F6B7A"/>
        <w:sz w:val="16"/>
      </w:rPr>
      <w:t>1</w:t>
    </w:r>
    <w:r>
      <w:rPr>
        <w:color w:val="5F6B7A"/>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0080" w:val="right"/>
      </w:tabs>
    </w:pPr>
    <w:r>
      <w:rPr>
        <w:color w:val="5F6B7A"/>
        <w:sz w:val="16"/>
      </w:rPr>
      <w:t>AMTRA  |  28 September 2026</w:t>
    </w:r>
    <w:r>
      <w:tab/>
    </w:r>
    <w:r>
      <w:rPr>
        <w:color w:val="5F6B7A"/>
        <w:sz w:val="16"/>
      </w:rPr>
      <w:t xml:space="preserve">Page </w:t>
    </w:r>
    <w:r>
      <w:rPr>
        <w:color w:val="5F6B7A"/>
        <w:sz w:val="16"/>
      </w:rPr>
      <w:fldChar w:fldCharType="begin"/>
    </w:r>
    <w:r>
      <w:rPr>
        <w:color w:val="5F6B7A"/>
        <w:sz w:val="16"/>
      </w:rPr>
      <w:instrText xml:space="preserve"> PAGE </w:instrText>
    </w:r>
    <w:r>
      <w:rPr>
        <w:color w:val="5F6B7A"/>
        <w:sz w:val="16"/>
      </w:rPr>
      <w:fldChar w:fldCharType="separate"/>
    </w:r>
    <w:r>
      <w:rPr>
        <w:color w:val="5F6B7A"/>
        <w:sz w:val="16"/>
      </w:rPr>
      <w:t>1</w:t>
    </w:r>
    <w:r>
      <w:rPr>
        <w:color w:val="5F6B7A"/>
        <w:sz w:val="16"/>
      </w:rPr>
      <w:fldChar w:fldCharType="end"/>
    </w:r>
    <w:r>
      <w:rPr>
        <w:color w:val="5F6B7A"/>
        <w:sz w:val="16"/>
      </w:rPr>
      <w:t xml:space="preserve"> of </w:t>
    </w:r>
    <w:r>
      <w:rPr>
        <w:color w:val="5F6B7A"/>
        <w:sz w:val="16"/>
      </w:rPr>
      <w:fldChar w:fldCharType="begin"/>
    </w:r>
    <w:r>
      <w:rPr>
        <w:color w:val="5F6B7A"/>
        <w:sz w:val="16"/>
      </w:rPr>
      <w:instrText xml:space="preserve"> NUMPAGES </w:instrText>
    </w:r>
    <w:r>
      <w:rPr>
        <w:color w:val="5F6B7A"/>
        <w:sz w:val="16"/>
      </w:rPr>
      <w:fldChar w:fldCharType="separate"/>
    </w:r>
    <w:r>
      <w:rPr>
        <w:color w:val="5F6B7A"/>
        <w:sz w:val="16"/>
      </w:rPr>
      <w:t>1</w:t>
    </w:r>
    <w:r>
      <w:rPr>
        <w:color w:val="5F6B7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8D1DC"/>
      </w:pBdr>
      <w:tabs>
        <w:tab w:pos="4680" w:val="clear"/>
        <w:tab w:pos="9360" w:val="clear"/>
        <w:tab w:pos="10080" w:val="right"/>
      </w:tabs>
    </w:pPr>
    <w:r>
      <w:rPr>
        <w:color w:val="5F6B7A"/>
        <w:sz w:val="16"/>
      </w:rPr>
      <w:t>Baytex Energy  |  Change Control</w:t>
    </w:r>
    <w:r>
      <w:tab/>
    </w:r>
    <w:r>
      <w:rPr>
        <w:color w:val="5F6B7A"/>
        <w:sz w:val="16"/>
      </w:rPr>
      <w:t>Azure Databricks Platform (Terraform) — Dev, Test and Prod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eastAsia="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6" w:space="2" w:color="C8D1DC"/>
      </w:pBdr>
      <w:spacing w:before="240" w:after="80" w:line="240" w:lineRule="auto"/>
      <w:outlineLvl w:val="0"/>
    </w:pPr>
    <w:rPr>
      <w:rFonts w:ascii="Calibri" w:hAnsi="Calibri" w:eastAsia="Calibri" w:cs="Calibri"/>
      <w:b/>
      <w:bCs/>
      <w:i w:val="0"/>
      <w:color w:val="1F3A5F"/>
      <w:sz w:val="26"/>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eastAsia="Calibri" w:cs="Calibri"/>
      <w:b/>
      <w:bCs/>
      <w:i w:val="0"/>
      <w:color w:val="2E4A6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9B52B72978EC947824844D3C650C4DA" ma:contentTypeVersion="7" ma:contentTypeDescription="Create a new document." ma:contentTypeScope="" ma:versionID="db6614181aeb4c01bcf2881231dc1391">
  <xsd:schema xmlns:xsd="http://www.w3.org/2001/XMLSchema" xmlns:xs="http://www.w3.org/2001/XMLSchema" xmlns:p="http://schemas.microsoft.com/office/2006/metadata/properties" xmlns:ns2="7260b5b2-a55a-40d2-923c-181be8c3fa10" targetNamespace="http://schemas.microsoft.com/office/2006/metadata/properties" ma:root="true" ma:fieldsID="5b40c4992cf4eea4fa96f7c4fdc29d11" ns2:_="">
    <xsd:import namespace="7260b5b2-a55a-40d2-923c-181be8c3fa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60b5b2-a55a-40d2-923c-181be8c3f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F85C008-A708-4605-BEE5-DAFAF9474015}"/>
</file>

<file path=customXml/itemProps3.xml><?xml version="1.0" encoding="utf-8"?>
<ds:datastoreItem xmlns:ds="http://schemas.openxmlformats.org/officeDocument/2006/customXml" ds:itemID="{15A64C19-839C-4249-B309-ACB7ED6D999D}"/>
</file>

<file path=customXml/itemProps4.xml><?xml version="1.0" encoding="utf-8"?>
<ds:datastoreItem xmlns:ds="http://schemas.openxmlformats.org/officeDocument/2006/customXml" ds:itemID="{3AE200B0-CBC0-4C42-94BE-C268EF6212A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Control — Azure Databricks Platform (Dev, Test and Prod)</dc:title>
  <dc:subject>Baytex Azure Databricks platform built with Terraform</dc:subject>
  <dc:creator>AMTRA</dc:creator>
  <cp:keywords>Baytex, Azure Databricks, Terraform, change control</cp:keywords>
  <dc:description>Attachment to the Baytex change request.</dc:description>
  <cp:lastModifiedBy>AMTRA</cp:lastModifiedBy>
  <cp:revision>2</cp:revision>
  <dcterms:created xsi:type="dcterms:W3CDTF">2026-09-28T12:00:00Z</dcterms:created>
  <dcterms:modified xsi:type="dcterms:W3CDTF">2026-10-28T12:00:00Z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0x01010099B52B72978EC947824844D3C650C4DA</vt:lpwstr>
  </property>
  <property fmtid="{D5CDD505-2E9C-101B-9397-08002B2CF9AE}" pid="4" name="docLang">
    <vt:lpwstr>en</vt:lpwstr>
  </property>
</Properties>
</file>