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Tax-Efficient Withdrawal Strategies</w:t>
      </w:r>
    </w:p>
    <w:p>
      <w:r>
        <w:t>This article is for educational purposes only and does not constitute investment, legal, or tax advice. Readers should consult qualified professionals before making financial decisions.</w:t>
      </w:r>
    </w:p>
    <w:p>
      <w:r>
        <w:t>Taxes play a critical role in retirement income planning. The sequence in which assets are withdrawn can significantly affect lifetime tax liability and after-tax income.</w:t>
      </w:r>
    </w:p>
    <w:p>
      <w:r>
        <w:t>Required minimum distributions, Social Security taxation, and bracket management all interact in retirement. Without planning, retirees may unintentionally increase taxes during their highest withdrawal years.</w:t>
      </w:r>
    </w:p>
    <w:p>
      <w:r>
        <w:t>Tax-efficient withdrawal strategies focus on timing, diversification of tax buckets, and proactive planning to help retirees preserve more of what they’ve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