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Accredited Investor Status</w:t>
      </w:r>
    </w:p>
    <w:p>
      <w:r>
        <w:t>This article is for educational purposes only and does not constitute investment, legal, or tax advice. Readers should consult qualified professionals before making financial decisions.</w:t>
      </w:r>
    </w:p>
    <w:p>
      <w:r>
        <w:t>Accredited investor status is defined by U.S. securities laws and determines eligibility for certain private investment opportunities. Many retirees qualify based on net worth or income thresholds without realizing it.</w:t>
      </w:r>
    </w:p>
    <w:p>
      <w:r>
        <w:t>Understanding this status is not about encouraging investment, but about awareness. Accredited investors may have access to a broader range of strategies that behave differently from traditional public markets.</w:t>
      </w:r>
    </w:p>
    <w:p>
      <w:r>
        <w:t>Confirming accredited status with qualified professionals allows retirees to make informed decisions while understanding both opportunities and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