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Most Advisors Don’t Tell Retirees</w:t>
      </w:r>
    </w:p>
    <w:p>
      <w:r>
        <w:t>This article is for educational purposes only and does not constitute investment, legal, or tax advice. Retirement strategies should be evaluated based on individual circumstances with qualified professionals.</w:t>
      </w:r>
    </w:p>
    <w:p>
      <w:r>
        <w:t>Most retirees assume their financial advisor is discussing every option available to them. In reality, many advisors operate within narrow frameworks that focus primarily on traditional stocks and bonds. This can leave retirees unaware of critical considerations once they transition from saving to spending.</w:t>
      </w:r>
    </w:p>
    <w:p>
      <w:r>
        <w:t>One of the largest gaps in traditional advice is the difference between accumulation and retirement income planning. Accumulation focuses on growth. Retirement focuses on sustainability, predictability, and managing risk while withdrawals are taking place. These are fundamentally different objectives.</w:t>
      </w:r>
    </w:p>
    <w:p>
      <w:r>
        <w:t>Volatility is another area often underexplained. Market losses early in retirement, when withdrawals begin, can permanently reduce portfolio longevity. This dynamic—commonly referred to as sequence-of-returns risk—is rarely discussed clearly, despite its impact.</w:t>
      </w:r>
    </w:p>
    <w:p>
      <w:r>
        <w:t>Diversification is also frequently framed too narrowly. While stocks and bonds are common building blocks, some retirees explore additional asset types that behave differently across market cycles. Understanding these options does not require action, but it does require awareness.</w:t>
      </w:r>
    </w:p>
    <w:p>
      <w:r>
        <w:t>Tax planning is another topic that is often treated as an afterthought. Required minimum distributions, Social Security taxation, and withdrawal sequencing can significantly affect after-tax income over time. Without coordination, taxes may erode retirement income faster than expected.</w:t>
      </w:r>
    </w:p>
    <w:p>
      <w:r>
        <w:t>This does not suggest that advisors are acting improperly. Many are limited by the tools, platforms, or frameworks they operate within. However, retirees benefit when they understand how their plan is designed and what assumptions it relies on.</w:t>
      </w:r>
    </w:p>
    <w:p>
      <w:r>
        <w:t>Retirement confidence does not come from chasing returns. It comes from understanding how income is generated, how risks are managed, and how taxes are addressed throughout retirement. Education enables better questions—and better decisions.</w:t>
      </w:r>
    </w:p>
    <w:p>
      <w:r>
        <w:t>The most important question is not, “How did my portfolio perform last year?” but rather, “How does my plan support me when markets are unpredictable?”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