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60/40 Portfolio Is Dead</w:t>
      </w:r>
    </w:p>
    <w:p>
      <w:r>
        <w:t>This article is for educational purposes only and does not constitute investment, legal, or tax advice. Readers should consult qualified professionals before making financial decisions.</w:t>
      </w:r>
    </w:p>
    <w:p>
      <w:r>
        <w:t>Traditional retirement portfolios built on a 60/40 mix of stocks and bonds were designed for a very different economic environment. Lower interest rates, longer lifespans, and predictable market cycles once made this approach effective. Today, retirees face higher inflation, increased volatility, and longer retirement horizons, putting pressure on portfolios that rely solely on public markets.</w:t>
      </w:r>
    </w:p>
    <w:p>
      <w:r>
        <w:t>Stocks and bonds are no longer as negatively correlated as they once were. During periods of market stress, both asset classes can decline simultaneously, reducing diversification benefits when retirees need stability the most. Additionally, bond yields may struggle to keep pace with inflation, eroding purchasing power over time.</w:t>
      </w:r>
    </w:p>
    <w:p>
      <w:r>
        <w:t>Modern retirement planning requires diversification beyond traditional assets. Incorporating income-focused strategies, real assets, and alternative investments can help retirees reduce reliance on market timing and build portfolios designed for longevity and predictability. The goal is not to abandon stocks and bonds, but to recognize their limitations in today’s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