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b/>
          <w:color w:val="0071E3"/>
          <w:sz w:val="88"/>
        </w:rPr>
        <w:t>DAuto</w:t>
      </w:r>
    </w:p>
    <w:p>
      <w:r>
        <w:rPr>
          <w:b/>
          <w:sz w:val="44"/>
        </w:rPr>
        <w:t>Informe de cierre — Entrega final</w:t>
      </w:r>
    </w:p>
    <w:p>
      <w:pPr>
        <w:spacing w:after="1200"/>
      </w:pPr>
      <w:r>
        <w:rPr>
          <w:color w:val="55555A"/>
          <w:sz w:val="28"/>
        </w:rPr>
        <w:t>Implementación, seguridad, calidad y mejora continua</w:t>
      </w:r>
    </w:p>
    <w:p>
      <w:pPr>
        <w:spacing w:after="60"/>
      </w:pPr>
      <w:r>
        <w:rPr>
          <w:b/>
          <w:color w:val="55555A"/>
        </w:rPr>
        <w:t xml:space="preserve">Materia:  </w:t>
      </w:r>
      <w:r>
        <w:t>Ingeniería en desarrollo de software</w:t>
      </w:r>
    </w:p>
    <w:p>
      <w:pPr>
        <w:spacing w:after="60"/>
      </w:pPr>
      <w:r>
        <w:rPr>
          <w:b/>
          <w:color w:val="55555A"/>
        </w:rPr>
        <w:t xml:space="preserve">Alumno:  </w:t>
      </w:r>
      <w:r>
        <w:t>Diego Villarreal Martínez</w:t>
      </w:r>
    </w:p>
    <w:p>
      <w:pPr>
        <w:spacing w:after="60"/>
      </w:pPr>
      <w:r>
        <w:rPr>
          <w:b/>
          <w:color w:val="55555A"/>
        </w:rPr>
        <w:t xml:space="preserve">Matrícula:  </w:t>
      </w:r>
      <w:r>
        <w:t>Al07064821</w:t>
      </w:r>
    </w:p>
    <w:p>
      <w:pPr>
        <w:spacing w:after="60"/>
      </w:pPr>
      <w:r>
        <w:rPr>
          <w:b/>
          <w:color w:val="55555A"/>
        </w:rPr>
        <w:t xml:space="preserve">Institución:  </w:t>
      </w:r>
      <w:r>
        <w:t>Tecmilenio, campus Las Torres</w:t>
      </w:r>
    </w:p>
    <w:p>
      <w:pPr>
        <w:spacing w:after="60"/>
      </w:pPr>
      <w:r>
        <w:rPr>
          <w:b/>
          <w:color w:val="55555A"/>
        </w:rPr>
        <w:t xml:space="preserve">Repositorio:  </w:t>
      </w:r>
      <w:r>
        <w:t>https://github.com/WebbiestStew/finalproj_ids</w:t>
      </w:r>
    </w:p>
    <w:p>
      <w:pPr>
        <w:spacing w:after="60"/>
      </w:pPr>
      <w:r>
        <w:rPr>
          <w:b/>
          <w:color w:val="55555A"/>
        </w:rPr>
        <w:t xml:space="preserve">Fecha:  </w:t>
      </w:r>
      <w:r>
        <w:t>21 de septiembre de 2026</w:t>
      </w:r>
    </w:p>
    <w:p>
      <w:r>
        <w:br w:type="page"/>
      </w:r>
    </w:p>
    <w:p>
      <w:pPr>
        <w:pStyle w:val="Heading1"/>
      </w:pPr>
      <w:r>
        <w:t>4. Implementación y seguridad</w:t>
      </w:r>
    </w:p>
    <w:p>
      <w:pPr>
        <w:pStyle w:val="Heading2"/>
      </w:pPr>
      <w:r>
        <w:t>4.1 Módulo: autenticación de concesionarias y compradores</w:t>
      </w:r>
    </w:p>
    <w:p>
      <w:r>
        <w:t xml:space="preserve">Del módulo </w:t>
      </w:r>
      <w:r>
        <w:rPr>
          <w:b/>
        </w:rPr>
        <w:t>Auth &amp; Usuarios</w:t>
      </w:r>
      <w:r>
        <w:t xml:space="preserve"> de la arquitectura (sección 2.3) se implementó el flujo completo, de la API a la interfaz.</w:t>
      </w:r>
    </w:p>
    <w:p>
      <w:r>
        <w:rPr>
          <w:b/>
        </w:rPr>
        <w:t>Backend (</w:t>
      </w:r>
      <w:r>
        <w:rPr>
          <w:rFonts w:ascii="Consolas" w:hAnsi="Consolas" w:eastAsia="Consolas"/>
          <w:b/>
          <w:color w:val="8A1F3D"/>
          <w:sz w:val="19"/>
        </w:rPr>
        <w:t>backend/</w:t>
      </w:r>
      <w:r>
        <w:rPr>
          <w:b/>
        </w:rPr>
        <w:t>)</w:t>
      </w:r>
    </w:p>
    <w:p>
      <w:pPr>
        <w:pStyle w:val="ListBullet"/>
        <w:spacing w:after="60"/>
      </w:pPr>
      <w:r>
        <w:t xml:space="preserve">JWT firmado con </w:t>
      </w:r>
      <w:r>
        <w:rPr>
          <w:rFonts w:ascii="Consolas" w:hAnsi="Consolas" w:eastAsia="Consolas"/>
          <w:color w:val="8A1F3D"/>
          <w:sz w:val="19"/>
        </w:rPr>
        <w:t>HS256</w:t>
      </w:r>
      <w:r>
        <w:t xml:space="preserve"> y </w:t>
      </w:r>
      <w:r>
        <w:rPr>
          <w:b/>
        </w:rPr>
        <w:t>algoritmo fijado al verificar</w:t>
      </w:r>
      <w:r>
        <w:t xml:space="preserve"> (un token </w:t>
      </w:r>
      <w:r>
        <w:rPr>
          <w:rFonts w:ascii="Consolas" w:hAnsi="Consolas" w:eastAsia="Consolas"/>
          <w:color w:val="8A1F3D"/>
          <w:sz w:val="19"/>
        </w:rPr>
        <w:t>HS512</w:t>
      </w:r>
      <w:r>
        <w:t xml:space="preserve"> o </w:t>
      </w:r>
      <w:r>
        <w:rPr>
          <w:rFonts w:ascii="Consolas" w:hAnsi="Consolas" w:eastAsia="Consolas"/>
          <w:color w:val="8A1F3D"/>
          <w:sz w:val="19"/>
        </w:rPr>
        <w:t>alg: none</w:t>
      </w:r>
      <w:r>
        <w:t xml:space="preserve"> se rechaza), 2 h de vigencia. Contraseñas con bcrypt asíncrono (factor 12; configurable con </w:t>
      </w:r>
      <w:r>
        <w:rPr>
          <w:rFonts w:ascii="Consolas" w:hAnsi="Consolas" w:eastAsia="Consolas"/>
          <w:color w:val="8A1F3D"/>
          <w:sz w:val="19"/>
        </w:rPr>
        <w:t>BCRYPT_ROUNDS</w:t>
      </w:r>
      <w:r>
        <w:t>, mínimo 10 en producción según OWASP).</w:t>
      </w:r>
    </w:p>
    <w:p>
      <w:pPr>
        <w:pStyle w:val="ListBullet"/>
        <w:spacing w:after="60"/>
      </w:pPr>
      <w:r>
        <w:t xml:space="preserve">Roles </w:t>
      </w:r>
      <w:r>
        <w:rPr>
          <w:rFonts w:ascii="Consolas" w:hAnsi="Consolas" w:eastAsia="Consolas"/>
          <w:color w:val="8A1F3D"/>
          <w:sz w:val="19"/>
        </w:rPr>
        <w:t>admin</w:t>
      </w:r>
      <w:r>
        <w:t xml:space="preserve">, </w:t>
      </w:r>
      <w:r>
        <w:rPr>
          <w:rFonts w:ascii="Consolas" w:hAnsi="Consolas" w:eastAsia="Consolas"/>
          <w:color w:val="8A1F3D"/>
          <w:sz w:val="19"/>
        </w:rPr>
        <w:t>concesionaria</w:t>
      </w:r>
      <w:r>
        <w:t xml:space="preserve">, </w:t>
      </w:r>
      <w:r>
        <w:rPr>
          <w:rFonts w:ascii="Consolas" w:hAnsi="Consolas" w:eastAsia="Consolas"/>
          <w:color w:val="8A1F3D"/>
          <w:sz w:val="19"/>
        </w:rPr>
        <w:t>comprador</w:t>
      </w:r>
      <w:r>
        <w:t xml:space="preserve">. El registro público </w:t>
      </w:r>
      <w:r>
        <w:rPr>
          <w:b/>
        </w:rPr>
        <w:t>no</w:t>
      </w:r>
      <w:r>
        <w:t xml:space="preserve"> permite auto-asignarse </w:t>
      </w:r>
      <w:r>
        <w:rPr>
          <w:rFonts w:ascii="Consolas" w:hAnsi="Consolas" w:eastAsia="Consolas"/>
          <w:color w:val="8A1F3D"/>
          <w:sz w:val="19"/>
        </w:rPr>
        <w:t>admin</w:t>
      </w:r>
      <w:r>
        <w:t>.</w:t>
      </w:r>
    </w:p>
    <w:p>
      <w:pPr>
        <w:pStyle w:val="ListBullet"/>
        <w:spacing w:after="60"/>
      </w:pPr>
      <w:r>
        <w:t xml:space="preserve">Endpoints: </w:t>
      </w:r>
      <w:r>
        <w:rPr>
          <w:rFonts w:ascii="Consolas" w:hAnsi="Consolas" w:eastAsia="Consolas"/>
          <w:color w:val="8A1F3D"/>
          <w:sz w:val="19"/>
        </w:rPr>
        <w:t>POST /api/auth/register</w:t>
      </w:r>
      <w:r>
        <w:t xml:space="preserve">, </w:t>
      </w:r>
      <w:r>
        <w:rPr>
          <w:rFonts w:ascii="Consolas" w:hAnsi="Consolas" w:eastAsia="Consolas"/>
          <w:color w:val="8A1F3D"/>
          <w:sz w:val="19"/>
        </w:rPr>
        <w:t>POST /api/auth/login</w:t>
      </w:r>
      <w:r>
        <w:t xml:space="preserve">, </w:t>
      </w:r>
      <w:r>
        <w:rPr>
          <w:rFonts w:ascii="Consolas" w:hAnsi="Consolas" w:eastAsia="Consolas"/>
          <w:color w:val="8A1F3D"/>
          <w:sz w:val="19"/>
        </w:rPr>
        <w:t>GET /api/auth/me</w:t>
      </w:r>
      <w:r>
        <w:t xml:space="preserve">, </w:t>
      </w:r>
      <w:r>
        <w:rPr>
          <w:rFonts w:ascii="Consolas" w:hAnsi="Consolas" w:eastAsia="Consolas"/>
          <w:color w:val="8A1F3D"/>
          <w:sz w:val="19"/>
        </w:rPr>
        <w:t>GET /api/auth/users</w:t>
      </w:r>
      <w:r>
        <w:t xml:space="preserve"> (solo admin), </w:t>
      </w:r>
      <w:r>
        <w:rPr>
          <w:rFonts w:ascii="Consolas" w:hAnsi="Consolas" w:eastAsia="Consolas"/>
          <w:color w:val="8A1F3D"/>
          <w:sz w:val="19"/>
        </w:rPr>
        <w:t>GET /health</w:t>
      </w:r>
      <w:r>
        <w:t>.</w:t>
      </w:r>
    </w:p>
    <w:p>
      <w:pPr>
        <w:pStyle w:val="ListBullet"/>
        <w:spacing w:after="60"/>
      </w:pPr>
      <w:r>
        <w:t xml:space="preserve">Validación con </w:t>
      </w:r>
      <w:r>
        <w:rPr>
          <w:rFonts w:ascii="Consolas" w:hAnsi="Consolas" w:eastAsia="Consolas"/>
          <w:color w:val="8A1F3D"/>
          <w:sz w:val="19"/>
        </w:rPr>
        <w:t>zod</w:t>
      </w:r>
      <w:r>
        <w:t xml:space="preserve">, consultas parametrizadas, </w:t>
      </w:r>
      <w:r>
        <w:rPr>
          <w:rFonts w:ascii="Consolas" w:hAnsi="Consolas" w:eastAsia="Consolas"/>
          <w:color w:val="8A1F3D"/>
          <w:sz w:val="19"/>
        </w:rPr>
        <w:t>helmet</w:t>
      </w:r>
      <w:r>
        <w:t>, límite de intentos, cuerpo máximo de 10 kB.</w:t>
      </w:r>
    </w:p>
    <w:p>
      <w:r>
        <w:rPr>
          <w:b/>
        </w:rPr>
        <w:t>Frontend (</w:t>
      </w:r>
      <w:r>
        <w:rPr>
          <w:rFonts w:ascii="Consolas" w:hAnsi="Consolas" w:eastAsia="Consolas"/>
          <w:b/>
          <w:color w:val="8A1F3D"/>
          <w:sz w:val="19"/>
        </w:rPr>
        <w:t>frontend/</w:t>
      </w:r>
      <w:r>
        <w:rPr>
          <w:b/>
        </w:rPr>
        <w:t>)</w:t>
      </w:r>
      <w:r>
        <w:t xml:space="preserve"> — SPA en React: landing, registro (con selector de rol y validación en línea), inicio de sesión, y un panel que cambia por rol (el administrador ve la tabla de usuarios). Rutas protegidas, rutas solo para invitados, regreso a la página que se intentaba abrir tras iniciar sesión y cierre de sesión automático si el token vence.</w:t>
      </w:r>
    </w:p>
    <w:p>
      <w:r>
        <w:rPr>
          <w:b/>
        </w:rPr>
        <w:t>Catálogo de vehículos (adelanto del Sprint 2)</w:t>
      </w:r>
      <w:r>
        <w:t xml:space="preserve"> — API y pantallas para publicar y consultar autos, la funcionalidad central del acta (secciones 1.1 y 2.1, historia de usuario 1 y 2):</w:t>
      </w:r>
    </w:p>
    <w:p>
      <w:pPr>
        <w:pStyle w:val="ListBullet"/>
        <w:spacing w:after="60"/>
      </w:pPr>
      <w:r>
        <w:rPr>
          <w:i/>
        </w:rPr>
        <w:t>API:</w:t>
      </w:r>
      <w:r>
        <w:t xml:space="preserve"> </w:t>
      </w:r>
      <w:r>
        <w:rPr>
          <w:rFonts w:ascii="Consolas" w:hAnsi="Consolas" w:eastAsia="Consolas"/>
          <w:color w:val="8A1F3D"/>
          <w:sz w:val="19"/>
        </w:rPr>
        <w:t>GET /api/vehicles</w:t>
      </w:r>
      <w:r>
        <w:t xml:space="preserve"> (público, con filtros por marca/modelo, carrocería, transmisión, precio, año y kilometraje; orden; paginación), detalle, marcas, y para concesionarias </w:t>
      </w:r>
      <w:r>
        <w:rPr>
          <w:rFonts w:ascii="Consolas" w:hAnsi="Consolas" w:eastAsia="Consolas"/>
          <w:color w:val="8A1F3D"/>
          <w:sz w:val="19"/>
        </w:rPr>
        <w:t>POST/PUT/PATCH/DELETE</w:t>
      </w:r>
      <w:r>
        <w:t xml:space="preserve"> con </w:t>
      </w:r>
      <w:r>
        <w:rPr>
          <w:b/>
        </w:rPr>
        <w:t>control de propiedad</w:t>
      </w:r>
      <w:r>
        <w:t xml:space="preserve">: cada concesionaria solo modifica sus autos y el admin puede moderar. Un auto </w:t>
      </w:r>
      <w:r>
        <w:rPr>
          <w:rFonts w:ascii="Consolas" w:hAnsi="Consolas" w:eastAsia="Consolas"/>
          <w:color w:val="8A1F3D"/>
          <w:sz w:val="19"/>
        </w:rPr>
        <w:t>vendido</w:t>
      </w:r>
      <w:r>
        <w:t xml:space="preserve"> deja de aparecer en el catálogo público, lo que mitiga el riesgo </w:t>
      </w:r>
      <w:r>
        <w:rPr>
          <w:b/>
        </w:rPr>
        <w:t>R4</w:t>
      </w:r>
      <w:r>
        <w:t xml:space="preserve"> de la matriz (inventario desactualizado). El orden se elige de una lista fija (nunca se concatena entrada del usuario al SQL) y los comodines </w:t>
      </w:r>
      <w:r>
        <w:rPr>
          <w:rFonts w:ascii="Consolas" w:hAnsi="Consolas" w:eastAsia="Consolas"/>
          <w:color w:val="8A1F3D"/>
          <w:sz w:val="19"/>
        </w:rPr>
        <w:t>%</w:t>
      </w:r>
      <w:r>
        <w:t>/</w:t>
      </w:r>
      <w:r>
        <w:rPr>
          <w:rFonts w:ascii="Consolas" w:hAnsi="Consolas" w:eastAsia="Consolas"/>
          <w:color w:val="8A1F3D"/>
          <w:sz w:val="19"/>
        </w:rPr>
        <w:t>_</w:t>
      </w:r>
      <w:r>
        <w:t xml:space="preserve"> de la búsqueda se escapan.</w:t>
      </w:r>
    </w:p>
    <w:p>
      <w:pPr>
        <w:pStyle w:val="ListBullet"/>
        <w:spacing w:after="60"/>
      </w:pPr>
      <w:r>
        <w:rPr>
          <w:i/>
        </w:rPr>
        <w:t>Frontend:</w:t>
      </w:r>
      <w:r>
        <w:t xml:space="preserve"> catálogo con filtros sincronizados con la URL (enlaces compartibles), "Ver más", ficha de detalle, y un módulo de </w:t>
      </w:r>
      <w:r>
        <w:rPr>
          <w:b/>
        </w:rPr>
        <w:t>inventario</w:t>
      </w:r>
      <w:r>
        <w:t xml:space="preserve"> para concesionarias (publicar, editar con vista previa, cambiar estado, eliminar con confirmación). La landing muestra los autos más recientes.</w:t>
      </w:r>
    </w:p>
    <w:p>
      <w:pPr>
        <w:pStyle w:val="ListBullet"/>
        <w:spacing w:after="60"/>
      </w:pPr>
      <w:r>
        <w:rPr>
          <w:i/>
        </w:rPr>
        <w:t>Alcance honesto:</w:t>
      </w:r>
      <w:r>
        <w:t xml:space="preserve"> todavía no hay carga de fotos; cada auto se muestra con una </w:t>
      </w:r>
      <w:r>
        <w:rPr>
          <w:b/>
        </w:rPr>
        <w:t>ilustración</w:t>
      </w:r>
      <w:r>
        <w:t xml:space="preserve"> cuya silueta y color salen de sus datos, y la ficha lo indica. La geolocalización de sucursales, el financiamiento y las citas siguen pendientes.</w:t>
      </w:r>
    </w:p>
    <w:p>
      <w:r>
        <w:rPr>
          <w:b/>
        </w:rPr>
        <w:t>Pruebas unitarias y de integración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9CE"/>
          <w:left w:val="single" w:sz="4" w:color="C9C9CE"/>
          <w:bottom w:val="single" w:sz="4" w:color="C9C9CE"/>
          <w:right w:val="single" w:sz="4" w:color="C9C9CE"/>
          <w:insideH w:val="single" w:sz="4" w:color="C9C9CE"/>
          <w:insideV w:val="single" w:sz="4" w:color="C9C9CE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cantSplit w:val="true"/>
          <w:tblHeader w:val="true"/>
        </w:trPr>
        <w:tc>
          <w:tcPr>
            <w:tcW w:type="dxa" w:w="3518"/>
            <w:shd w:val="clear" w:color="auto" w:fill="0071E3"/>
          </w:tcPr>
          <w:p>
            <w:pPr>
              <w:spacing w:after="40" w:line="240" w:lineRule="auto"/>
            </w:pPr>
          </w:p>
        </w:tc>
        <w:tc>
          <w:tcPr>
            <w:tcW w:type="dxa" w:w="704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Pruebas</w:t>
            </w:r>
          </w:p>
        </w:tc>
        <w:tc>
          <w:tcPr>
            <w:tcW w:type="dxa" w:w="1005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Statements</w:t>
            </w:r>
          </w:p>
        </w:tc>
        <w:tc>
          <w:tcPr>
            <w:tcW w:type="dxa" w:w="804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Branches</w:t>
            </w:r>
          </w:p>
        </w:tc>
        <w:tc>
          <w:tcPr>
            <w:tcW w:type="dxa" w:w="905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Functions</w:t>
            </w:r>
          </w:p>
        </w:tc>
        <w:tc>
          <w:tcPr>
            <w:tcW w:type="dxa" w:w="704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Lines</w:t>
            </w:r>
          </w:p>
        </w:tc>
        <w:tc>
          <w:tcPr>
            <w:tcW w:type="dxa" w:w="2111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Umbral</w:t>
            </w:r>
          </w:p>
        </w:tc>
      </w:tr>
      <w:tr>
        <w:trPr>
          <w:cantSplit w:val="true"/>
        </w:trPr>
        <w:tc>
          <w:tcPr>
            <w:tcW w:type="dxa" w:w="3518"/>
          </w:tcPr>
          <w:p>
            <w:pPr>
              <w:spacing w:after="40" w:line="240" w:lineRule="auto"/>
            </w:pPr>
            <w:r>
              <w:rPr>
                <w:sz w:val="18"/>
              </w:rPr>
              <w:t>Backend (Jest + supertest)</w:t>
            </w:r>
          </w:p>
        </w:tc>
        <w:tc>
          <w:tcPr>
            <w:tcW w:type="dxa" w:w="704"/>
          </w:tcPr>
          <w:p>
            <w:pPr>
              <w:spacing w:after="40" w:line="240" w:lineRule="auto"/>
            </w:pPr>
            <w:r>
              <w:rPr>
                <w:sz w:val="18"/>
              </w:rPr>
              <w:t>130</w:t>
            </w:r>
          </w:p>
        </w:tc>
        <w:tc>
          <w:tcPr>
            <w:tcW w:type="dxa" w:w="1005"/>
          </w:tcPr>
          <w:p>
            <w:pPr>
              <w:spacing w:after="40" w:line="240" w:lineRule="auto"/>
            </w:pPr>
            <w:r>
              <w:rPr>
                <w:sz w:val="18"/>
              </w:rPr>
              <w:t>100 %</w:t>
            </w:r>
          </w:p>
        </w:tc>
        <w:tc>
          <w:tcPr>
            <w:tcW w:type="dxa" w:w="804"/>
          </w:tcPr>
          <w:p>
            <w:pPr>
              <w:spacing w:after="40" w:line="240" w:lineRule="auto"/>
            </w:pPr>
            <w:r>
              <w:rPr>
                <w:sz w:val="18"/>
              </w:rPr>
              <w:t>93.89 %</w:t>
            </w:r>
          </w:p>
        </w:tc>
        <w:tc>
          <w:tcPr>
            <w:tcW w:type="dxa" w:w="905"/>
          </w:tcPr>
          <w:p>
            <w:pPr>
              <w:spacing w:after="40" w:line="240" w:lineRule="auto"/>
            </w:pPr>
            <w:r>
              <w:rPr>
                <w:sz w:val="18"/>
              </w:rPr>
              <w:t>100 %</w:t>
            </w:r>
          </w:p>
        </w:tc>
        <w:tc>
          <w:tcPr>
            <w:tcW w:type="dxa" w:w="704"/>
          </w:tcPr>
          <w:p>
            <w:pPr>
              <w:spacing w:after="40" w:line="240" w:lineRule="auto"/>
            </w:pPr>
            <w:r>
              <w:rPr>
                <w:sz w:val="18"/>
              </w:rPr>
              <w:t>100 %</w:t>
            </w:r>
          </w:p>
        </w:tc>
        <w:tc>
          <w:tcPr>
            <w:tcW w:type="dxa" w:w="2111"/>
          </w:tcPr>
          <w:p>
            <w:pPr>
              <w:spacing w:after="40" w:line="240" w:lineRule="auto"/>
            </w:pPr>
            <w:r>
              <w:rPr>
                <w:sz w:val="18"/>
              </w:rPr>
              <w:t>80 % (rompe la build)</w:t>
            </w:r>
          </w:p>
        </w:tc>
      </w:tr>
      <w:tr>
        <w:trPr>
          <w:cantSplit w:val="true"/>
        </w:trPr>
        <w:tc>
          <w:tcPr>
            <w:tcW w:type="dxa" w:w="3518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Frontend (Vitest + Testing Library)</w:t>
            </w:r>
          </w:p>
        </w:tc>
        <w:tc>
          <w:tcPr>
            <w:tcW w:type="dxa" w:w="70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143</w:t>
            </w:r>
          </w:p>
        </w:tc>
        <w:tc>
          <w:tcPr>
            <w:tcW w:type="dxa" w:w="1005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97.36 %</w:t>
            </w:r>
          </w:p>
        </w:tc>
        <w:tc>
          <w:tcPr>
            <w:tcW w:type="dxa" w:w="80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87.64 %</w:t>
            </w:r>
          </w:p>
        </w:tc>
        <w:tc>
          <w:tcPr>
            <w:tcW w:type="dxa" w:w="905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96.50 %</w:t>
            </w:r>
          </w:p>
        </w:tc>
        <w:tc>
          <w:tcPr>
            <w:tcW w:type="dxa" w:w="70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97.83 %</w:t>
            </w:r>
          </w:p>
        </w:tc>
        <w:tc>
          <w:tcPr>
            <w:tcW w:type="dxa" w:w="2111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 xml:space="preserve">Las pruebas del backend cubren registro/login por rol, roles, middleware, y las pruebas de seguridad negativa (SQLi, XSS almacenado, tokens con otro algoritmo/sin firma/expirados/con otro secreto, JSON mal formado, cuerpo demasiado grande, límite de intentos, cabeceras). Las del frontend cubren el contexto de autenticación (incluye que un fallo de red </w:t>
      </w:r>
      <w:r>
        <w:rPr>
          <w:b/>
        </w:rPr>
        <w:t>no</w:t>
      </w:r>
      <w:r>
        <w:t xml:space="preserve"> cierra la sesión), guardas de ruta, formularios, accesibilidad (</w:t>
      </w:r>
      <w:r>
        <w:rPr>
          <w:rFonts w:ascii="Consolas" w:hAnsi="Consolas" w:eastAsia="Consolas"/>
          <w:color w:val="8A1F3D"/>
          <w:sz w:val="19"/>
        </w:rPr>
        <w:t>role="alert"</w:t>
      </w:r>
      <w:r>
        <w:t xml:space="preserve">, </w:t>
      </w:r>
      <w:r>
        <w:rPr>
          <w:rFonts w:ascii="Consolas" w:hAnsi="Consolas" w:eastAsia="Consolas"/>
          <w:color w:val="8A1F3D"/>
          <w:sz w:val="19"/>
        </w:rPr>
        <w:t>aria-invalid</w:t>
      </w:r>
      <w:r>
        <w:t xml:space="preserve">, </w:t>
      </w:r>
      <w:r>
        <w:rPr>
          <w:rFonts w:ascii="Consolas" w:hAnsi="Consolas" w:eastAsia="Consolas"/>
          <w:color w:val="8A1F3D"/>
          <w:sz w:val="19"/>
        </w:rPr>
        <w:t>aria-describedby</w:t>
      </w:r>
      <w:r>
        <w:t xml:space="preserve">, </w:t>
      </w:r>
      <w:r>
        <w:rPr>
          <w:rFonts w:ascii="Consolas" w:hAnsi="Consolas" w:eastAsia="Consolas"/>
          <w:color w:val="8A1F3D"/>
          <w:sz w:val="19"/>
        </w:rPr>
        <w:t>aria-pressed</w:t>
      </w:r>
      <w:r>
        <w:t>, teclado) y el panel por rol.</w:t>
      </w:r>
    </w:p>
    <w:p>
      <w:pPr>
        <w:pStyle w:val="Heading2"/>
      </w:pPr>
      <w:r>
        <w:t>4.2 Pipeline CI/CD (GitHub Actions)</w:t>
      </w:r>
    </w:p>
    <w:p>
      <w:r>
        <w:rPr>
          <w:rFonts w:ascii="Consolas" w:hAnsi="Consolas" w:eastAsia="Consolas"/>
          <w:color w:val="8A1F3D"/>
          <w:sz w:val="19"/>
        </w:rPr>
        <w:t>.github/workflows/ci-cd.yml</w:t>
      </w:r>
      <w:r>
        <w:t>:</w:t>
      </w:r>
    </w:p>
    <w:p>
      <w:pPr>
        <w:spacing w:after="60"/>
        <w:ind w:left="510" w:hanging="340"/>
      </w:pPr>
      <w:r>
        <w:t xml:space="preserve">1. </w:t>
      </w:r>
      <w:r>
        <w:rPr>
          <w:rFonts w:ascii="Consolas" w:hAnsi="Consolas" w:eastAsia="Consolas"/>
          <w:b/>
          <w:color w:val="8A1F3D"/>
          <w:sz w:val="19"/>
        </w:rPr>
        <w:t>lint-and-test</w:t>
      </w:r>
      <w:r>
        <w:t xml:space="preserve"> (backend): </w:t>
      </w:r>
      <w:r>
        <w:rPr>
          <w:rFonts w:ascii="Consolas" w:hAnsi="Consolas" w:eastAsia="Consolas"/>
          <w:color w:val="8A1F3D"/>
          <w:sz w:val="19"/>
        </w:rPr>
        <w:t>npm audit</w:t>
      </w:r>
      <w:r>
        <w:t xml:space="preserve"> de producción → ESLint + sonarjs → duplicación (</w:t>
      </w:r>
      <w:r>
        <w:rPr>
          <w:rFonts w:ascii="Consolas" w:hAnsi="Consolas" w:eastAsia="Consolas"/>
          <w:color w:val="8A1F3D"/>
          <w:sz w:val="19"/>
        </w:rPr>
        <w:t>jscpd</w:t>
      </w:r>
      <w:r>
        <w:t>, falla sobre 3 %) → pruebas con cobertura (falla bajo 80 %).</w:t>
      </w:r>
    </w:p>
    <w:p>
      <w:pPr>
        <w:spacing w:after="60"/>
        <w:ind w:left="510" w:hanging="340"/>
      </w:pPr>
      <w:r>
        <w:t xml:space="preserve">2. </w:t>
      </w:r>
      <w:r>
        <w:rPr>
          <w:rFonts w:ascii="Consolas" w:hAnsi="Consolas" w:eastAsia="Consolas"/>
          <w:b/>
          <w:color w:val="8A1F3D"/>
          <w:sz w:val="19"/>
        </w:rPr>
        <w:t>frontend</w:t>
      </w:r>
      <w:r>
        <w:t xml:space="preserve">: </w:t>
      </w:r>
      <w:r>
        <w:rPr>
          <w:rFonts w:ascii="Consolas" w:hAnsi="Consolas" w:eastAsia="Consolas"/>
          <w:color w:val="8A1F3D"/>
          <w:sz w:val="19"/>
        </w:rPr>
        <w:t>npm audit</w:t>
      </w:r>
      <w:r>
        <w:t xml:space="preserve"> → oxlint → pruebas con cobertura → build de producción.</w:t>
      </w:r>
    </w:p>
    <w:p>
      <w:pPr>
        <w:spacing w:after="60"/>
        <w:ind w:left="510" w:hanging="340"/>
      </w:pPr>
      <w:r>
        <w:t xml:space="preserve">3. </w:t>
      </w:r>
      <w:r>
        <w:rPr>
          <w:rFonts w:ascii="Consolas" w:hAnsi="Consolas" w:eastAsia="Consolas"/>
          <w:b/>
          <w:color w:val="8A1F3D"/>
          <w:sz w:val="19"/>
        </w:rPr>
        <w:t>build-and-push</w:t>
      </w:r>
      <w:r>
        <w:t xml:space="preserve"> (solo </w:t>
      </w:r>
      <w:r>
        <w:rPr>
          <w:rFonts w:ascii="Consolas" w:hAnsi="Consolas" w:eastAsia="Consolas"/>
          <w:color w:val="8A1F3D"/>
          <w:sz w:val="19"/>
        </w:rPr>
        <w:t>main</w:t>
      </w:r>
      <w:r>
        <w:t>, requiere los dos anteriores): imagen Docker (usuario no root) a GHCR.</w:t>
      </w:r>
    </w:p>
    <w:p>
      <w:pPr>
        <w:spacing w:after="60"/>
        <w:ind w:left="510" w:hanging="340"/>
      </w:pPr>
      <w:r>
        <w:t xml:space="preserve">4. </w:t>
      </w:r>
      <w:r>
        <w:rPr>
          <w:rFonts w:ascii="Consolas" w:hAnsi="Consolas" w:eastAsia="Consolas"/>
          <w:b/>
          <w:color w:val="8A1F3D"/>
          <w:sz w:val="19"/>
        </w:rPr>
        <w:t>deploy-test-env</w:t>
      </w:r>
      <w:r>
        <w:t xml:space="preserve">: ejecuta la imagen publicada en un contenedor efímero y valida </w:t>
      </w:r>
      <w:r>
        <w:rPr>
          <w:rFonts w:ascii="Consolas" w:hAnsi="Consolas" w:eastAsia="Consolas"/>
          <w:color w:val="8A1F3D"/>
          <w:sz w:val="19"/>
        </w:rPr>
        <w:t>/health</w:t>
      </w:r>
      <w:r>
        <w:t>, el frontend, el catálogo y un registro y login reales.</w:t>
      </w:r>
    </w:p>
    <w:p>
      <w:r>
        <w:rPr>
          <w:rFonts w:ascii="Consolas" w:hAnsi="Consolas" w:eastAsia="Consolas"/>
          <w:color w:val="8A1F3D"/>
          <w:sz w:val="19"/>
        </w:rPr>
        <w:t>.github/workflows/security-scan.yml</w:t>
      </w:r>
      <w:r>
        <w:t xml:space="preserve"> corre OWASP ZAP contra el servidor levantado y SonarCloud (con el secreto </w:t>
      </w:r>
      <w:r>
        <w:rPr>
          <w:rFonts w:ascii="Consolas" w:hAnsi="Consolas" w:eastAsia="Consolas"/>
          <w:color w:val="8A1F3D"/>
          <w:sz w:val="19"/>
        </w:rPr>
        <w:t>SONAR_TOKEN</w:t>
      </w:r>
      <w:r>
        <w:t xml:space="preserve">); este último job además exporta métricas, </w:t>
      </w:r>
      <w:r>
        <w:rPr>
          <w:i/>
        </w:rPr>
        <w:t>quality gate</w:t>
      </w:r>
      <w:r>
        <w:t xml:space="preserve"> y hallazgos como reporte.</w:t>
      </w:r>
    </w:p>
    <w:p>
      <w:pPr>
        <w:spacing w:after="60"/>
        <w:ind w:left="510" w:hanging="340"/>
      </w:pPr>
      <w:r>
        <w:t xml:space="preserve">5. </w:t>
      </w:r>
      <w:r>
        <w:rPr>
          <w:rFonts w:ascii="Consolas" w:hAnsi="Consolas" w:eastAsia="Consolas"/>
          <w:b/>
          <w:color w:val="8A1F3D"/>
          <w:sz w:val="19"/>
        </w:rPr>
        <w:t>deploy-hosting</w:t>
      </w:r>
      <w:r>
        <w:t xml:space="preserve">: si existe el secreto </w:t>
      </w:r>
      <w:r>
        <w:rPr>
          <w:rFonts w:ascii="Consolas" w:hAnsi="Consolas" w:eastAsia="Consolas"/>
          <w:color w:val="8A1F3D"/>
          <w:sz w:val="19"/>
        </w:rPr>
        <w:t>RENDER_DEPLOY_HOOK</w:t>
      </w:r>
      <w:r>
        <w:t>, dispara el despliegue en Render tras pasar todo lo anterior; sin el secreto se omite y el pipeline queda en verde.</w:t>
      </w:r>
    </w:p>
    <w:p>
      <w:r>
        <w:rPr>
          <w:b/>
        </w:rPr>
        <w:t>Una sola imagen, un solo servicio.</w:t>
      </w:r>
      <w:r>
        <w:t xml:space="preserve"> El backend sirve el frontend compilado en el mismo puerto (con caché inmutable para </w:t>
      </w:r>
      <w:r>
        <w:rPr>
          <w:rFonts w:ascii="Consolas" w:hAnsi="Consolas" w:eastAsia="Consolas"/>
          <w:color w:val="8A1F3D"/>
          <w:sz w:val="19"/>
        </w:rPr>
        <w:t>assets/</w:t>
      </w:r>
      <w:r>
        <w:t xml:space="preserve">, </w:t>
      </w:r>
      <w:r>
        <w:rPr>
          <w:rFonts w:ascii="Consolas" w:hAnsi="Consolas" w:eastAsia="Consolas"/>
          <w:color w:val="8A1F3D"/>
          <w:sz w:val="19"/>
        </w:rPr>
        <w:t>index.html</w:t>
      </w:r>
      <w:r>
        <w:t xml:space="preserve"> siempre revalidado y rutas del cliente que sobreviven a un refresco), por lo que desplegar es publicar una imagen: no hay CORS ni segundo servicio. Un solo comando en local (</w:t>
      </w:r>
      <w:r>
        <w:rPr>
          <w:rFonts w:ascii="Consolas" w:hAnsi="Consolas" w:eastAsia="Consolas"/>
          <w:color w:val="8A1F3D"/>
          <w:sz w:val="19"/>
        </w:rPr>
        <w:t>npm run setup &amp;&amp; npm run dev</w:t>
      </w:r>
      <w:r>
        <w:t>) y otro con Docker (</w:t>
      </w:r>
      <w:r>
        <w:rPr>
          <w:rFonts w:ascii="Consolas" w:hAnsi="Consolas" w:eastAsia="Consolas"/>
          <w:color w:val="8A1F3D"/>
          <w:sz w:val="19"/>
        </w:rPr>
        <w:t>docker compose up --build</w:t>
      </w:r>
      <w:r>
        <w:t xml:space="preserve">); </w:t>
      </w:r>
      <w:r>
        <w:rPr>
          <w:rFonts w:ascii="Consolas" w:hAnsi="Consolas" w:eastAsia="Consolas"/>
          <w:color w:val="8A1F3D"/>
          <w:sz w:val="19"/>
        </w:rPr>
        <w:t>render.yaml</w:t>
      </w:r>
      <w:r>
        <w:t xml:space="preserve"> y </w:t>
      </w:r>
      <w:r>
        <w:rPr>
          <w:rFonts w:ascii="Consolas" w:hAnsi="Consolas" w:eastAsia="Consolas"/>
          <w:color w:val="8A1F3D"/>
          <w:sz w:val="19"/>
        </w:rPr>
        <w:t>fly.toml</w:t>
      </w:r>
      <w:r>
        <w:t xml:space="preserve"> dejan listos dos hostings, y </w:t>
      </w:r>
      <w:r>
        <w:rPr>
          <w:rFonts w:ascii="Consolas" w:hAnsi="Consolas" w:eastAsia="Consolas"/>
          <w:color w:val="8A1F3D"/>
          <w:sz w:val="19"/>
        </w:rPr>
        <w:t>docs/despliegue.md</w:t>
      </w:r>
      <w:r>
        <w:t xml:space="preserve"> explica todo paso a paso. El administrador y los datos demo se crean desde variables de entorno, lo que permite arrancar en un hosting sin terminal.</w:t>
      </w:r>
    </w:p>
    <w:p>
      <w:pPr>
        <w:ind w:left="340"/>
        <w:pBdr>
          <w:left w:val="single" w:sz="18" w:space="8" w:color="0071E3"/>
        </w:pBdr>
      </w:pPr>
      <w:r>
        <w:rPr>
          <w:b/>
          <w:color w:val="55555A"/>
        </w:rPr>
        <w:t>Alcance:</w:t>
      </w:r>
      <w:r>
        <w:rPr>
          <w:color w:val="55555A"/>
        </w:rPr>
        <w:t xml:space="preserve"> el "entorno de prueba" del pipeline es efímero (vive lo que dura el job); el despliegue real a un hosting está configurado pero requiere la cuenta del autor. No hay Docker en la máquina de desarrollo, así que el </w:t>
      </w:r>
      <w:r>
        <w:rPr>
          <w:rFonts w:ascii="Consolas" w:hAnsi="Consolas" w:eastAsia="Consolas"/>
          <w:color w:val="8A1F3D"/>
          <w:sz w:val="19"/>
        </w:rPr>
        <w:t>docker build</w:t>
      </w:r>
      <w:r>
        <w:rPr>
          <w:color w:val="55555A"/>
        </w:rPr>
        <w:t xml:space="preserve"> real se confirma en CI; localmente se verificó cada capa de la imagen por separado.</w:t>
      </w:r>
    </w:p>
    <w:p>
      <w:r>
        <w:br w:type="page"/>
      </w:r>
    </w:p>
    <w:p>
      <w:pPr>
        <w:pStyle w:val="Heading1"/>
      </w:pPr>
      <w:r>
        <w:t>5. Pruebas y calidad</w:t>
      </w:r>
    </w:p>
    <w:p>
      <w:pPr>
        <w:pStyle w:val="Heading2"/>
      </w:pPr>
      <w:r>
        <w:t>5.1 Pruebas de seguridad</w:t>
      </w:r>
    </w:p>
    <w:p>
      <w:r>
        <w:t>Vías complementarias: OWASP ZAP baseline en CI, pruebas manuales dirigidas y revisión de código.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9CE"/>
          <w:left w:val="single" w:sz="4" w:color="C9C9CE"/>
          <w:bottom w:val="single" w:sz="4" w:color="C9C9CE"/>
          <w:right w:val="single" w:sz="4" w:color="C9C9CE"/>
          <w:insideH w:val="single" w:sz="4" w:color="C9C9CE"/>
          <w:insideV w:val="single" w:sz="4" w:color="C9C9CE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cantSplit w:val="true"/>
          <w:tblHeader w:val="true"/>
        </w:trPr>
        <w:tc>
          <w:tcPr>
            <w:tcW w:type="dxa" w:w="280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799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1073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2799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Corrección</w:t>
            </w:r>
          </w:p>
        </w:tc>
        <w:tc>
          <w:tcPr>
            <w:tcW w:type="dxa" w:w="2799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>
        <w:trPr>
          <w:cantSplit w:val="true"/>
        </w:trPr>
        <w:tc>
          <w:tcPr>
            <w:tcW w:type="dxa" w:w="280"/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XSS almacenado: </w:t>
            </w:r>
            <w:r>
              <w:rPr>
                <w:rFonts w:ascii="Consolas" w:hAnsi="Consolas" w:eastAsia="Consolas"/>
                <w:color w:val="8A1F3D"/>
                <w:sz w:val="16"/>
              </w:rPr>
              <w:t>&lt;script&gt;</w:t>
            </w:r>
            <w:r>
              <w:rPr>
                <w:sz w:val="18"/>
              </w:rPr>
              <w:t xml:space="preserve"> se guardaba tal cual en </w:t>
            </w:r>
            <w:r>
              <w:rPr>
                <w:rFonts w:ascii="Consolas" w:hAnsi="Consolas" w:eastAsia="Consolas"/>
                <w:color w:val="8A1F3D"/>
                <w:sz w:val="16"/>
              </w:rPr>
              <w:t>name</w:t>
            </w:r>
          </w:p>
        </w:tc>
        <w:tc>
          <w:tcPr>
            <w:tcW w:type="dxa" w:w="1073"/>
          </w:tcPr>
          <w:p>
            <w:pPr>
              <w:spacing w:after="40" w:line="240" w:lineRule="auto"/>
            </w:pPr>
            <w:r>
              <w:rPr>
                <w:sz w:val="18"/>
              </w:rPr>
              <w:t>Prueba manual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Regla en </w:t>
            </w:r>
            <w:r>
              <w:rPr>
                <w:rFonts w:ascii="Consolas" w:hAnsi="Consolas" w:eastAsia="Consolas"/>
                <w:color w:val="8A1F3D"/>
                <w:sz w:val="16"/>
              </w:rPr>
              <w:t>zod</w:t>
            </w:r>
            <w:r>
              <w:rPr>
                <w:sz w:val="18"/>
              </w:rPr>
              <w:t xml:space="preserve"> que rechaza </w:t>
            </w:r>
            <w:r>
              <w:rPr>
                <w:rFonts w:ascii="Consolas" w:hAnsi="Consolas" w:eastAsia="Consolas"/>
                <w:color w:val="8A1F3D"/>
                <w:sz w:val="16"/>
              </w:rPr>
              <w:t>&lt;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color w:val="8A1F3D"/>
                <w:sz w:val="16"/>
              </w:rPr>
              <w:t>&gt;</w:t>
            </w:r>
            <w:r>
              <w:rPr>
                <w:sz w:val="18"/>
              </w:rPr>
              <w:t xml:space="preserve"> (y la misma regla en el frontend)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>Prueba de regresión</w:t>
            </w:r>
          </w:p>
        </w:tc>
      </w:tr>
      <w:tr>
        <w:trPr>
          <w:cantSplit w:val="true"/>
        </w:trPr>
        <w:tc>
          <w:tcPr>
            <w:tcW w:type="dxa" w:w="280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6"/>
              </w:rPr>
              <w:t>Access-Control-Allow-Origin: *</w:t>
            </w:r>
            <w:r>
              <w:rPr>
                <w:sz w:val="18"/>
              </w:rPr>
              <w:t xml:space="preserve"> (ZAP: </w:t>
            </w:r>
            <w:r>
              <w:rPr>
                <w:i/>
                <w:sz w:val="18"/>
              </w:rPr>
              <w:t>Cross-Domain Misconfiguration</w:t>
            </w:r>
            <w:r>
              <w:rPr>
                <w:sz w:val="18"/>
              </w:rPr>
              <w:t>)</w:t>
            </w:r>
          </w:p>
        </w:tc>
        <w:tc>
          <w:tcPr>
            <w:tcW w:type="dxa" w:w="1073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ZAP, corrida real de CI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Lista blanca de orígenes; nunca </w:t>
            </w:r>
            <w:r>
              <w:rPr>
                <w:rFonts w:ascii="Consolas" w:hAnsi="Consolas" w:eastAsia="Consolas"/>
                <w:color w:val="8A1F3D"/>
                <w:sz w:val="16"/>
              </w:rPr>
              <w:t>*</w:t>
            </w:r>
            <w:r>
              <w:rPr>
                <w:sz w:val="18"/>
              </w:rPr>
              <w:t>; en producción sin configuración no se permite ningún origen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6"/>
              </w:rPr>
              <w:t>hardening.test.js</w:t>
            </w:r>
          </w:p>
        </w:tc>
      </w:tr>
      <w:tr>
        <w:trPr>
          <w:cantSplit w:val="true"/>
        </w:trPr>
        <w:tc>
          <w:tcPr>
            <w:tcW w:type="dxa" w:w="280"/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Respuestas almacenables en caché (ZAP: </w:t>
            </w:r>
            <w:r>
              <w:rPr>
                <w:i/>
                <w:sz w:val="18"/>
              </w:rPr>
              <w:t>Storable and Cacheable Content</w:t>
            </w:r>
            <w:r>
              <w:rPr>
                <w:sz w:val="18"/>
              </w:rPr>
              <w:t>)</w:t>
            </w:r>
          </w:p>
        </w:tc>
        <w:tc>
          <w:tcPr>
            <w:tcW w:type="dxa" w:w="1073"/>
          </w:tcPr>
          <w:p>
            <w:pPr>
              <w:spacing w:after="40" w:line="240" w:lineRule="auto"/>
            </w:pPr>
            <w:r>
              <w:rPr>
                <w:sz w:val="18"/>
              </w:rPr>
              <w:t>ZAP, corrida real de CI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6"/>
              </w:rPr>
              <w:t>Cache-Control: no-store</w:t>
            </w:r>
            <w:r>
              <w:rPr>
                <w:sz w:val="18"/>
              </w:rPr>
              <w:t xml:space="preserve"> global (incluye 404) y ETag desactivado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6"/>
              </w:rPr>
              <w:t>hardening.test.js</w:t>
            </w:r>
          </w:p>
        </w:tc>
      </w:tr>
      <w:tr>
        <w:trPr>
          <w:cantSplit w:val="true"/>
        </w:trPr>
        <w:tc>
          <w:tcPr>
            <w:tcW w:type="dxa" w:w="280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Algoritmo del JWT sin fijar (riesgo de confusión de algoritmo / </w:t>
            </w:r>
            <w:r>
              <w:rPr>
                <w:rFonts w:ascii="Consolas" w:hAnsi="Consolas" w:eastAsia="Consolas"/>
                <w:color w:val="8A1F3D"/>
                <w:sz w:val="16"/>
              </w:rPr>
              <w:t>alg: none</w:t>
            </w:r>
            <w:r>
              <w:rPr>
                <w:sz w:val="18"/>
              </w:rPr>
              <w:t>)</w:t>
            </w:r>
          </w:p>
        </w:tc>
        <w:tc>
          <w:tcPr>
            <w:tcW w:type="dxa" w:w="1073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Revisión de código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6"/>
              </w:rPr>
              <w:t>algorithms: ['HS256']</w:t>
            </w:r>
            <w:r>
              <w:rPr>
                <w:sz w:val="18"/>
              </w:rPr>
              <w:t xml:space="preserve"> al verificar y al firmar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Pruebas con HS512, </w:t>
            </w:r>
            <w:r>
              <w:rPr>
                <w:rFonts w:ascii="Consolas" w:hAnsi="Consolas" w:eastAsia="Consolas"/>
                <w:color w:val="8A1F3D"/>
                <w:sz w:val="16"/>
              </w:rPr>
              <w:t>none</w:t>
            </w:r>
            <w:r>
              <w:rPr>
                <w:sz w:val="18"/>
              </w:rPr>
              <w:t>, expirado y otro secreto</w:t>
            </w:r>
          </w:p>
        </w:tc>
      </w:tr>
      <w:tr>
        <w:trPr>
          <w:cantSplit w:val="true"/>
        </w:trPr>
        <w:tc>
          <w:tcPr>
            <w:tcW w:type="dxa" w:w="280"/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>Enumeración de cuentas por tiempo de respuesta (correo inexistente respondía más rápido)</w:t>
            </w:r>
          </w:p>
        </w:tc>
        <w:tc>
          <w:tcPr>
            <w:tcW w:type="dxa" w:w="1073"/>
          </w:tcPr>
          <w:p>
            <w:pPr>
              <w:spacing w:after="40" w:line="240" w:lineRule="auto"/>
            </w:pPr>
            <w:r>
              <w:rPr>
                <w:sz w:val="18"/>
              </w:rPr>
              <w:t>Revisión de código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>Se compara contra un hash señuelo cuando el correo no existe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>Prueba de respuesta idéntica</w:t>
            </w:r>
          </w:p>
        </w:tc>
      </w:tr>
      <w:tr>
        <w:trPr>
          <w:cantSplit w:val="true"/>
        </w:trPr>
        <w:tc>
          <w:tcPr>
            <w:tcW w:type="dxa" w:w="280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JSON mal formado devolvía 500</w:t>
            </w:r>
          </w:p>
        </w:tc>
        <w:tc>
          <w:tcPr>
            <w:tcW w:type="dxa" w:w="1073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Prueba manual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400 (y 413 para cuerpos grandes); el 500 nunca expone detalles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6"/>
              </w:rPr>
              <w:t>hardening.test.js</w:t>
            </w:r>
          </w:p>
        </w:tc>
      </w:tr>
      <w:tr>
        <w:trPr>
          <w:cantSplit w:val="true"/>
        </w:trPr>
        <w:tc>
          <w:tcPr>
            <w:tcW w:type="dxa" w:w="280"/>
          </w:tcPr>
          <w:p>
            <w:pPr>
              <w:spacing w:after="4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>bcrypt síncrono bloqueaba el event loop</w:t>
            </w:r>
          </w:p>
        </w:tc>
        <w:tc>
          <w:tcPr>
            <w:tcW w:type="dxa" w:w="1073"/>
          </w:tcPr>
          <w:p>
            <w:pPr>
              <w:spacing w:after="40" w:line="240" w:lineRule="auto"/>
            </w:pPr>
            <w:r>
              <w:rPr>
                <w:sz w:val="18"/>
              </w:rPr>
              <w:t>Revisión de código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6"/>
              </w:rPr>
              <w:t>bcrypt.hash/compare</w:t>
            </w:r>
            <w:r>
              <w:rPr>
                <w:sz w:val="18"/>
              </w:rPr>
              <w:t xml:space="preserve"> asíncronos + </w:t>
            </w:r>
            <w:r>
              <w:rPr>
                <w:rFonts w:ascii="Consolas" w:hAnsi="Consolas" w:eastAsia="Consolas"/>
                <w:color w:val="8A1F3D"/>
                <w:sz w:val="16"/>
              </w:rPr>
              <w:t>asyncHandler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>Suite completa</w:t>
            </w:r>
          </w:p>
        </w:tc>
      </w:tr>
      <w:tr>
        <w:trPr>
          <w:cantSplit w:val="true"/>
        </w:trPr>
        <w:tc>
          <w:tcPr>
            <w:tcW w:type="dxa" w:w="280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SQLi en </w:t>
            </w:r>
            <w:r>
              <w:rPr>
                <w:rFonts w:ascii="Consolas" w:hAnsi="Consolas" w:eastAsia="Consolas"/>
                <w:color w:val="8A1F3D"/>
                <w:sz w:val="16"/>
              </w:rPr>
              <w:t>email</w:t>
            </w:r>
            <w:r>
              <w:rPr>
                <w:sz w:val="18"/>
              </w:rPr>
              <w:t xml:space="preserve"> (registro/login)</w:t>
            </w:r>
          </w:p>
        </w:tc>
        <w:tc>
          <w:tcPr>
            <w:tcW w:type="dxa" w:w="1073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Prueba manual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Ya seguro por diseño (</w:t>
            </w:r>
            <w:r>
              <w:rPr>
                <w:rFonts w:ascii="Consolas" w:hAnsi="Consolas" w:eastAsia="Consolas"/>
                <w:color w:val="8A1F3D"/>
                <w:sz w:val="16"/>
              </w:rPr>
              <w:t>zod</w:t>
            </w:r>
            <w:r>
              <w:rPr>
                <w:sz w:val="18"/>
              </w:rPr>
              <w:t xml:space="preserve"> + consultas parametrizadas)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Prueba de regresión</w:t>
            </w:r>
          </w:p>
        </w:tc>
      </w:tr>
      <w:tr>
        <w:trPr>
          <w:cantSplit w:val="true"/>
        </w:trPr>
        <w:tc>
          <w:tcPr>
            <w:tcW w:type="dxa" w:w="280"/>
          </w:tcPr>
          <w:p>
            <w:pPr>
              <w:spacing w:after="4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>Cabeceras de seguridad</w:t>
            </w:r>
          </w:p>
        </w:tc>
        <w:tc>
          <w:tcPr>
            <w:tcW w:type="dxa" w:w="1073"/>
          </w:tcPr>
          <w:p>
            <w:pPr>
              <w:spacing w:after="40" w:line="240" w:lineRule="auto"/>
            </w:pPr>
            <w:r>
              <w:rPr>
                <w:sz w:val="18"/>
              </w:rPr>
              <w:t>Prueba manual + ZAP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6"/>
              </w:rPr>
              <w:t>helmet</w:t>
            </w:r>
            <w:r>
              <w:rPr>
                <w:sz w:val="18"/>
              </w:rPr>
              <w:t xml:space="preserve"> correcto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>Confirmado</w:t>
            </w:r>
          </w:p>
        </w:tc>
      </w:tr>
      <w:tr>
        <w:trPr>
          <w:cantSplit w:val="true"/>
        </w:trPr>
        <w:tc>
          <w:tcPr>
            <w:tcW w:type="dxa" w:w="280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Referencia directa insegura (IDOR): una concesionaria podría editar, cambiar de estado o borrar autos de otra cambiando el </w:t>
            </w:r>
            <w:r>
              <w:rPr>
                <w:rFonts w:ascii="Consolas" w:hAnsi="Consolas" w:eastAsia="Consolas"/>
                <w:color w:val="8A1F3D"/>
                <w:sz w:val="16"/>
              </w:rPr>
              <w:t>:id</w:t>
            </w:r>
          </w:p>
        </w:tc>
        <w:tc>
          <w:tcPr>
            <w:tcW w:type="dxa" w:w="1073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Diseño del catálogo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Se carga el vehículo y se compara su dueña con el token en cada operación de escritura; el admin puede moderar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Pruebas de 403 en PUT, PATCH y DELETE y de que el auto queda intacto</w:t>
            </w:r>
          </w:p>
        </w:tc>
      </w:tr>
      <w:tr>
        <w:trPr>
          <w:cantSplit w:val="true"/>
        </w:trPr>
        <w:tc>
          <w:tcPr>
            <w:tcW w:type="dxa" w:w="280"/>
          </w:tcPr>
          <w:p>
            <w:pPr>
              <w:spacing w:after="4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>Escrituras sin límite: una cuenta podía publicar sin tope y a cualquier frecuencia (inflar la base y el catálogo)</w:t>
            </w:r>
          </w:p>
        </w:tc>
        <w:tc>
          <w:tcPr>
            <w:tcW w:type="dxa" w:w="1073"/>
          </w:tcPr>
          <w:p>
            <w:pPr>
              <w:spacing w:after="40" w:line="240" w:lineRule="auto"/>
            </w:pPr>
            <w:r>
              <w:rPr>
                <w:sz w:val="18"/>
              </w:rPr>
              <w:t>Revisión de diseño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>Máximo de 500 vehículos por concesionaria (409) y límite de frecuencia sobre POST/PUT/PATCH/DELETE del catálogo (429)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6"/>
              </w:rPr>
              <w:t>deploy.test.js</w:t>
            </w:r>
          </w:p>
        </w:tc>
      </w:tr>
      <w:tr>
        <w:trPr>
          <w:cantSplit w:val="true"/>
        </w:trPr>
        <w:tc>
          <w:tcPr>
            <w:tcW w:type="dxa" w:w="280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Datos demo con contraseña conocida (</w:t>
            </w:r>
            <w:r>
              <w:rPr>
                <w:rFonts w:ascii="Consolas" w:hAnsi="Consolas" w:eastAsia="Consolas"/>
                <w:color w:val="8A1F3D"/>
                <w:sz w:val="16"/>
              </w:rPr>
              <w:t>demo-password-123</w:t>
            </w:r>
            <w:r>
              <w:rPr>
                <w:sz w:val="18"/>
              </w:rPr>
              <w:t>) habrían llegado a un despliegue público</w:t>
            </w:r>
          </w:p>
        </w:tc>
        <w:tc>
          <w:tcPr>
            <w:tcW w:type="dxa" w:w="1073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>Revisión de despliegue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Sin </w:t>
            </w:r>
            <w:r>
              <w:rPr>
                <w:rFonts w:ascii="Consolas" w:hAnsi="Consolas" w:eastAsia="Consolas"/>
                <w:color w:val="8A1F3D"/>
                <w:sz w:val="16"/>
              </w:rPr>
              <w:t>DEMO_PASSWORD</w:t>
            </w:r>
            <w:r>
              <w:rPr>
                <w:sz w:val="18"/>
              </w:rPr>
              <w:t xml:space="preserve"> las cuentas demo se crean con una contraseña aleatoria imposible de adivinar; el pipeline verifica que un login con la contraseña conocida devuelve 401</w:t>
            </w:r>
          </w:p>
        </w:tc>
        <w:tc>
          <w:tcPr>
            <w:tcW w:type="dxa" w:w="2799"/>
            <w:shd w:val="clear" w:color="auto" w:fill="F5F5F7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6"/>
              </w:rPr>
              <w:t>deploy.test.js</w:t>
            </w:r>
            <w:r>
              <w:rPr>
                <w:sz w:val="18"/>
              </w:rPr>
              <w:t xml:space="preserve"> y prueba de humo de CI</w:t>
            </w:r>
          </w:p>
        </w:tc>
      </w:tr>
      <w:tr>
        <w:trPr>
          <w:cantSplit w:val="true"/>
        </w:trPr>
        <w:tc>
          <w:tcPr>
            <w:tcW w:type="dxa" w:w="280"/>
          </w:tcPr>
          <w:p>
            <w:pPr>
              <w:spacing w:after="4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Comodines </w:t>
            </w:r>
            <w:r>
              <w:rPr>
                <w:rFonts w:ascii="Consolas" w:hAnsi="Consolas" w:eastAsia="Consolas"/>
                <w:color w:val="8A1F3D"/>
                <w:sz w:val="16"/>
              </w:rPr>
              <w:t>%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8A1F3D"/>
                <w:sz w:val="16"/>
              </w:rPr>
              <w:t>_</w:t>
            </w:r>
            <w:r>
              <w:rPr>
                <w:sz w:val="18"/>
              </w:rPr>
              <w:t xml:space="preserve"> en la búsqueda del catálogo y </w:t>
            </w:r>
            <w:r>
              <w:rPr>
                <w:rFonts w:ascii="Consolas" w:hAnsi="Consolas" w:eastAsia="Consolas"/>
                <w:color w:val="8A1F3D"/>
                <w:sz w:val="16"/>
              </w:rPr>
              <w:t>ORDER BY</w:t>
            </w:r>
            <w:r>
              <w:rPr>
                <w:sz w:val="18"/>
              </w:rPr>
              <w:t xml:space="preserve"> con entrada del usuario</w:t>
            </w:r>
          </w:p>
        </w:tc>
        <w:tc>
          <w:tcPr>
            <w:tcW w:type="dxa" w:w="1073"/>
          </w:tcPr>
          <w:p>
            <w:pPr>
              <w:spacing w:after="40" w:line="240" w:lineRule="auto"/>
            </w:pPr>
            <w:r>
              <w:rPr>
                <w:sz w:val="18"/>
              </w:rPr>
              <w:t>Diseño del catálogo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>Se escapan los comodines; el orden solo elige entre fragmentos SQL fijos</w:t>
            </w:r>
          </w:p>
        </w:tc>
        <w:tc>
          <w:tcPr>
            <w:tcW w:type="dxa" w:w="2799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Pruebas de búsqueda con </w:t>
            </w:r>
            <w:r>
              <w:rPr>
                <w:rFonts w:ascii="Consolas" w:hAnsi="Consolas" w:eastAsia="Consolas"/>
                <w:color w:val="8A1F3D"/>
                <w:sz w:val="16"/>
              </w:rPr>
              <w:t>%</w:t>
            </w:r>
            <w:r>
              <w:rPr>
                <w:sz w:val="18"/>
              </w:rPr>
              <w:t xml:space="preserve"> y con inyección SQL, y de orden inválido → 400</w:t>
            </w:r>
          </w:p>
        </w:tc>
      </w:tr>
    </w:tbl>
    <w:p>
      <w:pPr>
        <w:spacing w:after="40"/>
      </w:pPr>
    </w:p>
    <w:p>
      <w:r>
        <w:rPr>
          <w:b/>
        </w:rPr>
        <w:t>Estado de ZAP:</w:t>
      </w:r>
      <w:r>
        <w:t xml:space="preserve"> la corrida baseline previa a las correcciones reportó 65 reglas superadas y 2 advertencias (las de los hallazgos 2 y 3); se abrió automáticamente el issue de GitHub </w:t>
      </w:r>
      <w:r>
        <w:rPr>
          <w:i/>
        </w:rPr>
        <w:t>"ZAP Scan Baseline Report"</w:t>
      </w:r>
      <w:r>
        <w:t>. Tras las correcciones, una advertencia adicional (</w:t>
      </w:r>
      <w:r>
        <w:rPr>
          <w:i/>
        </w:rPr>
        <w:t>Non-Storable Content</w:t>
      </w:r>
      <w:r>
        <w:t xml:space="preserve">) era la consecuencia esperada de </w:t>
      </w:r>
      <w:r>
        <w:rPr>
          <w:rFonts w:ascii="Consolas" w:hAnsi="Consolas" w:eastAsia="Consolas"/>
          <w:color w:val="8A1F3D"/>
          <w:sz w:val="19"/>
        </w:rPr>
        <w:t>Cache-Control: no-store</w:t>
      </w:r>
      <w:r>
        <w:t xml:space="preserve"> y se registró como decisión de diseño en </w:t>
      </w:r>
      <w:r>
        <w:rPr>
          <w:rFonts w:ascii="Consolas" w:hAnsi="Consolas" w:eastAsia="Consolas"/>
          <w:color w:val="8A1F3D"/>
          <w:sz w:val="19"/>
        </w:rPr>
        <w:t>.zap/rules.tsv</w:t>
      </w:r>
      <w:r>
        <w:t xml:space="preserve">. La corrida final reporta </w:t>
      </w:r>
      <w:r>
        <w:rPr>
          <w:b/>
        </w:rPr>
        <w:t>0 fallos, 0 advertencias, 66 reglas superadas y 1 ignorada</w:t>
      </w:r>
      <w:r>
        <w:t>, y el issue se cerró solo (</w:t>
      </w:r>
      <w:r>
        <w:rPr>
          <w:i/>
        </w:rPr>
        <w:t>"All the alerts have been resolved"</w:t>
      </w:r>
      <w:r>
        <w:t xml:space="preserve">). Reporte: </w:t>
      </w:r>
      <w:r>
        <w:rPr>
          <w:rFonts w:ascii="Consolas" w:hAnsi="Consolas" w:eastAsia="Consolas"/>
          <w:color w:val="8A1F3D"/>
          <w:sz w:val="19"/>
        </w:rPr>
        <w:t>docs/reportes/zap-baseline-final.txt</w:t>
      </w:r>
      <w:r>
        <w:t>.</w:t>
      </w:r>
    </w:p>
    <w:p>
      <w:r>
        <w:rPr>
          <w:b/>
        </w:rPr>
        <w:t>Riesgo aceptado y documentado:</w:t>
      </w:r>
      <w:r>
        <w:t xml:space="preserve"> el JWT se guarda en </w:t>
      </w:r>
      <w:r>
        <w:rPr>
          <w:rFonts w:ascii="Consolas" w:hAnsi="Consolas" w:eastAsia="Consolas"/>
          <w:color w:val="8A1F3D"/>
          <w:sz w:val="19"/>
        </w:rPr>
        <w:t>localStorage</w:t>
      </w:r>
      <w:r>
        <w:t xml:space="preserve"> (legible por cualquier script de la página). Es el patrón habitual de una SPA con API sin estado; se mitiga con la validación anti-XSS de entrada y el escapado por defecto de React, y su migración a cookie </w:t>
      </w:r>
      <w:r>
        <w:rPr>
          <w:rFonts w:ascii="Consolas" w:hAnsi="Consolas" w:eastAsia="Consolas"/>
          <w:color w:val="8A1F3D"/>
          <w:sz w:val="19"/>
        </w:rPr>
        <w:t>httpOnly</w:t>
      </w:r>
      <w:r>
        <w:t xml:space="preserve"> (con protección CSRF) está en el plan de mejora.</w:t>
      </w:r>
    </w:p>
    <w:p>
      <w:pPr>
        <w:pStyle w:val="Heading2"/>
      </w:pPr>
      <w:r>
        <w:t>5.2 Calidad de código y métricas</w:t>
      </w:r>
    </w:p>
    <w:p>
      <w:r>
        <w:t xml:space="preserve">El análisis oficial se hace con </w:t>
      </w:r>
      <w:r>
        <w:rPr>
          <w:b/>
        </w:rPr>
        <w:t>SonarCloud</w:t>
      </w:r>
      <w:r>
        <w:t xml:space="preserve"> (la versión en la nube de SonarQube) sobre backend y frontend (4 616 líneas de código), integrado al workflow </w:t>
      </w:r>
      <w:r>
        <w:rPr>
          <w:rFonts w:ascii="Consolas" w:hAnsi="Consolas" w:eastAsia="Consolas"/>
          <w:color w:val="8A1F3D"/>
          <w:sz w:val="19"/>
        </w:rPr>
        <w:t>security-scan.yml</w:t>
      </w:r>
      <w:r>
        <w:t xml:space="preserve">. El job exporta las métricas, el resultado del </w:t>
      </w:r>
      <w:r>
        <w:rPr>
          <w:i/>
        </w:rPr>
        <w:t>quality gate</w:t>
      </w:r>
      <w:r>
        <w:t xml:space="preserve"> y los hallazgos abiertos a </w:t>
      </w:r>
      <w:r>
        <w:rPr>
          <w:rFonts w:ascii="Consolas" w:hAnsi="Consolas" w:eastAsia="Consolas"/>
          <w:color w:val="8A1F3D"/>
          <w:sz w:val="19"/>
        </w:rPr>
        <w:t>docs/reportes/sonarcloud/</w:t>
      </w:r>
      <w:r>
        <w:t xml:space="preserve"> y como artefacto de cada corrida.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9CE"/>
          <w:left w:val="single" w:sz="4" w:color="C9C9CE"/>
          <w:bottom w:val="single" w:sz="4" w:color="C9C9CE"/>
          <w:right w:val="single" w:sz="4" w:color="C9C9CE"/>
          <w:insideH w:val="single" w:sz="4" w:color="C9C9CE"/>
          <w:insideV w:val="single" w:sz="4" w:color="C9C9CE"/>
        </w:tblBorders>
      </w:tblPr>
      <w:tblGrid>
        <w:gridCol w:w="3249"/>
        <w:gridCol w:w="3249"/>
        <w:gridCol w:w="3249"/>
      </w:tblGrid>
      <w:tr>
        <w:trPr>
          <w:cantSplit w:val="true"/>
          <w:tblHeader w:val="true"/>
        </w:trPr>
        <w:tc>
          <w:tcPr>
            <w:tcW w:type="dxa" w:w="4465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Métrica de SonarCloud</w:t>
            </w:r>
          </w:p>
        </w:tc>
        <w:tc>
          <w:tcPr>
            <w:tcW w:type="dxa" w:w="2734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Primer análisis</w:t>
            </w:r>
          </w:p>
        </w:tc>
        <w:tc>
          <w:tcPr>
            <w:tcW w:type="dxa" w:w="2552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Tras corregir</w:t>
            </w:r>
          </w:p>
        </w:tc>
      </w:tr>
      <w:tr>
        <w:trPr>
          <w:cantSplit w:val="true"/>
        </w:trPr>
        <w:tc>
          <w:tcPr>
            <w:tcW w:type="dxa" w:w="4465"/>
          </w:tcPr>
          <w:p>
            <w:pPr>
              <w:spacing w:after="40" w:line="240" w:lineRule="auto"/>
            </w:pPr>
            <w:r>
              <w:rPr>
                <w:sz w:val="19"/>
              </w:rPr>
              <w:t>Quality gate (</w:t>
            </w:r>
            <w:r>
              <w:rPr>
                <w:i/>
                <w:sz w:val="19"/>
              </w:rPr>
              <w:t>Sonar way</w:t>
            </w:r>
            <w:r>
              <w:rPr>
                <w:sz w:val="19"/>
              </w:rPr>
              <w:t>)</w:t>
            </w:r>
          </w:p>
        </w:tc>
        <w:tc>
          <w:tcPr>
            <w:tcW w:type="dxa" w:w="2734"/>
          </w:tcPr>
          <w:p>
            <w:pPr>
              <w:spacing w:after="40" w:line="240" w:lineRule="auto"/>
            </w:pPr>
            <w:r>
              <w:rPr>
                <w:sz w:val="19"/>
              </w:rPr>
              <w:t>Sin calcular (primera corrida)</w:t>
            </w:r>
          </w:p>
        </w:tc>
        <w:tc>
          <w:tcPr>
            <w:tcW w:type="dxa" w:w="2552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Aprobado (OK)</w:t>
            </w:r>
          </w:p>
        </w:tc>
      </w:tr>
      <w:tr>
        <w:trPr>
          <w:cantSplit w:val="true"/>
        </w:trPr>
        <w:tc>
          <w:tcPr>
            <w:tcW w:type="dxa" w:w="4465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Bugs</w:t>
            </w:r>
          </w:p>
        </w:tc>
        <w:tc>
          <w:tcPr>
            <w:tcW w:type="dxa" w:w="273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0</w:t>
            </w:r>
          </w:p>
        </w:tc>
        <w:tc>
          <w:tcPr>
            <w:tcW w:type="dxa" w:w="2552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4465"/>
          </w:tcPr>
          <w:p>
            <w:pPr>
              <w:spacing w:after="40" w:line="240" w:lineRule="auto"/>
            </w:pPr>
            <w:r>
              <w:rPr>
                <w:sz w:val="19"/>
              </w:rPr>
              <w:t>Vulnerabilidades</w:t>
            </w:r>
          </w:p>
        </w:tc>
        <w:tc>
          <w:tcPr>
            <w:tcW w:type="dxa" w:w="2734"/>
          </w:tcPr>
          <w:p>
            <w:pPr>
              <w:spacing w:after="40" w:line="240" w:lineRule="auto"/>
            </w:pPr>
            <w:r>
              <w:rPr>
                <w:sz w:val="19"/>
              </w:rPr>
              <w:t>0</w:t>
            </w:r>
          </w:p>
        </w:tc>
        <w:tc>
          <w:tcPr>
            <w:tcW w:type="dxa" w:w="2552"/>
          </w:tcPr>
          <w:p>
            <w:pPr>
              <w:spacing w:after="40" w:line="240" w:lineRule="auto"/>
            </w:pPr>
            <w:r>
              <w:rPr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4465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Security hotspots</w:t>
            </w:r>
          </w:p>
        </w:tc>
        <w:tc>
          <w:tcPr>
            <w:tcW w:type="dxa" w:w="273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0</w:t>
            </w:r>
          </w:p>
        </w:tc>
        <w:tc>
          <w:tcPr>
            <w:tcW w:type="dxa" w:w="2552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446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Code smells</w:t>
            </w:r>
          </w:p>
        </w:tc>
        <w:tc>
          <w:tcPr>
            <w:tcW w:type="dxa" w:w="2734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552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4465"/>
            <w:shd w:val="clear" w:color="auto" w:fill="F5F5F7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Deuda técnica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 w:eastAsia="Consolas"/>
                <w:color w:val="8A1F3D"/>
                <w:sz w:val="17"/>
              </w:rPr>
              <w:t>sqale_index</w:t>
            </w:r>
            <w:r>
              <w:rPr>
                <w:sz w:val="19"/>
              </w:rPr>
              <w:t>)</w:t>
            </w:r>
          </w:p>
        </w:tc>
        <w:tc>
          <w:tcPr>
            <w:tcW w:type="dxa" w:w="2734"/>
            <w:shd w:val="clear" w:color="auto" w:fill="F5F5F7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25 min</w:t>
            </w:r>
          </w:p>
        </w:tc>
        <w:tc>
          <w:tcPr>
            <w:tcW w:type="dxa" w:w="2552"/>
            <w:shd w:val="clear" w:color="auto" w:fill="F5F5F7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0 min</w:t>
            </w:r>
          </w:p>
        </w:tc>
      </w:tr>
      <w:tr>
        <w:trPr>
          <w:cantSplit w:val="true"/>
        </w:trPr>
        <w:tc>
          <w:tcPr>
            <w:tcW w:type="dxa" w:w="4465"/>
          </w:tcPr>
          <w:p>
            <w:pPr>
              <w:spacing w:after="40" w:line="240" w:lineRule="auto"/>
            </w:pPr>
            <w:r>
              <w:rPr>
                <w:sz w:val="19"/>
              </w:rPr>
              <w:t>Ratings de seguridad, fiabilidad y mantenibilidad</w:t>
            </w:r>
          </w:p>
        </w:tc>
        <w:tc>
          <w:tcPr>
            <w:tcW w:type="dxa" w:w="2734"/>
          </w:tcPr>
          <w:p>
            <w:pPr>
              <w:spacing w:after="40" w:line="240" w:lineRule="auto"/>
            </w:pPr>
            <w:r>
              <w:rPr>
                <w:sz w:val="19"/>
              </w:rPr>
              <w:t>A / A / A</w:t>
            </w:r>
          </w:p>
        </w:tc>
        <w:tc>
          <w:tcPr>
            <w:tcW w:type="dxa" w:w="2552"/>
          </w:tcPr>
          <w:p>
            <w:pPr>
              <w:spacing w:after="40" w:line="240" w:lineRule="auto"/>
            </w:pPr>
            <w:r>
              <w:rPr>
                <w:sz w:val="19"/>
              </w:rPr>
              <w:t>A / A / A</w:t>
            </w:r>
          </w:p>
        </w:tc>
      </w:tr>
      <w:tr>
        <w:trPr>
          <w:cantSplit w:val="true"/>
        </w:trPr>
        <w:tc>
          <w:tcPr>
            <w:tcW w:type="dxa" w:w="4465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Cobertura</w:t>
            </w:r>
          </w:p>
        </w:tc>
        <w:tc>
          <w:tcPr>
            <w:tcW w:type="dxa" w:w="273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93.6 %</w:t>
            </w:r>
          </w:p>
        </w:tc>
        <w:tc>
          <w:tcPr>
            <w:tcW w:type="dxa" w:w="2552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93.6 % (código nuevo: 100 %)</w:t>
            </w:r>
          </w:p>
        </w:tc>
      </w:tr>
      <w:tr>
        <w:trPr>
          <w:cantSplit w:val="true"/>
        </w:trPr>
        <w:tc>
          <w:tcPr>
            <w:tcW w:type="dxa" w:w="4465"/>
          </w:tcPr>
          <w:p>
            <w:pPr>
              <w:spacing w:after="40" w:line="240" w:lineRule="auto"/>
            </w:pPr>
            <w:r>
              <w:rPr>
                <w:sz w:val="19"/>
              </w:rPr>
              <w:t>Duplicación</w:t>
            </w:r>
          </w:p>
        </w:tc>
        <w:tc>
          <w:tcPr>
            <w:tcW w:type="dxa" w:w="2734"/>
          </w:tcPr>
          <w:p>
            <w:pPr>
              <w:spacing w:after="40" w:line="240" w:lineRule="auto"/>
            </w:pPr>
            <w:r>
              <w:rPr>
                <w:sz w:val="19"/>
              </w:rPr>
              <w:t>0.0 %</w:t>
            </w:r>
          </w:p>
        </w:tc>
        <w:tc>
          <w:tcPr>
            <w:tcW w:type="dxa" w:w="2552"/>
          </w:tcPr>
          <w:p>
            <w:pPr>
              <w:spacing w:after="40" w:line="240" w:lineRule="auto"/>
            </w:pPr>
            <w:r>
              <w:rPr>
                <w:sz w:val="19"/>
              </w:rPr>
              <w:t>0.0 %</w:t>
            </w:r>
          </w:p>
        </w:tc>
      </w:tr>
    </w:tbl>
    <w:p>
      <w:pPr>
        <w:spacing w:after="40"/>
      </w:pPr>
    </w:p>
    <w:p>
      <w:r>
        <w:t xml:space="preserve">Los dos </w:t>
      </w:r>
      <w:r>
        <w:rPr>
          <w:i/>
        </w:rPr>
        <w:t>code smells</w:t>
      </w:r>
      <w:r>
        <w:t xml:space="preserve"> del primer análisis eran reales y se corrigieron:</w:t>
      </w:r>
    </w:p>
    <w:p>
      <w:pPr>
        <w:spacing w:after="60"/>
        <w:ind w:left="510" w:hanging="340"/>
      </w:pPr>
      <w:r>
        <w:t xml:space="preserve">1. </w:t>
      </w:r>
      <w:r>
        <w:rPr>
          <w:rFonts w:ascii="Consolas" w:hAnsi="Consolas" w:eastAsia="Consolas"/>
          <w:color w:val="8A1F3D"/>
          <w:sz w:val="19"/>
        </w:rPr>
        <w:t>S8786</w:t>
      </w:r>
      <w:r>
        <w:t xml:space="preserve"> en </w:t>
      </w:r>
      <w:r>
        <w:rPr>
          <w:rFonts w:ascii="Consolas" w:hAnsi="Consolas" w:eastAsia="Consolas"/>
          <w:color w:val="8A1F3D"/>
          <w:sz w:val="19"/>
        </w:rPr>
        <w:t>validateRegistration.js</w:t>
      </w:r>
      <w:r>
        <w:t>: la expresión regular del correo (</w:t>
      </w:r>
      <w:r>
        <w:rPr>
          <w:rFonts w:ascii="Consolas" w:hAnsi="Consolas" w:eastAsia="Consolas"/>
          <w:color w:val="8A1F3D"/>
          <w:sz w:val="19"/>
        </w:rPr>
        <w:t>^\S+@\S+\.\S+$</w:t>
      </w:r>
      <w:r>
        <w:t>) tiene retroceso super-lineal y era un riesgo menor de denegación de servicio por expresiones regulares (ReDoS). Se sustituyó por una comprobación lineal (</w:t>
      </w:r>
      <w:r>
        <w:rPr>
          <w:rFonts w:ascii="Consolas" w:hAnsi="Consolas" w:eastAsia="Consolas"/>
          <w:color w:val="8A1F3D"/>
          <w:sz w:val="19"/>
        </w:rPr>
        <w:t>isValidEmail</w:t>
      </w:r>
      <w:r>
        <w:t>) con pruebas, incluida una con entrada hostil de 40 000 caracteres.</w:t>
      </w:r>
    </w:p>
    <w:p>
      <w:pPr>
        <w:spacing w:after="60"/>
        <w:ind w:left="510" w:hanging="340"/>
      </w:pPr>
      <w:r>
        <w:t xml:space="preserve">2. </w:t>
      </w:r>
      <w:r>
        <w:rPr>
          <w:rFonts w:ascii="Consolas" w:hAnsi="Consolas" w:eastAsia="Consolas"/>
          <w:color w:val="8A1F3D"/>
          <w:sz w:val="19"/>
        </w:rPr>
        <w:t>S6852</w:t>
      </w:r>
      <w:r>
        <w:t xml:space="preserve"> en </w:t>
      </w:r>
      <w:r>
        <w:rPr>
          <w:rFonts w:ascii="Consolas" w:hAnsi="Consolas" w:eastAsia="Consolas"/>
          <w:color w:val="8A1F3D"/>
          <w:sz w:val="19"/>
        </w:rPr>
        <w:t>Register.jsx</w:t>
      </w:r>
      <w:r>
        <w:t>: el grupo de selección de rol (</w:t>
      </w:r>
      <w:r>
        <w:rPr>
          <w:rFonts w:ascii="Consolas" w:hAnsi="Consolas" w:eastAsia="Consolas"/>
          <w:color w:val="8A1F3D"/>
          <w:sz w:val="19"/>
        </w:rPr>
        <w:t>role="radiogroup"</w:t>
      </w:r>
      <w:r>
        <w:t xml:space="preserve">) no era enfocable; se añadió </w:t>
      </w:r>
      <w:r>
        <w:rPr>
          <w:rFonts w:ascii="Consolas" w:hAnsi="Consolas" w:eastAsia="Consolas"/>
          <w:color w:val="8A1F3D"/>
          <w:sz w:val="19"/>
        </w:rPr>
        <w:t>tabIndex={-1}</w:t>
      </w:r>
      <w:r>
        <w:t xml:space="preserve"> sin cambiar la navegación por teclado.</w:t>
      </w:r>
    </w:p>
    <w:p>
      <w:r>
        <w:t>Además del análisis oficial, estas herramientas locales corren en cada push: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9CE"/>
          <w:left w:val="single" w:sz="4" w:color="C9C9CE"/>
          <w:bottom w:val="single" w:sz="4" w:color="C9C9CE"/>
          <w:right w:val="single" w:sz="4" w:color="C9C9CE"/>
          <w:insideH w:val="single" w:sz="4" w:color="C9C9CE"/>
          <w:insideV w:val="single" w:sz="4" w:color="C9C9CE"/>
        </w:tblBorders>
      </w:tblPr>
      <w:tblGrid>
        <w:gridCol w:w="3249"/>
        <w:gridCol w:w="3249"/>
        <w:gridCol w:w="3249"/>
      </w:tblGrid>
      <w:tr>
        <w:trPr>
          <w:cantSplit w:val="true"/>
          <w:tblHeader w:val="true"/>
        </w:trPr>
        <w:tc>
          <w:tcPr>
            <w:tcW w:type="dxa" w:w="2558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398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4796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2558"/>
          </w:tcPr>
          <w:p>
            <w:pPr>
              <w:spacing w:after="40" w:line="240" w:lineRule="auto"/>
            </w:pPr>
            <w:r>
              <w:rPr>
                <w:sz w:val="19"/>
              </w:rPr>
              <w:t>Code smells / bugs (backend)</w:t>
            </w:r>
          </w:p>
        </w:tc>
        <w:tc>
          <w:tcPr>
            <w:tcW w:type="dxa" w:w="2398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ESLint + </w:t>
            </w:r>
            <w:r>
              <w:rPr>
                <w:rFonts w:ascii="Consolas" w:hAnsi="Consolas" w:eastAsia="Consolas"/>
                <w:color w:val="8A1F3D"/>
                <w:sz w:val="17"/>
              </w:rPr>
              <w:t>eslint-plugin-sonarjs</w:t>
            </w:r>
          </w:p>
        </w:tc>
        <w:tc>
          <w:tcPr>
            <w:tcW w:type="dxa" w:w="4796"/>
          </w:tcPr>
          <w:p>
            <w:pPr>
              <w:spacing w:after="40" w:line="240" w:lineRule="auto"/>
            </w:pPr>
            <w:r>
              <w:rPr>
                <w:sz w:val="19"/>
              </w:rPr>
              <w:t>0 (hubo 3 al inicio, ya corregidos)</w:t>
            </w:r>
          </w:p>
        </w:tc>
      </w:tr>
      <w:tr>
        <w:trPr>
          <w:cantSplit w:val="true"/>
        </w:trPr>
        <w:tc>
          <w:tcPr>
            <w:tcW w:type="dxa" w:w="2558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Warnings (frontend)</w:t>
            </w:r>
          </w:p>
        </w:tc>
        <w:tc>
          <w:tcPr>
            <w:tcW w:type="dxa" w:w="2398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oxlint</w:t>
            </w:r>
          </w:p>
        </w:tc>
        <w:tc>
          <w:tcPr>
            <w:tcW w:type="dxa" w:w="479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0 (hubo 3 al inicio: efectos con </w:t>
            </w:r>
            <w:r>
              <w:rPr>
                <w:rFonts w:ascii="Consolas" w:hAnsi="Consolas" w:eastAsia="Consolas"/>
                <w:color w:val="8A1F3D"/>
                <w:sz w:val="17"/>
              </w:rPr>
              <w:t>setState</w:t>
            </w:r>
            <w:r>
              <w:rPr>
                <w:sz w:val="19"/>
              </w:rPr>
              <w:t xml:space="preserve"> y exportaciones mixtas)</w:t>
            </w:r>
          </w:p>
        </w:tc>
      </w:tr>
      <w:tr>
        <w:trPr>
          <w:cantSplit w:val="true"/>
        </w:trPr>
        <w:tc>
          <w:tcPr>
            <w:tcW w:type="dxa" w:w="2558"/>
          </w:tcPr>
          <w:p>
            <w:pPr>
              <w:spacing w:after="40" w:line="240" w:lineRule="auto"/>
            </w:pPr>
            <w:r>
              <w:rPr>
                <w:sz w:val="19"/>
              </w:rPr>
              <w:t>Duplicación de código</w:t>
            </w:r>
          </w:p>
        </w:tc>
        <w:tc>
          <w:tcPr>
            <w:tcW w:type="dxa" w:w="2398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7"/>
              </w:rPr>
              <w:t>jscpd</w:t>
            </w:r>
          </w:p>
        </w:tc>
        <w:tc>
          <w:tcPr>
            <w:tcW w:type="dxa" w:w="4796"/>
          </w:tcPr>
          <w:p>
            <w:pPr>
              <w:spacing w:after="40" w:line="240" w:lineRule="auto"/>
            </w:pPr>
            <w:r>
              <w:rPr>
                <w:sz w:val="19"/>
              </w:rPr>
              <w:t>0.53 % de líneas (1 clon de 10 líneas); umbral en CI: 3 %</w:t>
            </w:r>
          </w:p>
        </w:tc>
      </w:tr>
      <w:tr>
        <w:trPr>
          <w:cantSplit w:val="true"/>
        </w:trPr>
        <w:tc>
          <w:tcPr>
            <w:tcW w:type="dxa" w:w="2558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Vulnerabilidades de dependencias</w:t>
            </w:r>
          </w:p>
        </w:tc>
        <w:tc>
          <w:tcPr>
            <w:tcW w:type="dxa" w:w="2398"/>
            <w:shd w:val="clear" w:color="auto" w:fill="F5F5F7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7"/>
              </w:rPr>
              <w:t>npm audit</w:t>
            </w:r>
          </w:p>
        </w:tc>
        <w:tc>
          <w:tcPr>
            <w:tcW w:type="dxa" w:w="479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0 en backend y frontend. Durante la entrega se detectó y evitó una dependencia de desarrollo vulnerable (</w:t>
            </w:r>
            <w:r>
              <w:rPr>
                <w:rFonts w:ascii="Consolas" w:hAnsi="Consolas" w:eastAsia="Consolas"/>
                <w:color w:val="8A1F3D"/>
                <w:sz w:val="17"/>
              </w:rPr>
              <w:t>@vitest/mocker</w:t>
            </w:r>
            <w:r>
              <w:rPr>
                <w:sz w:val="19"/>
              </w:rPr>
              <w:t xml:space="preserve">, versiones ≤ 4.1.10) fijando </w:t>
            </w:r>
            <w:r>
              <w:rPr>
                <w:rFonts w:ascii="Consolas" w:hAnsi="Consolas" w:eastAsia="Consolas"/>
                <w:color w:val="8A1F3D"/>
                <w:sz w:val="17"/>
              </w:rPr>
              <w:t>vitest ^4.1.11</w:t>
            </w:r>
          </w:p>
        </w:tc>
      </w:tr>
      <w:tr>
        <w:trPr>
          <w:cantSplit w:val="true"/>
        </w:trPr>
        <w:tc>
          <w:tcPr>
            <w:tcW w:type="dxa" w:w="2558"/>
          </w:tcPr>
          <w:p>
            <w:pPr>
              <w:spacing w:after="40" w:line="240" w:lineRule="auto"/>
            </w:pPr>
            <w:r>
              <w:rPr>
                <w:sz w:val="19"/>
              </w:rPr>
              <w:t>Cobertura</w:t>
            </w:r>
          </w:p>
        </w:tc>
        <w:tc>
          <w:tcPr>
            <w:tcW w:type="dxa" w:w="2398"/>
          </w:tcPr>
          <w:p>
            <w:pPr>
              <w:spacing w:after="40" w:line="240" w:lineRule="auto"/>
            </w:pPr>
            <w:r>
              <w:rPr>
                <w:sz w:val="19"/>
              </w:rPr>
              <w:t>Jest / Vitest</w:t>
            </w:r>
          </w:p>
        </w:tc>
        <w:tc>
          <w:tcPr>
            <w:tcW w:type="dxa" w:w="4796"/>
          </w:tcPr>
          <w:p>
            <w:pPr>
              <w:spacing w:after="40" w:line="240" w:lineRule="auto"/>
            </w:pPr>
            <w:r>
              <w:rPr>
                <w:sz w:val="19"/>
              </w:rPr>
              <w:t>ver 4.1 (frontend: 143 pruebas)</w:t>
            </w:r>
          </w:p>
        </w:tc>
      </w:tr>
      <w:tr>
        <w:trPr>
          <w:cantSplit w:val="true"/>
        </w:trPr>
        <w:tc>
          <w:tcPr>
            <w:tcW w:type="dxa" w:w="2558"/>
            <w:shd w:val="clear" w:color="auto" w:fill="F5F5F7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Accesibilidad de color (WCAG AA)</w:t>
            </w:r>
          </w:p>
        </w:tc>
        <w:tc>
          <w:tcPr>
            <w:tcW w:type="dxa" w:w="2398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Script de contraste propio</w:t>
            </w:r>
          </w:p>
        </w:tc>
        <w:tc>
          <w:tcPr>
            <w:tcW w:type="dxa" w:w="479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Todos los pares de texto ≥ 4.5:1 en claro y oscuro, incluidos los </w:t>
            </w:r>
            <w:r>
              <w:rPr>
                <w:i/>
                <w:sz w:val="19"/>
              </w:rPr>
              <w:t>badges</w:t>
            </w:r>
            <w:r>
              <w:rPr>
                <w:sz w:val="19"/>
              </w:rPr>
              <w:t xml:space="preserve"> teñidos sobre la superficie más oscura (peor caso). Una primera versión tenía 5 combinaciones entre 4.15 y 4.49; se corrigieron con tokens de texto más oscuros</w:t>
            </w:r>
          </w:p>
        </w:tc>
      </w:tr>
    </w:tbl>
    <w:p>
      <w:pPr>
        <w:spacing w:after="40"/>
      </w:pPr>
    </w:p>
    <w:p>
      <w:pPr>
        <w:pStyle w:val="Heading2"/>
      </w:pPr>
      <w:r>
        <w:t>5.3 Rendimiento (requisito no funcional de la sección 2.1)</w:t>
      </w:r>
    </w:p>
    <w:p>
      <w:r>
        <w:t xml:space="preserve">El acta exige </w:t>
      </w:r>
      <w:r>
        <w:rPr>
          <w:b/>
        </w:rPr>
        <w:t>1 000 usuarios concurrentes con respuestas menores a 2 s</w:t>
      </w:r>
      <w:r>
        <w:t xml:space="preserve">. Se midió con </w:t>
      </w:r>
      <w:r>
        <w:rPr>
          <w:rFonts w:ascii="Consolas" w:hAnsi="Consolas" w:eastAsia="Consolas"/>
          <w:color w:val="8A1F3D"/>
          <w:sz w:val="19"/>
        </w:rPr>
        <w:t>autocannon</w:t>
      </w:r>
      <w:r>
        <w:t xml:space="preserve"> sobre una instancia en una laptop de 8 núcleos: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9CE"/>
          <w:left w:val="single" w:sz="4" w:color="C9C9CE"/>
          <w:bottom w:val="single" w:sz="4" w:color="C9C9CE"/>
          <w:right w:val="single" w:sz="4" w:color="C9C9CE"/>
          <w:insideH w:val="single" w:sz="4" w:color="C9C9CE"/>
          <w:insideV w:val="single" w:sz="4" w:color="C9C9CE"/>
        </w:tblBorders>
      </w:tblPr>
      <w:tblGrid>
        <w:gridCol w:w="4873"/>
        <w:gridCol w:w="4873"/>
      </w:tblGrid>
      <w:tr>
        <w:trPr>
          <w:cantSplit w:val="true"/>
          <w:tblHeader w:val="true"/>
        </w:trPr>
        <w:tc>
          <w:tcPr>
            <w:tcW w:type="dxa" w:w="5178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type="dxa" w:w="4574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5178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7"/>
              </w:rPr>
              <w:t>GET /api/auth/me</w:t>
            </w:r>
            <w:r>
              <w:rPr>
                <w:sz w:val="19"/>
              </w:rPr>
              <w:t xml:space="preserve"> (verificar JWT + leer SQLite), 100 conexiones</w:t>
            </w:r>
          </w:p>
        </w:tc>
        <w:tc>
          <w:tcPr>
            <w:tcW w:type="dxa" w:w="4574"/>
          </w:tcPr>
          <w:p>
            <w:pPr>
              <w:spacing w:after="40" w:line="240" w:lineRule="auto"/>
            </w:pPr>
            <w:r>
              <w:rPr>
                <w:sz w:val="19"/>
              </w:rPr>
              <w:t>~11 000 req/s, p99 = 11 ms, 0 errores</w:t>
            </w:r>
          </w:p>
        </w:tc>
      </w:tr>
      <w:tr>
        <w:trPr>
          <w:cantSplit w:val="true"/>
        </w:trPr>
        <w:tc>
          <w:tcPr>
            <w:tcW w:type="dxa" w:w="5178"/>
            <w:shd w:val="clear" w:color="auto" w:fill="F5F5F7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7"/>
              </w:rPr>
              <w:t>GET /api/auth/me</w:t>
            </w:r>
            <w:r>
              <w:rPr>
                <w:sz w:val="19"/>
              </w:rPr>
              <w:t>, 250 y 500 conexiones simultáneas nuevas</w:t>
            </w:r>
          </w:p>
        </w:tc>
        <w:tc>
          <w:tcPr>
            <w:tcW w:type="dxa" w:w="457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Aparecen errores de conexión y p99 de varios segundos</w:t>
            </w:r>
          </w:p>
        </w:tc>
      </w:tr>
      <w:tr>
        <w:trPr>
          <w:cantSplit w:val="true"/>
        </w:trPr>
        <w:tc>
          <w:tcPr>
            <w:tcW w:type="dxa" w:w="5178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7"/>
              </w:rPr>
              <w:t>POST /api/auth/login</w:t>
            </w:r>
            <w:r>
              <w:rPr>
                <w:sz w:val="19"/>
              </w:rPr>
              <w:t>, bcrypt costo 12, 10 concurrentes</w:t>
            </w:r>
          </w:p>
        </w:tc>
        <w:tc>
          <w:tcPr>
            <w:tcW w:type="dxa" w:w="4574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3.75 logins/s</w:t>
            </w:r>
            <w:r>
              <w:rPr>
                <w:sz w:val="19"/>
              </w:rPr>
              <w:t>; ~2.4 s por login</w:t>
            </w:r>
          </w:p>
        </w:tc>
      </w:tr>
      <w:tr>
        <w:trPr>
          <w:cantSplit w:val="true"/>
        </w:trPr>
        <w:tc>
          <w:tcPr>
            <w:tcW w:type="dxa" w:w="5178"/>
            <w:shd w:val="clear" w:color="auto" w:fill="F5F5F7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8A1F3D"/>
                <w:sz w:val="17"/>
              </w:rPr>
              <w:t>POST /api/auth/login</w:t>
            </w:r>
            <w:r>
              <w:rPr>
                <w:sz w:val="19"/>
              </w:rPr>
              <w:t>, bcrypt costo 10</w:t>
            </w:r>
          </w:p>
        </w:tc>
        <w:tc>
          <w:tcPr>
            <w:tcW w:type="dxa" w:w="457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16.75 logins/s (~4.5×)</w:t>
            </w:r>
          </w:p>
        </w:tc>
      </w:tr>
    </w:tbl>
    <w:p>
      <w:pPr>
        <w:spacing w:after="40"/>
      </w:pPr>
    </w:p>
    <w:p>
      <w:r>
        <w:t>Conclusiones honestas:</w:t>
      </w:r>
    </w:p>
    <w:p>
      <w:pPr>
        <w:pStyle w:val="ListBullet"/>
        <w:spacing w:after="60"/>
      </w:pPr>
      <w:r>
        <w:rPr>
          <w:b/>
        </w:rPr>
        <w:t>El requisito no queda demostrado en este entorno.</w:t>
      </w:r>
      <w:r>
        <w:t xml:space="preserve"> Con ≥250 conexiones nuevas a la vez, la cola de aceptación TCP de macOS (</w:t>
      </w:r>
      <w:r>
        <w:rPr>
          <w:rFonts w:ascii="Consolas" w:hAnsi="Consolas" w:eastAsia="Consolas"/>
          <w:color w:val="8A1F3D"/>
          <w:sz w:val="19"/>
        </w:rPr>
        <w:t>kern.ipc.somaxconn = 128</w:t>
      </w:r>
      <w:r>
        <w:t>) descarta conexiones antes de que Node las vea, y eso infla la cola de latencias; es una limitación de la máquina de prueba, no medición de la aplicación. Debe repetirse en Linux (CI o staging) con una rampa progresiva.</w:t>
      </w:r>
    </w:p>
    <w:p>
      <w:pPr>
        <w:pStyle w:val="ListBullet"/>
        <w:spacing w:after="60"/>
      </w:pPr>
      <w:r>
        <w:rPr>
          <w:b/>
        </w:rPr>
        <w:t>El cuello de botella real es el hash de contraseñas</w:t>
      </w:r>
      <w:r>
        <w:t>, no la API: a costo 12 una sola instancia atiende ~4 logins por segundo. "1 000 usuarios concurrentes" con inicio de sesión simultáneo no se sostendría; con tráfico autenticado normal (cientos de req/s) hay más de 10× de margen. Por eso el factor de trabajo es configurable (con piso de 10 en producción) y la mejora de fondo está en el plan (bcrypt nativo o Argon2 en hilos, y escalado horizontal).</w:t>
      </w:r>
    </w:p>
    <w:p>
      <w:r>
        <w:br w:type="page"/>
      </w:r>
    </w:p>
    <w:p>
      <w:pPr>
        <w:pStyle w:val="Heading1"/>
      </w:pPr>
      <w:r>
        <w:t>6. Cierre y evaluación</w:t>
      </w:r>
    </w:p>
    <w:p>
      <w:pPr>
        <w:pStyle w:val="Heading2"/>
      </w:pPr>
      <w:r>
        <w:t>6.1 Línea de tiempo planificada vs. real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9CE"/>
          <w:left w:val="single" w:sz="4" w:color="C9C9CE"/>
          <w:bottom w:val="single" w:sz="4" w:color="C9C9CE"/>
          <w:right w:val="single" w:sz="4" w:color="C9C9CE"/>
          <w:insideH w:val="single" w:sz="4" w:color="C9C9CE"/>
          <w:insideV w:val="single" w:sz="4" w:color="C9C9CE"/>
        </w:tblBorders>
      </w:tblPr>
      <w:tblGrid>
        <w:gridCol w:w="2436"/>
        <w:gridCol w:w="2436"/>
        <w:gridCol w:w="2436"/>
        <w:gridCol w:w="2436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Hito</w:t>
            </w:r>
          </w:p>
        </w:tc>
        <w:tc>
          <w:tcPr>
            <w:tcW w:type="dxa" w:w="1741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Planificado (Gantt, sección 3.2)</w:t>
            </w:r>
          </w:p>
        </w:tc>
        <w:tc>
          <w:tcPr>
            <w:tcW w:type="dxa" w:w="2985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Real</w:t>
            </w:r>
          </w:p>
        </w:tc>
        <w:tc>
          <w:tcPr>
            <w:tcW w:type="dxa" w:w="2985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Diferencia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40" w:line="240" w:lineRule="auto"/>
            </w:pPr>
            <w:r>
              <w:rPr>
                <w:sz w:val="19"/>
              </w:rPr>
              <w:t>Sprint 1 — UI/UX y prototipado</w:t>
            </w:r>
          </w:p>
        </w:tc>
        <w:tc>
          <w:tcPr>
            <w:tcW w:type="dxa" w:w="1741"/>
          </w:tcPr>
          <w:p>
            <w:pPr>
              <w:spacing w:after="40" w:line="240" w:lineRule="auto"/>
            </w:pPr>
            <w:r>
              <w:rPr>
                <w:sz w:val="19"/>
              </w:rPr>
              <w:t>14 → 28-sep-2026</w:t>
            </w:r>
          </w:p>
        </w:tc>
        <w:tc>
          <w:tcPr>
            <w:tcW w:type="dxa" w:w="2985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Interfaz implementada y funcional (landing, registro, login, panel) el </w:t>
            </w:r>
            <w:r>
              <w:rPr>
                <w:b/>
                <w:sz w:val="19"/>
              </w:rPr>
              <w:t>18-sep-2026</w:t>
            </w:r>
          </w:p>
        </w:tc>
        <w:tc>
          <w:tcPr>
            <w:tcW w:type="dxa" w:w="2985"/>
          </w:tcPr>
          <w:p>
            <w:pPr>
              <w:spacing w:after="40" w:line="240" w:lineRule="auto"/>
            </w:pPr>
            <w:r>
              <w:rPr>
                <w:sz w:val="19"/>
              </w:rPr>
              <w:t>Dentro de su propia ventana, ~10 días antes de que cierre</w:t>
            </w:r>
          </w:p>
        </w:tc>
      </w:tr>
      <w:tr>
        <w:trPr>
          <w:cantSplit w:val="true"/>
        </w:trPr>
        <w:tc>
          <w:tcPr>
            <w:tcW w:type="dxa" w:w="2040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Sprint 2 — módulo de autenticación</w:t>
            </w:r>
          </w:p>
        </w:tc>
        <w:tc>
          <w:tcPr>
            <w:tcW w:type="dxa" w:w="1741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28-sep → 19-oct-2026 (con catálogo)</w:t>
            </w:r>
          </w:p>
        </w:tc>
        <w:tc>
          <w:tcPr>
            <w:tcW w:type="dxa" w:w="2985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Autenticación completa el </w:t>
            </w:r>
            <w:r>
              <w:rPr>
                <w:b/>
                <w:sz w:val="19"/>
              </w:rPr>
              <w:t>17-sep-2026</w:t>
            </w:r>
          </w:p>
        </w:tc>
        <w:tc>
          <w:tcPr>
            <w:tcW w:type="dxa" w:w="2985"/>
            <w:shd w:val="clear" w:color="auto" w:fill="F5F5F7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11 días antes</w:t>
            </w:r>
            <w:r>
              <w:rPr>
                <w:sz w:val="19"/>
              </w:rPr>
              <w:t xml:space="preserve"> de su inicio planificado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40" w:line="240" w:lineRule="auto"/>
            </w:pPr>
            <w:r>
              <w:rPr>
                <w:sz w:val="19"/>
              </w:rPr>
              <w:t>Sprint 6 — QA y seguridad</w:t>
            </w:r>
          </w:p>
        </w:tc>
        <w:tc>
          <w:tcPr>
            <w:tcW w:type="dxa" w:w="1741"/>
          </w:tcPr>
          <w:p>
            <w:pPr>
              <w:spacing w:after="40" w:line="240" w:lineRule="auto"/>
            </w:pPr>
            <w:r>
              <w:rPr>
                <w:sz w:val="19"/>
              </w:rPr>
              <w:t>30-nov → 10-dic-2026</w:t>
            </w:r>
          </w:p>
        </w:tc>
        <w:tc>
          <w:tcPr>
            <w:tcW w:type="dxa" w:w="2985"/>
          </w:tcPr>
          <w:p>
            <w:pPr>
              <w:spacing w:after="40" w:line="240" w:lineRule="auto"/>
            </w:pPr>
            <w:r>
              <w:rPr>
                <w:sz w:val="19"/>
              </w:rPr>
              <w:t>Pruebas de seguridad, cobertura, análisis de calidad y prueba de carga ejecutadas el 17 y 18-sep</w:t>
            </w:r>
          </w:p>
        </w:tc>
        <w:tc>
          <w:tcPr>
            <w:tcW w:type="dxa" w:w="2985"/>
          </w:tcPr>
          <w:p>
            <w:pPr>
              <w:spacing w:after="40" w:line="240" w:lineRule="auto"/>
            </w:pPr>
            <w:r>
              <w:rPr>
                <w:sz w:val="19"/>
              </w:rPr>
              <w:t>Adelantadas ~2.5 meses (</w:t>
            </w:r>
            <w:r>
              <w:rPr>
                <w:i/>
                <w:sz w:val="19"/>
              </w:rPr>
              <w:t>shift-left</w:t>
            </w:r>
            <w:r>
              <w:rPr>
                <w:sz w:val="19"/>
              </w:rPr>
              <w:t>); en Sprint 6 solo queda repetirlas sobre más módulos</w:t>
            </w:r>
          </w:p>
        </w:tc>
      </w:tr>
      <w:tr>
        <w:trPr>
          <w:cantSplit w:val="true"/>
        </w:trPr>
        <w:tc>
          <w:tcPr>
            <w:tcW w:type="dxa" w:w="2040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Pipeline CI/CD en verde</w:t>
            </w:r>
          </w:p>
        </w:tc>
        <w:tc>
          <w:tcPr>
            <w:tcW w:type="dxa" w:w="1741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Implícito desde el primer push</w:t>
            </w:r>
          </w:p>
        </w:tc>
        <w:tc>
          <w:tcPr>
            <w:tcW w:type="dxa" w:w="2985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Primer push el 17-sep con </w:t>
            </w:r>
            <w:r>
              <w:rPr>
                <w:b/>
                <w:sz w:val="19"/>
              </w:rPr>
              <w:t>ambos workflows en rojo</w:t>
            </w:r>
            <w:r>
              <w:rPr>
                <w:sz w:val="19"/>
              </w:rPr>
              <w:t>; en verde el mismo día tras tres correcciones</w:t>
            </w:r>
          </w:p>
        </w:tc>
        <w:tc>
          <w:tcPr>
            <w:tcW w:type="dxa" w:w="2985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+0 días de calendario, pero reveló que "escribir" y "tener funcionando" un pipeline son hitos distintos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40" w:line="240" w:lineRule="auto"/>
            </w:pPr>
            <w:r>
              <w:rPr>
                <w:sz w:val="19"/>
              </w:rPr>
              <w:t>Catálogo de vehículos (resto de Sprint 2)</w:t>
            </w:r>
          </w:p>
        </w:tc>
        <w:tc>
          <w:tcPr>
            <w:tcW w:type="dxa" w:w="1741"/>
          </w:tcPr>
          <w:p>
            <w:pPr>
              <w:spacing w:after="40" w:line="240" w:lineRule="auto"/>
            </w:pPr>
            <w:r>
              <w:rPr>
                <w:sz w:val="19"/>
              </w:rPr>
              <w:t>28-sep → 19-oct</w:t>
            </w:r>
          </w:p>
        </w:tc>
        <w:tc>
          <w:tcPr>
            <w:tcW w:type="dxa" w:w="2985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Publicar, consultar, filtrar y administrar autos: </w:t>
            </w:r>
            <w:r>
              <w:rPr>
                <w:b/>
                <w:sz w:val="19"/>
              </w:rPr>
              <w:t>18-sep-2026</w:t>
            </w:r>
            <w:r>
              <w:rPr>
                <w:sz w:val="19"/>
              </w:rPr>
              <w:t xml:space="preserve"> (sin fotos, sin geolocalización)</w:t>
            </w:r>
          </w:p>
        </w:tc>
        <w:tc>
          <w:tcPr>
            <w:tcW w:type="dxa" w:w="298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10 días antes</w:t>
            </w:r>
            <w:r>
              <w:rPr>
                <w:sz w:val="19"/>
              </w:rPr>
              <w:t xml:space="preserve"> de su ventana; quedan fotos reales y mapa para el resto del sprint</w:t>
            </w:r>
          </w:p>
        </w:tc>
      </w:tr>
    </w:tbl>
    <w:p>
      <w:pPr>
        <w:spacing w:after="40"/>
      </w:pPr>
    </w:p>
    <w:p>
      <w:pPr>
        <w:pStyle w:val="Heading2"/>
      </w:pPr>
      <w:r>
        <w:t>6.2 Planificado vs. ejecutado (alcance)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9CE"/>
          <w:left w:val="single" w:sz="4" w:color="C9C9CE"/>
          <w:bottom w:val="single" w:sz="4" w:color="C9C9CE"/>
          <w:right w:val="single" w:sz="4" w:color="C9C9CE"/>
          <w:insideH w:val="single" w:sz="4" w:color="C9C9CE"/>
          <w:insideV w:val="single" w:sz="4" w:color="C9C9CE"/>
        </w:tblBorders>
      </w:tblPr>
      <w:tblGrid>
        <w:gridCol w:w="2436"/>
        <w:gridCol w:w="2436"/>
        <w:gridCol w:w="2436"/>
        <w:gridCol w:w="2436"/>
      </w:tblGrid>
      <w:tr>
        <w:trPr>
          <w:cantSplit w:val="true"/>
          <w:tblHeader w:val="true"/>
        </w:trPr>
        <w:tc>
          <w:tcPr>
            <w:tcW w:type="dxa" w:w="1884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Punto</w:t>
            </w:r>
          </w:p>
        </w:tc>
        <w:tc>
          <w:tcPr>
            <w:tcW w:type="dxa" w:w="2214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Planificado</w:t>
            </w:r>
          </w:p>
        </w:tc>
        <w:tc>
          <w:tcPr>
            <w:tcW w:type="dxa" w:w="2826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Ejecutado</w:t>
            </w:r>
          </w:p>
        </w:tc>
        <w:tc>
          <w:tcPr>
            <w:tcW w:type="dxa" w:w="2826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Desviación</w:t>
            </w:r>
          </w:p>
        </w:tc>
      </w:tr>
      <w:tr>
        <w:trPr>
          <w:cantSplit w:val="true"/>
        </w:trPr>
        <w:tc>
          <w:tcPr>
            <w:tcW w:type="dxa" w:w="1884"/>
          </w:tcPr>
          <w:p>
            <w:pPr>
              <w:spacing w:after="40" w:line="240" w:lineRule="auto"/>
            </w:pPr>
            <w:r>
              <w:rPr>
                <w:sz w:val="19"/>
              </w:rPr>
              <w:t>Módulo + JWT/roles</w:t>
            </w:r>
          </w:p>
        </w:tc>
        <w:tc>
          <w:tcPr>
            <w:tcW w:type="dxa" w:w="2214"/>
          </w:tcPr>
          <w:p>
            <w:pPr>
              <w:spacing w:after="40" w:line="240" w:lineRule="auto"/>
            </w:pPr>
            <w:r>
              <w:rPr>
                <w:sz w:val="19"/>
              </w:rPr>
              <w:t>Auth con roles admin/usuario</w:t>
            </w:r>
          </w:p>
        </w:tc>
        <w:tc>
          <w:tcPr>
            <w:tcW w:type="dxa" w:w="2826"/>
          </w:tcPr>
          <w:p>
            <w:pPr>
              <w:spacing w:after="40" w:line="240" w:lineRule="auto"/>
            </w:pPr>
            <w:r>
              <w:rPr>
                <w:sz w:val="19"/>
              </w:rPr>
              <w:t>3 roles reales del dominio, más un frontend completo</w:t>
            </w:r>
          </w:p>
        </w:tc>
        <w:tc>
          <w:tcPr>
            <w:tcW w:type="dxa" w:w="2826"/>
          </w:tcPr>
          <w:p>
            <w:pPr>
              <w:spacing w:after="40" w:line="240" w:lineRule="auto"/>
            </w:pPr>
            <w:r>
              <w:rPr>
                <w:sz w:val="19"/>
              </w:rPr>
              <w:t>Ampliación: el módulo se validó de punta a punta, no solo por API</w:t>
            </w:r>
          </w:p>
        </w:tc>
      </w:tr>
      <w:tr>
        <w:trPr>
          <w:cantSplit w:val="true"/>
        </w:trPr>
        <w:tc>
          <w:tcPr>
            <w:tcW w:type="dxa" w:w="188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Cobertura ≥ 80 %</w:t>
            </w:r>
          </w:p>
        </w:tc>
        <w:tc>
          <w:tcPr>
            <w:tcW w:type="dxa" w:w="221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Backend</w:t>
            </w:r>
          </w:p>
        </w:tc>
        <w:tc>
          <w:tcPr>
            <w:tcW w:type="dxa" w:w="282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Backend 100 % líneas; </w:t>
            </w:r>
            <w:r>
              <w:rPr>
                <w:b/>
                <w:sz w:val="19"/>
              </w:rPr>
              <w:t>además</w:t>
            </w:r>
            <w:r>
              <w:rPr>
                <w:sz w:val="19"/>
              </w:rPr>
              <w:t xml:space="preserve"> frontend con 143 pruebas y 97.83 % de líneas</w:t>
            </w:r>
          </w:p>
        </w:tc>
        <w:tc>
          <w:tcPr>
            <w:tcW w:type="dxa" w:w="282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Por encima de lo pedido</w:t>
            </w:r>
          </w:p>
        </w:tc>
      </w:tr>
      <w:tr>
        <w:trPr>
          <w:cantSplit w:val="true"/>
        </w:trPr>
        <w:tc>
          <w:tcPr>
            <w:tcW w:type="dxa" w:w="1884"/>
          </w:tcPr>
          <w:p>
            <w:pPr>
              <w:spacing w:after="40" w:line="240" w:lineRule="auto"/>
            </w:pPr>
            <w:r>
              <w:rPr>
                <w:sz w:val="19"/>
              </w:rPr>
              <w:t>CI/CD con despliegue a entorno de prueba</w:t>
            </w:r>
          </w:p>
        </w:tc>
        <w:tc>
          <w:tcPr>
            <w:tcW w:type="dxa" w:w="2214"/>
          </w:tcPr>
          <w:p>
            <w:pPr>
              <w:spacing w:after="40" w:line="240" w:lineRule="auto"/>
            </w:pPr>
            <w:r>
              <w:rPr>
                <w:sz w:val="19"/>
              </w:rPr>
              <w:t>Verde desde el primer push, entorno persistente</w:t>
            </w:r>
          </w:p>
        </w:tc>
        <w:tc>
          <w:tcPr>
            <w:tcW w:type="dxa" w:w="2826"/>
          </w:tcPr>
          <w:p>
            <w:pPr>
              <w:spacing w:after="40" w:line="240" w:lineRule="auto"/>
            </w:pPr>
            <w:r>
              <w:rPr>
                <w:sz w:val="19"/>
              </w:rPr>
              <w:t>Verde tras 3 correcciones; entorno efímero; ahora cubre también el frontend</w:t>
            </w:r>
          </w:p>
        </w:tc>
        <w:tc>
          <w:tcPr>
            <w:tcW w:type="dxa" w:w="2826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Doble desviación real</w:t>
            </w:r>
            <w:r>
              <w:rPr>
                <w:sz w:val="19"/>
              </w:rPr>
              <w:t xml:space="preserve"> (sin hosting de prueba; primer intento en rojo)</w:t>
            </w:r>
          </w:p>
        </w:tc>
      </w:tr>
      <w:tr>
        <w:trPr>
          <w:cantSplit w:val="true"/>
        </w:trPr>
        <w:tc>
          <w:tcPr>
            <w:tcW w:type="dxa" w:w="188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Escaneo OWASP ZAP</w:t>
            </w:r>
          </w:p>
        </w:tc>
        <w:tc>
          <w:tcPr>
            <w:tcW w:type="dxa" w:w="221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XSS/SQLi</w:t>
            </w:r>
          </w:p>
        </w:tc>
        <w:tc>
          <w:tcPr>
            <w:tcW w:type="dxa" w:w="282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ZAP baseline en CI + pruebas manuales; dos advertencias reales corregidas</w:t>
            </w:r>
          </w:p>
        </w:tc>
        <w:tc>
          <w:tcPr>
            <w:tcW w:type="dxa" w:w="282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Se dividió en dos vías por falta de Docker local</w:t>
            </w:r>
          </w:p>
        </w:tc>
      </w:tr>
      <w:tr>
        <w:trPr>
          <w:cantSplit w:val="true"/>
        </w:trPr>
        <w:tc>
          <w:tcPr>
            <w:tcW w:type="dxa" w:w="1884"/>
          </w:tcPr>
          <w:p>
            <w:pPr>
              <w:spacing w:after="40" w:line="240" w:lineRule="auto"/>
            </w:pPr>
            <w:r>
              <w:rPr>
                <w:sz w:val="19"/>
              </w:rPr>
              <w:t>SonarQube</w:t>
            </w:r>
          </w:p>
        </w:tc>
        <w:tc>
          <w:tcPr>
            <w:tcW w:type="dxa" w:w="2214"/>
          </w:tcPr>
          <w:p>
            <w:pPr>
              <w:spacing w:after="40" w:line="240" w:lineRule="auto"/>
            </w:pPr>
            <w:r>
              <w:rPr>
                <w:sz w:val="19"/>
              </w:rPr>
              <w:t>Deuda técnica y code smells</w:t>
            </w:r>
          </w:p>
        </w:tc>
        <w:tc>
          <w:tcPr>
            <w:tcW w:type="dxa" w:w="2826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SonarCloud activado en CI: 2 code smells y 25 min de deuda en el primer análisis, </w:t>
            </w:r>
            <w:r>
              <w:rPr>
                <w:b/>
                <w:sz w:val="19"/>
              </w:rPr>
              <w:t>0 y 0 min</w:t>
            </w:r>
            <w:r>
              <w:rPr>
                <w:sz w:val="19"/>
              </w:rPr>
              <w:t xml:space="preserve"> tras corregirlos; </w:t>
            </w:r>
            <w:r>
              <w:rPr>
                <w:i/>
                <w:sz w:val="19"/>
              </w:rPr>
              <w:t>quality gate</w:t>
            </w:r>
            <w:r>
              <w:rPr>
                <w:sz w:val="19"/>
              </w:rPr>
              <w:t xml:space="preserve"> aprobado</w:t>
            </w:r>
          </w:p>
        </w:tc>
        <w:tc>
          <w:tcPr>
            <w:tcW w:type="dxa" w:w="2826"/>
          </w:tcPr>
          <w:p>
            <w:pPr>
              <w:spacing w:after="40" w:line="240" w:lineRule="auto"/>
            </w:pPr>
            <w:r>
              <w:rPr>
                <w:sz w:val="19"/>
              </w:rPr>
              <w:t>Se usó SonarCloud (misma tecnología, en la nube) en lugar de un servidor propio; la activación llegó el último día</w:t>
            </w:r>
          </w:p>
        </w:tc>
      </w:tr>
      <w:tr>
        <w:trPr>
          <w:cantSplit w:val="true"/>
        </w:trPr>
        <w:tc>
          <w:tcPr>
            <w:tcW w:type="dxa" w:w="188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Requisito de 1 000 usuarios concurrentes</w:t>
            </w:r>
          </w:p>
        </w:tc>
        <w:tc>
          <w:tcPr>
            <w:tcW w:type="dxa" w:w="221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(sección 2.1)</w:t>
            </w:r>
          </w:p>
        </w:tc>
        <w:tc>
          <w:tcPr>
            <w:tcW w:type="dxa" w:w="282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Medido; </w:t>
            </w:r>
            <w:r>
              <w:rPr>
                <w:b/>
                <w:sz w:val="19"/>
              </w:rPr>
              <w:t>no demostrado</w:t>
            </w:r>
            <w:r>
              <w:rPr>
                <w:sz w:val="19"/>
              </w:rPr>
              <w:t>, cuello de botella identificado</w:t>
            </w:r>
          </w:p>
        </w:tc>
        <w:tc>
          <w:tcPr>
            <w:tcW w:type="dxa" w:w="282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Pendiente de validar en Linux</w:t>
            </w:r>
          </w:p>
        </w:tc>
      </w:tr>
      <w:tr>
        <w:trPr>
          <w:cantSplit w:val="true"/>
        </w:trPr>
        <w:tc>
          <w:tcPr>
            <w:tcW w:type="dxa" w:w="1884"/>
          </w:tcPr>
          <w:p>
            <w:pPr>
              <w:spacing w:after="40" w:line="240" w:lineRule="auto"/>
            </w:pPr>
            <w:r>
              <w:rPr>
                <w:sz w:val="19"/>
              </w:rPr>
              <w:t>Catálogo de vehículos</w:t>
            </w:r>
          </w:p>
        </w:tc>
        <w:tc>
          <w:tcPr>
            <w:tcW w:type="dxa" w:w="2214"/>
          </w:tcPr>
          <w:p>
            <w:pPr>
              <w:spacing w:after="40" w:line="240" w:lineRule="auto"/>
            </w:pPr>
            <w:r>
              <w:rPr>
                <w:sz w:val="19"/>
              </w:rPr>
              <w:t>No pedido en el checklist de esta entrega</w:t>
            </w:r>
          </w:p>
        </w:tc>
        <w:tc>
          <w:tcPr>
            <w:tcW w:type="dxa" w:w="2826"/>
          </w:tcPr>
          <w:p>
            <w:pPr>
              <w:spacing w:after="40" w:line="240" w:lineRule="auto"/>
            </w:pPr>
            <w:r>
              <w:rPr>
                <w:sz w:val="19"/>
              </w:rPr>
              <w:t>API con propiedad por concesionaria + catálogo + inventario, con pruebas</w:t>
            </w:r>
          </w:p>
        </w:tc>
        <w:tc>
          <w:tcPr>
            <w:tcW w:type="dxa" w:w="2826"/>
          </w:tcPr>
          <w:p>
            <w:pPr>
              <w:spacing w:after="40" w:line="240" w:lineRule="auto"/>
            </w:pPr>
            <w:r>
              <w:rPr>
                <w:sz w:val="19"/>
              </w:rPr>
              <w:t>Ampliación: primer entregable funcional de negocio, no solo autenticación</w:t>
            </w:r>
          </w:p>
        </w:tc>
      </w:tr>
      <w:tr>
        <w:trPr>
          <w:cantSplit w:val="true"/>
        </w:trPr>
        <w:tc>
          <w:tcPr>
            <w:tcW w:type="dxa" w:w="188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Diseño de interfaz</w:t>
            </w:r>
          </w:p>
        </w:tc>
        <w:tc>
          <w:tcPr>
            <w:tcW w:type="dxa" w:w="2214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No especificado en el checklist</w:t>
            </w:r>
          </w:p>
        </w:tc>
        <w:tc>
          <w:tcPr>
            <w:tcW w:type="dxa" w:w="282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Rediseño completo con lenguaje de diseño de Apple, WCAG AA medido, modos claro/oscuro y preferencias de accesibilidad</w:t>
            </w:r>
          </w:p>
        </w:tc>
        <w:tc>
          <w:tcPr>
            <w:tcW w:type="dxa" w:w="282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Ampliación de alcance</w:t>
            </w:r>
          </w:p>
        </w:tc>
      </w:tr>
    </w:tbl>
    <w:p>
      <w:pPr>
        <w:spacing w:after="40"/>
      </w:pPr>
    </w:p>
    <w:p>
      <w:pPr>
        <w:pStyle w:val="Heading2"/>
      </w:pPr>
      <w:r>
        <w:t>6.3 Lecciones aprendidas</w:t>
      </w:r>
    </w:p>
    <w:p>
      <w:pPr>
        <w:spacing w:after="60"/>
        <w:ind w:left="510" w:hanging="340"/>
      </w:pPr>
      <w:r>
        <w:t xml:space="preserve">1. </w:t>
      </w:r>
      <w:r>
        <w:rPr>
          <w:b/>
        </w:rPr>
        <w:t>Validar el formato no basta.</w:t>
      </w:r>
      <w:r>
        <w:t xml:space="preserve"> SQLi se bloqueó gratis con consultas parametrizadas y </w:t>
      </w:r>
      <w:r>
        <w:rPr>
          <w:rFonts w:ascii="Consolas" w:hAnsi="Consolas" w:eastAsia="Consolas"/>
          <w:color w:val="8A1F3D"/>
          <w:sz w:val="19"/>
        </w:rPr>
        <w:t>zod</w:t>
      </w:r>
      <w:r>
        <w:t xml:space="preserve">, pero </w:t>
      </w:r>
      <w:r>
        <w:rPr>
          <w:rFonts w:ascii="Consolas" w:hAnsi="Consolas" w:eastAsia="Consolas"/>
          <w:color w:val="8A1F3D"/>
          <w:sz w:val="19"/>
        </w:rPr>
        <w:t>&lt;script&gt;</w:t>
      </w:r>
      <w:r>
        <w:t xml:space="preserve"> en el nombre pasaba: cada campo libre necesita una regla pensada para el contexto donde se va a renderizar.</w:t>
      </w:r>
    </w:p>
    <w:p>
      <w:pPr>
        <w:spacing w:after="60"/>
        <w:ind w:left="510" w:hanging="340"/>
      </w:pPr>
      <w:r>
        <w:t xml:space="preserve">2. </w:t>
      </w:r>
      <w:r>
        <w:rPr>
          <w:b/>
        </w:rPr>
        <w:t>Las herramientas asumen infraestructura que no siempre existe</w:t>
      </w:r>
      <w:r>
        <w:t xml:space="preserve"> (Docker para ZAP, un servidor para SonarQube). Definir desde el Sprint 0 qué se valida en local y qué solo en CI evita replanificar a la mitad. Aquí la solución fue SonarCloud, pero se activó tarde: el primer análisis real encontró 2 problemas que las herramientas locales equivalentes no habían visto (una regex con retroceso y un fallo de accesibilidad), y es un argumento para activarlo desde el primer sprint.</w:t>
      </w:r>
    </w:p>
    <w:p>
      <w:pPr>
        <w:spacing w:after="60"/>
        <w:ind w:left="510" w:hanging="340"/>
      </w:pPr>
      <w:r>
        <w:t xml:space="preserve">3. </w:t>
      </w:r>
      <w:r>
        <w:rPr>
          <w:b/>
        </w:rPr>
        <w:t>Un umbral en la configuración (cobertura, duplicación) es una regla; una buena práctica revisada a mano es un deseo.</w:t>
      </w:r>
    </w:p>
    <w:p>
      <w:pPr>
        <w:spacing w:after="60"/>
        <w:ind w:left="510" w:hanging="340"/>
      </w:pPr>
      <w:r>
        <w:t xml:space="preserve">4. </w:t>
      </w:r>
      <w:r>
        <w:rPr>
          <w:b/>
        </w:rPr>
        <w:t>"Escribir" un pipeline no es "tener" un pipeline.</w:t>
      </w:r>
      <w:r>
        <w:t xml:space="preserve"> El primer push dejó todo en rojo por tres causas que no se ven leyendo el YAML: (a) Docker exige nombres de imagen en minúsculas y el repositorio tiene mayúsculas; (b) la acción de ZAP intentó abrir un issue sin el permiso </w:t>
      </w:r>
      <w:r>
        <w:rPr>
          <w:rFonts w:ascii="Consolas" w:hAnsi="Consolas" w:eastAsia="Consolas"/>
          <w:color w:val="8A1F3D"/>
          <w:sz w:val="19"/>
        </w:rPr>
        <w:t>issues: write</w:t>
      </w:r>
      <w:r>
        <w:t xml:space="preserve">; (c) un job sin </w:t>
      </w:r>
      <w:r>
        <w:rPr>
          <w:rFonts w:ascii="Consolas" w:hAnsi="Consolas" w:eastAsia="Consolas"/>
          <w:color w:val="8A1F3D"/>
          <w:sz w:val="19"/>
        </w:rPr>
        <w:t>checkout</w:t>
      </w:r>
      <w:r>
        <w:t xml:space="preserve"> heredó el </w:t>
      </w:r>
      <w:r>
        <w:rPr>
          <w:rFonts w:ascii="Consolas" w:hAnsi="Consolas" w:eastAsia="Consolas"/>
          <w:color w:val="8A1F3D"/>
          <w:sz w:val="19"/>
        </w:rPr>
        <w:t>working-directory: backend</w:t>
      </w:r>
      <w:r>
        <w:t xml:space="preserve"> global y falló con "No such file or directory".</w:t>
      </w:r>
    </w:p>
    <w:p>
      <w:pPr>
        <w:spacing w:after="60"/>
        <w:ind w:left="510" w:hanging="340"/>
      </w:pPr>
      <w:r>
        <w:t xml:space="preserve">5. </w:t>
      </w:r>
      <w:r>
        <w:rPr>
          <w:b/>
        </w:rPr>
        <w:t>Las fallas del entorno de desarrollo se disfrazan de bugs de la aplicación.</w:t>
      </w:r>
      <w:r>
        <w:t xml:space="preserve"> El registro "fallaba al azar" con </w:t>
      </w:r>
      <w:r>
        <w:rPr>
          <w:rFonts w:ascii="Consolas" w:hAnsi="Consolas" w:eastAsia="Consolas"/>
          <w:color w:val="8A1F3D"/>
          <w:sz w:val="19"/>
        </w:rPr>
        <w:t>Failed to fetch</w:t>
      </w:r>
      <w:r>
        <w:t xml:space="preserve"> por dos causas ajenas al código de negocio: </w:t>
      </w:r>
      <w:r>
        <w:rPr>
          <w:rFonts w:ascii="Consolas" w:hAnsi="Consolas" w:eastAsia="Consolas"/>
          <w:color w:val="8A1F3D"/>
          <w:sz w:val="19"/>
        </w:rPr>
        <w:t>node --watch</w:t>
      </w:r>
      <w:r>
        <w:t xml:space="preserve"> observaba el archivo de SQLite y reiniciaba el servidor con cada escritura, y </w:t>
      </w:r>
      <w:r>
        <w:rPr>
          <w:rFonts w:ascii="Consolas" w:hAnsi="Consolas" w:eastAsia="Consolas"/>
          <w:color w:val="8A1F3D"/>
          <w:sz w:val="19"/>
        </w:rPr>
        <w:t>.env.example</w:t>
      </w:r>
      <w:r>
        <w:t xml:space="preserve"> traía un </w:t>
      </w:r>
      <w:r>
        <w:rPr>
          <w:rFonts w:ascii="Consolas" w:hAnsi="Consolas" w:eastAsia="Consolas"/>
          <w:color w:val="8A1F3D"/>
          <w:sz w:val="19"/>
        </w:rPr>
        <w:t>CORS_ORIGINS</w:t>
      </w:r>
      <w:r>
        <w:t xml:space="preserve"> de ejemplo que, copiado tal cual, bloqueaba al frontend. Los ejemplos de configuración no deben traer valores que rompan el entorno local.</w:t>
      </w:r>
    </w:p>
    <w:p>
      <w:pPr>
        <w:spacing w:after="60"/>
        <w:ind w:left="510" w:hanging="340"/>
      </w:pPr>
      <w:r>
        <w:t xml:space="preserve">6. </w:t>
      </w:r>
      <w:r>
        <w:rPr>
          <w:b/>
        </w:rPr>
        <w:t>Las advertencias de un escáner son hallazgos, no ruido.</w:t>
      </w:r>
      <w:r>
        <w:t xml:space="preserve"> Las dos advertencias "menores" de ZAP eran mejoras reales de seguridad (CORS abierto, respuestas cacheables).</w:t>
      </w:r>
    </w:p>
    <w:p>
      <w:pPr>
        <w:spacing w:after="60"/>
        <w:ind w:left="510" w:hanging="340"/>
      </w:pPr>
      <w:r>
        <w:t xml:space="preserve">7. </w:t>
      </w:r>
      <w:r>
        <w:rPr>
          <w:b/>
        </w:rPr>
        <w:t>Medir antes de afirmar.</w:t>
      </w:r>
      <w:r>
        <w:t xml:space="preserve"> El requisito de 1 000 usuarios se daba por cubierto sin haberlo probado; medirlo mostró que el límite es el hash de contraseñas, y separar la limitación de la máquina de la de la aplicación evitó sacar una conclusión equivocada en cualquier dirección.</w:t>
      </w:r>
    </w:p>
    <w:p>
      <w:pPr>
        <w:spacing w:after="60"/>
        <w:ind w:left="510" w:hanging="340"/>
      </w:pPr>
      <w:r>
        <w:t xml:space="preserve">8. </w:t>
      </w:r>
      <w:r>
        <w:rPr>
          <w:b/>
        </w:rPr>
        <w:t>Las dependencias de desarrollo también se auditan.</w:t>
      </w:r>
      <w:r>
        <w:t xml:space="preserve"> </w:t>
      </w:r>
      <w:r>
        <w:rPr>
          <w:rFonts w:ascii="Consolas" w:hAnsi="Consolas" w:eastAsia="Consolas"/>
          <w:color w:val="8A1F3D"/>
          <w:sz w:val="19"/>
        </w:rPr>
        <w:t>npm audit</w:t>
      </w:r>
      <w:r>
        <w:t xml:space="preserve"> marcó una vulnerabilidad en una versión reciente del ejecutor de pruebas antes de que llegara a </w:t>
      </w:r>
      <w:r>
        <w:rPr>
          <w:rFonts w:ascii="Consolas" w:hAnsi="Consolas" w:eastAsia="Consolas"/>
          <w:color w:val="8A1F3D"/>
          <w:sz w:val="19"/>
        </w:rPr>
        <w:t>main</w:t>
      </w:r>
      <w:r>
        <w:t xml:space="preserve">; además, un fallo del resolvedor de npm con las peer dependencies obligó a fijar </w:t>
      </w:r>
      <w:r>
        <w:rPr>
          <w:rFonts w:ascii="Consolas" w:hAnsi="Consolas" w:eastAsia="Consolas"/>
          <w:color w:val="8A1F3D"/>
          <w:sz w:val="19"/>
        </w:rPr>
        <w:t>legacy-peer-deps</w:t>
      </w:r>
      <w:r>
        <w:t xml:space="preserve"> en </w:t>
      </w:r>
      <w:r>
        <w:rPr>
          <w:rFonts w:ascii="Consolas" w:hAnsi="Consolas" w:eastAsia="Consolas"/>
          <w:color w:val="8A1F3D"/>
          <w:sz w:val="19"/>
        </w:rPr>
        <w:t>.npmrc</w:t>
      </w:r>
      <w:r>
        <w:t xml:space="preserve"> para que local y CI se comporten igual.</w:t>
      </w:r>
    </w:p>
    <w:p>
      <w:pPr>
        <w:spacing w:after="60"/>
        <w:ind w:left="510" w:hanging="340"/>
      </w:pPr>
      <w:r>
        <w:t xml:space="preserve">9. </w:t>
      </w:r>
      <w:r>
        <w:rPr>
          <w:b/>
        </w:rPr>
        <w:t>Un detalle de pruebas puede ocultar un problema falso o uno real.</w:t>
      </w:r>
      <w:r>
        <w:t xml:space="preserve"> Una prueba se colgaba solo en jsdom al combinar transiciones de página con animaciones desactivadas; se comprobó en un navegador real que la aplicación no tenía el problema antes de descartarla, en vez de asumirlo.</w:t>
      </w:r>
    </w:p>
    <w:p>
      <w:pPr>
        <w:pStyle w:val="Heading2"/>
      </w:pPr>
      <w:r>
        <w:t>6.4 Plan de mejora continua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9CE"/>
          <w:left w:val="single" w:sz="4" w:color="C9C9CE"/>
          <w:bottom w:val="single" w:sz="4" w:color="C9C9CE"/>
          <w:right w:val="single" w:sz="4" w:color="C9C9CE"/>
          <w:insideH w:val="single" w:sz="4" w:color="C9C9CE"/>
          <w:insideV w:val="single" w:sz="4" w:color="C9C9CE"/>
        </w:tblBorders>
      </w:tblPr>
      <w:tblGrid>
        <w:gridCol w:w="3249"/>
        <w:gridCol w:w="3249"/>
        <w:gridCol w:w="3249"/>
      </w:tblGrid>
      <w:tr>
        <w:trPr>
          <w:cantSplit w:val="true"/>
          <w:tblHeader w:val="true"/>
        </w:trPr>
        <w:tc>
          <w:tcPr>
            <w:tcW w:type="dxa" w:w="3546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3546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Meta medible</w:t>
            </w:r>
          </w:p>
        </w:tc>
        <w:tc>
          <w:tcPr>
            <w:tcW w:type="dxa" w:w="2659"/>
            <w:shd w:val="clear" w:color="auto" w:fill="0071E3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Fecha objetivo</w:t>
            </w:r>
          </w:p>
        </w:tc>
      </w:tr>
      <w:tr>
        <w:trPr>
          <w:cantSplit w:val="true"/>
        </w:trPr>
        <w:tc>
          <w:tcPr>
            <w:tcW w:type="dxa" w:w="3546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Hacer que el </w:t>
            </w:r>
            <w:r>
              <w:rPr>
                <w:i/>
                <w:sz w:val="19"/>
              </w:rPr>
              <w:t>quality gate</w:t>
            </w:r>
            <w:r>
              <w:rPr>
                <w:sz w:val="19"/>
              </w:rPr>
              <w:t xml:space="preserve"> de SonarCloud bloquee el merge (protección de rama + análisis de PR)</w:t>
            </w:r>
          </w:p>
        </w:tc>
        <w:tc>
          <w:tcPr>
            <w:tcW w:type="dxa" w:w="3546"/>
          </w:tcPr>
          <w:p>
            <w:pPr>
              <w:spacing w:after="40" w:line="240" w:lineRule="auto"/>
            </w:pPr>
            <w:r>
              <w:rPr>
                <w:sz w:val="19"/>
              </w:rPr>
              <w:t>0 code smells y 0 vulnerabilidades nuevas por PR; cobertura de código nuevo ≥ 80 %</w:t>
            </w:r>
          </w:p>
        </w:tc>
        <w:tc>
          <w:tcPr>
            <w:tcW w:type="dxa" w:w="2659"/>
          </w:tcPr>
          <w:p>
            <w:pPr>
              <w:spacing w:after="40" w:line="240" w:lineRule="auto"/>
            </w:pPr>
            <w:r>
              <w:rPr>
                <w:sz w:val="19"/>
              </w:rPr>
              <w:t>19-oct-2026</w:t>
            </w:r>
          </w:p>
        </w:tc>
      </w:tr>
      <w:tr>
        <w:trPr>
          <w:cantSplit w:val="true"/>
        </w:trPr>
        <w:tc>
          <w:tcPr>
            <w:tcW w:type="dxa" w:w="354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Validar el requisito de 1 000 usuarios en Linux con rampa (k6 o autocannon en CI/staging)</w:t>
            </w:r>
          </w:p>
        </w:tc>
        <w:tc>
          <w:tcPr>
            <w:tcW w:type="dxa" w:w="354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1 000 usuarios autenticados, p99 &lt; 2 s, 0 errores; y login sostenido ≥ 50/s</w:t>
            </w:r>
          </w:p>
        </w:tc>
        <w:tc>
          <w:tcPr>
            <w:tcW w:type="dxa" w:w="265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30-nov-2026 (Sprint 6)</w:t>
            </w:r>
          </w:p>
        </w:tc>
      </w:tr>
      <w:tr>
        <w:trPr>
          <w:cantSplit w:val="true"/>
        </w:trPr>
        <w:tc>
          <w:tcPr>
            <w:tcW w:type="dxa" w:w="3546"/>
          </w:tcPr>
          <w:p>
            <w:pPr>
              <w:spacing w:after="40" w:line="240" w:lineRule="auto"/>
            </w:pPr>
            <w:r>
              <w:rPr>
                <w:sz w:val="19"/>
              </w:rPr>
              <w:t>Reducir el costo del login: bcrypt nativo o Argon2 en hilos + escalado horizontal</w:t>
            </w:r>
          </w:p>
        </w:tc>
        <w:tc>
          <w:tcPr>
            <w:tcW w:type="dxa" w:w="3546"/>
          </w:tcPr>
          <w:p>
            <w:pPr>
              <w:spacing w:after="40" w:line="240" w:lineRule="auto"/>
            </w:pPr>
            <w:r>
              <w:rPr>
                <w:sz w:val="19"/>
              </w:rPr>
              <w:t>≥ 50 logins/s por instancia a costo equivalente a 12</w:t>
            </w:r>
          </w:p>
        </w:tc>
        <w:tc>
          <w:tcPr>
            <w:tcW w:type="dxa" w:w="2659"/>
          </w:tcPr>
          <w:p>
            <w:pPr>
              <w:spacing w:after="40" w:line="240" w:lineRule="auto"/>
            </w:pPr>
            <w:r>
              <w:rPr>
                <w:sz w:val="19"/>
              </w:rPr>
              <w:t>19-oct-2026</w:t>
            </w:r>
          </w:p>
        </w:tc>
      </w:tr>
      <w:tr>
        <w:trPr>
          <w:cantSplit w:val="true"/>
        </w:trPr>
        <w:tc>
          <w:tcPr>
            <w:tcW w:type="dxa" w:w="354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Mover el JWT de </w:t>
            </w:r>
            <w:r>
              <w:rPr>
                <w:rFonts w:ascii="Consolas" w:hAnsi="Consolas" w:eastAsia="Consolas"/>
                <w:color w:val="8A1F3D"/>
                <w:sz w:val="17"/>
              </w:rPr>
              <w:t>localStorage</w:t>
            </w:r>
            <w:r>
              <w:rPr>
                <w:sz w:val="19"/>
              </w:rPr>
              <w:t xml:space="preserve"> a cookie </w:t>
            </w:r>
            <w:r>
              <w:rPr>
                <w:rFonts w:ascii="Consolas" w:hAnsi="Consolas" w:eastAsia="Consolas"/>
                <w:color w:val="8A1F3D"/>
                <w:sz w:val="17"/>
              </w:rPr>
              <w:t>httpOnly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8A1F3D"/>
                <w:sz w:val="17"/>
              </w:rPr>
              <w:t>SameSite</w:t>
            </w:r>
            <w:r>
              <w:rPr>
                <w:sz w:val="19"/>
              </w:rPr>
              <w:t xml:space="preserve"> + protección CSRF</w:t>
            </w:r>
          </w:p>
        </w:tc>
        <w:tc>
          <w:tcPr>
            <w:tcW w:type="dxa" w:w="354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El token no es legible desde JavaScript; pruebas de CSRF en CI</w:t>
            </w:r>
          </w:p>
        </w:tc>
        <w:tc>
          <w:tcPr>
            <w:tcW w:type="dxa" w:w="265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19-oct-2026</w:t>
            </w:r>
          </w:p>
        </w:tc>
      </w:tr>
      <w:tr>
        <w:trPr>
          <w:cantSplit w:val="true"/>
        </w:trPr>
        <w:tc>
          <w:tcPr>
            <w:tcW w:type="dxa" w:w="3546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Ampliar ZAP de </w:t>
            </w:r>
            <w:r>
              <w:rPr>
                <w:i/>
                <w:sz w:val="19"/>
              </w:rPr>
              <w:t>baseline</w:t>
            </w:r>
            <w:r>
              <w:rPr>
                <w:sz w:val="19"/>
              </w:rPr>
              <w:t xml:space="preserve"> (pasivo) a </w:t>
            </w:r>
            <w:r>
              <w:rPr>
                <w:i/>
                <w:sz w:val="19"/>
              </w:rPr>
              <w:t>full scan</w:t>
            </w:r>
            <w:r>
              <w:rPr>
                <w:sz w:val="19"/>
              </w:rPr>
              <w:t xml:space="preserve"> autenticado, que ataca activamente los endpoints</w:t>
            </w:r>
          </w:p>
        </w:tc>
        <w:tc>
          <w:tcPr>
            <w:tcW w:type="dxa" w:w="3546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0 alertas Alta/Media sobre </w:t>
            </w:r>
            <w:r>
              <w:rPr>
                <w:rFonts w:ascii="Consolas" w:hAnsi="Consolas" w:eastAsia="Consolas"/>
                <w:color w:val="8A1F3D"/>
                <w:sz w:val="17"/>
              </w:rPr>
              <w:t>/api/auth/*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 w:eastAsia="Consolas"/>
                <w:color w:val="8A1F3D"/>
                <w:sz w:val="17"/>
              </w:rPr>
              <w:t>/api/vehicles</w:t>
            </w:r>
          </w:p>
        </w:tc>
        <w:tc>
          <w:tcPr>
            <w:tcW w:type="dxa" w:w="2659"/>
          </w:tcPr>
          <w:p>
            <w:pPr>
              <w:spacing w:after="40" w:line="240" w:lineRule="auto"/>
            </w:pPr>
            <w:r>
              <w:rPr>
                <w:sz w:val="19"/>
              </w:rPr>
              <w:t>10-dic-2026</w:t>
            </w:r>
          </w:p>
        </w:tc>
      </w:tr>
      <w:tr>
        <w:trPr>
          <w:cantSplit w:val="true"/>
        </w:trPr>
        <w:tc>
          <w:tcPr>
            <w:tcW w:type="dxa" w:w="354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Desplegar en un host persistente (Fly.io con volumen, o Render de pago con disco) y activar </w:t>
            </w:r>
            <w:r>
              <w:rPr>
                <w:rFonts w:ascii="Consolas" w:hAnsi="Consolas" w:eastAsia="Consolas"/>
                <w:color w:val="8A1F3D"/>
                <w:sz w:val="17"/>
              </w:rPr>
              <w:t>RENDER_DEPLOY_HOOK</w:t>
            </w:r>
          </w:p>
        </w:tc>
        <w:tc>
          <w:tcPr>
            <w:tcW w:type="dxa" w:w="354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URL de staging con uptime verificable; datos que sobreviven a un redespliegue (configuración ya lista en el repositorio)</w:t>
            </w:r>
          </w:p>
        </w:tc>
        <w:tc>
          <w:tcPr>
            <w:tcW w:type="dxa" w:w="265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19-oct-2026</w:t>
            </w:r>
          </w:p>
        </w:tc>
      </w:tr>
      <w:tr>
        <w:trPr>
          <w:cantSplit w:val="true"/>
        </w:trPr>
        <w:tc>
          <w:tcPr>
            <w:tcW w:type="dxa" w:w="3546"/>
          </w:tcPr>
          <w:p>
            <w:pPr>
              <w:spacing w:after="40" w:line="240" w:lineRule="auto"/>
            </w:pPr>
            <w:r>
              <w:rPr>
                <w:sz w:val="19"/>
              </w:rPr>
              <w:t>Pruebas end-to-end del flujo registro → panel (Playwright) en CI</w:t>
            </w:r>
          </w:p>
        </w:tc>
        <w:tc>
          <w:tcPr>
            <w:tcW w:type="dxa" w:w="3546"/>
          </w:tcPr>
          <w:p>
            <w:pPr>
              <w:spacing w:after="40" w:line="240" w:lineRule="auto"/>
            </w:pPr>
            <w:r>
              <w:rPr>
                <w:sz w:val="19"/>
              </w:rPr>
              <w:t>Flujo completo en verde en cada PR; auditoría Lighthouse de accesibilidad ≥ 95</w:t>
            </w:r>
          </w:p>
        </w:tc>
        <w:tc>
          <w:tcPr>
            <w:tcW w:type="dxa" w:w="2659"/>
          </w:tcPr>
          <w:p>
            <w:pPr>
              <w:spacing w:after="40" w:line="240" w:lineRule="auto"/>
            </w:pPr>
            <w:r>
              <w:rPr>
                <w:sz w:val="19"/>
              </w:rPr>
              <w:t>30-nov-2026</w:t>
            </w:r>
          </w:p>
        </w:tc>
      </w:tr>
      <w:tr>
        <w:trPr>
          <w:cantSplit w:val="true"/>
        </w:trPr>
        <w:tc>
          <w:tcPr>
            <w:tcW w:type="dxa" w:w="354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Carga de fotos reales del vehículo (almacenamiento de objetos + validación de tipo/tamaño) y reemplazo de la ilustración</w:t>
            </w:r>
          </w:p>
        </w:tc>
        <w:tc>
          <w:tcPr>
            <w:tcW w:type="dxa" w:w="3546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Hasta 8 fotos por auto, ≤ 5 MB c/u, con pruebas de rechazo de archivos no permitidos</w:t>
            </w:r>
          </w:p>
        </w:tc>
        <w:tc>
          <w:tcPr>
            <w:tcW w:type="dxa" w:w="2659"/>
            <w:shd w:val="clear" w:color="auto" w:fill="F5F5F7"/>
          </w:tcPr>
          <w:p>
            <w:pPr>
              <w:spacing w:after="40" w:line="240" w:lineRule="auto"/>
            </w:pPr>
            <w:r>
              <w:rPr>
                <w:sz w:val="19"/>
              </w:rPr>
              <w:t>Sprint 2 (28-sep → 19-oct)</w:t>
            </w:r>
          </w:p>
        </w:tc>
      </w:tr>
      <w:tr>
        <w:trPr>
          <w:cantSplit w:val="true"/>
        </w:trPr>
        <w:tc>
          <w:tcPr>
            <w:tcW w:type="dxa" w:w="3546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Innovación:</w:t>
            </w:r>
            <w:r>
              <w:rPr>
                <w:sz w:val="19"/>
              </w:rPr>
              <w:t xml:space="preserve"> modelo para </w:t>
            </w:r>
            <w:r>
              <w:rPr>
                <w:b/>
                <w:sz w:val="19"/>
              </w:rPr>
              <w:t>predecir la probabilidad de cierre de venta por prospecto</w:t>
            </w:r>
            <w:r>
              <w:rPr>
                <w:sz w:val="19"/>
              </w:rPr>
              <w:t xml:space="preserve"> y sugerir precio de referencia (kilometraje/año/zona), entrenado con el módulo de Reportes</w:t>
            </w:r>
          </w:p>
        </w:tc>
        <w:tc>
          <w:tcPr>
            <w:tcW w:type="dxa" w:w="3546"/>
          </w:tcPr>
          <w:p>
            <w:pPr>
              <w:spacing w:after="40" w:line="240" w:lineRule="auto"/>
            </w:pPr>
            <w:r>
              <w:rPr>
                <w:sz w:val="19"/>
              </w:rPr>
              <w:t>Prototipo offline con AUC ≥ 0.7 sobre datos históricos simulados</w:t>
            </w:r>
          </w:p>
        </w:tc>
        <w:tc>
          <w:tcPr>
            <w:tcW w:type="dxa" w:w="2659"/>
          </w:tcPr>
          <w:p>
            <w:pPr>
              <w:spacing w:after="40" w:line="240" w:lineRule="auto"/>
            </w:pPr>
            <w:r>
              <w:rPr>
                <w:sz w:val="19"/>
              </w:rPr>
              <w:t xml:space="preserve">Sprint 5 (16–30-nov-2026), como </w:t>
            </w:r>
            <w:r>
              <w:rPr>
                <w:i/>
                <w:sz w:val="19"/>
              </w:rPr>
              <w:t>spike</w:t>
            </w:r>
            <w:r>
              <w:rPr>
                <w:sz w:val="19"/>
              </w:rPr>
              <w:t xml:space="preserve"> técnico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A"/>
        <w:sz w:val="18"/>
      </w:rPr>
      <w:t xml:space="preserve">DAuto · Informe de cierre · página </w:t>
    </w:r>
    <w:r>
      <w:rPr>
        <w:color w:val="55555A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D1D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D1D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D1D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DAuto — Informe de cierre</dc:title>
  <dc:subject/>
  <dc:creator>Diego Villarreal Martínez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