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C9A227"/>
          <w:sz w:val="26"/>
          <w:szCs w:val="26"/>
        </w:rPr>
        <w:t xml:space="preserve">GLORENTECH™ / GRT™</w:t>
      </w:r>
    </w:p>
    <w:p>
      <w:pPr>
        <w:spacing w:after="500" w:before="100"/>
        <w:jc w:val="center"/>
      </w:pPr>
      <w:r>
        <w:rPr>
          <w:color w:val="1B2A4A"/>
          <w:sz w:val="20"/>
          <w:szCs w:val="20"/>
        </w:rPr>
        <w:t xml:space="preserve">Global Renaissance Technology SARL — Messassi, Yaoundé, Cameroon</w:t>
      </w:r>
    </w:p>
    <w:p>
      <w:pPr>
        <w:spacing w:after="160" w:before="300"/>
        <w:jc w:val="center"/>
      </w:pPr>
      <w:r>
        <w:rPr>
          <w:b/>
          <w:bCs/>
          <w:color w:val="1B2A4A"/>
          <w:sz w:val="56"/>
          <w:szCs w:val="56"/>
        </w:rPr>
        <w:t xml:space="preserve">OAZILAND</w:t>
      </w:r>
    </w:p>
    <w:p>
      <w:pPr>
        <w:spacing w:after="400"/>
        <w:jc w:val="center"/>
      </w:pPr>
      <w:r>
        <w:rPr>
          <w:b/>
          <w:bCs/>
          <w:color w:val="C9A227"/>
          <w:sz w:val="28"/>
          <w:szCs w:val="28"/>
        </w:rPr>
        <w:t xml:space="preserve">Technology Stack, Third-Party Services &amp; Deployment Roadmap</w:t>
      </w:r>
    </w:p>
    <w:p>
      <w:pPr>
        <w:spacing w:after="100"/>
        <w:jc w:val="center"/>
      </w:pPr>
      <w:r>
        <w:rPr>
          <w:color w:val="444444"/>
          <w:sz w:val="20"/>
          <w:szCs w:val="20"/>
        </w:rPr>
        <w:t xml:space="preserve">Programming Languages · Database Architecture · APIs &amp; Subscriptions</w:t>
      </w:r>
    </w:p>
    <w:p>
      <w:pPr>
        <w:spacing w:after="100"/>
        <w:jc w:val="center"/>
      </w:pPr>
      <w:r>
        <w:rPr>
          <w:color w:val="444444"/>
          <w:sz w:val="20"/>
          <w:szCs w:val="20"/>
        </w:rPr>
        <w:t xml:space="preserve">Step-by-Step Procedure: Design → Development → Hosting &amp; Deployment</w:t>
      </w:r>
    </w:p>
    <w:p>
      <w:pPr>
        <w:spacing w:after="60" w:before="800"/>
        <w:jc w:val="center"/>
      </w:pPr>
      <w:r>
        <w:rPr>
          <w:color w:val="444444"/>
          <w:sz w:val="18"/>
          <w:szCs w:val="18"/>
        </w:rPr>
        <w:t xml:space="preserve">Prepared for: Oaziland Product &amp; Engineering Team</w:t>
      </w:r>
    </w:p>
    <w:p>
      <w:pPr>
        <w:spacing w:after="60"/>
        <w:jc w:val="center"/>
      </w:pPr>
      <w:r>
        <w:rPr>
          <w:color w:val="444444"/>
          <w:sz w:val="18"/>
          <w:szCs w:val="18"/>
        </w:rPr>
        <w:t xml:space="preserve">Document Version 1.0  ·  July 2026</w:t>
      </w:r>
    </w:p>
    <w:p>
      <w:pPr>
        <w:spacing w:after="60"/>
        <w:jc w:val="center"/>
      </w:pPr>
      <w:r>
        <w:rPr>
          <w:color w:val="444444"/>
          <w:sz w:val="18"/>
          <w:szCs w:val="18"/>
        </w:rPr>
        <w:t xml:space="preserve">Classification: Internal / Investor Ready</w:t>
      </w:r>
    </w:p>
    <w:p>
      <w:r>
        <w:br w:type="page"/>
      </w:r>
    </w:p>
    <w:p>
      <w:pPr>
        <w:pStyle w:val="Heading1"/>
        <w:spacing w:after="160" w:before="240"/>
      </w:pPr>
      <w:r>
        <w:rPr>
          <w:b/>
          <w:bCs/>
          <w:color w:val="1B2A4A"/>
        </w:rPr>
        <w:t xml:space="preserve">Table of Contents</w:t>
      </w:r>
    </w:p>
    <w:p>
      <w:pPr>
        <w:spacing w:after="110"/>
      </w:pPr>
      <w:r>
        <w:rPr>
          <w:b/>
          <w:bCs/>
          <w:color w:val="C9A227"/>
          <w:sz w:val="22"/>
          <w:szCs w:val="22"/>
        </w:rPr>
        <w:t xml:space="preserve">1  </w:t>
      </w:r>
      <w:r>
        <w:rPr>
          <w:color w:val="1B2A4A"/>
          <w:sz w:val="22"/>
          <w:szCs w:val="22"/>
        </w:rPr>
        <w:t xml:space="preserve">Executive Summary</w:t>
      </w:r>
    </w:p>
    <w:p>
      <w:pPr>
        <w:spacing w:after="110"/>
      </w:pPr>
      <w:r>
        <w:rPr>
          <w:b/>
          <w:bCs/>
          <w:color w:val="C9A227"/>
          <w:sz w:val="22"/>
          <w:szCs w:val="22"/>
        </w:rPr>
        <w:t xml:space="preserve">2  </w:t>
      </w:r>
      <w:r>
        <w:rPr>
          <w:color w:val="1B2A4A"/>
          <w:sz w:val="22"/>
          <w:szCs w:val="22"/>
        </w:rPr>
        <w:t xml:space="preserve">Programming Languages &amp; Core Technology Stack</w:t>
      </w:r>
    </w:p>
    <w:p>
      <w:pPr>
        <w:spacing w:after="110"/>
      </w:pPr>
      <w:r>
        <w:rPr>
          <w:b/>
          <w:bCs/>
          <w:color w:val="C9A227"/>
          <w:sz w:val="22"/>
          <w:szCs w:val="22"/>
        </w:rPr>
        <w:t xml:space="preserve">3  </w:t>
      </w:r>
      <w:r>
        <w:rPr>
          <w:color w:val="1B2A4A"/>
          <w:sz w:val="22"/>
          <w:szCs w:val="22"/>
        </w:rPr>
        <w:t xml:space="preserve">Database Architecture</w:t>
      </w:r>
    </w:p>
    <w:p>
      <w:pPr>
        <w:spacing w:after="110"/>
      </w:pPr>
      <w:r>
        <w:rPr>
          <w:b/>
          <w:bCs/>
          <w:color w:val="C9A227"/>
          <w:sz w:val="22"/>
          <w:szCs w:val="22"/>
        </w:rPr>
        <w:t xml:space="preserve">4  </w:t>
      </w:r>
      <w:r>
        <w:rPr>
          <w:color w:val="1B2A4A"/>
          <w:sz w:val="22"/>
          <w:szCs w:val="22"/>
        </w:rPr>
        <w:t xml:space="preserve">Can Supabase, React, and React Native Work? — Full Tradeoff Analysis</w:t>
      </w:r>
    </w:p>
    <w:p>
      <w:pPr>
        <w:spacing w:after="110"/>
      </w:pPr>
      <w:r>
        <w:rPr>
          <w:b/>
          <w:bCs/>
          <w:color w:val="C9A227"/>
          <w:sz w:val="22"/>
          <w:szCs w:val="22"/>
        </w:rPr>
        <w:t xml:space="preserve">5  </w:t>
      </w:r>
      <w:r>
        <w:rPr>
          <w:color w:val="1B2A4A"/>
          <w:sz w:val="22"/>
          <w:szCs w:val="22"/>
        </w:rPr>
        <w:t xml:space="preserve">Offline Functionality Architecture</w:t>
      </w:r>
    </w:p>
    <w:p>
      <w:pPr>
        <w:spacing w:after="110"/>
      </w:pPr>
      <w:r>
        <w:rPr>
          <w:b/>
          <w:bCs/>
          <w:color w:val="C9A227"/>
          <w:sz w:val="22"/>
          <w:szCs w:val="22"/>
        </w:rPr>
        <w:t xml:space="preserve">6  </w:t>
      </w:r>
      <w:r>
        <w:rPr>
          <w:color w:val="1B2A4A"/>
          <w:sz w:val="22"/>
          <w:szCs w:val="22"/>
        </w:rPr>
        <w:t xml:space="preserve">SEO Strategy</w:t>
      </w:r>
    </w:p>
    <w:p>
      <w:pPr>
        <w:spacing w:after="110"/>
      </w:pPr>
      <w:r>
        <w:rPr>
          <w:b/>
          <w:bCs/>
          <w:color w:val="C9A227"/>
          <w:sz w:val="22"/>
          <w:szCs w:val="22"/>
        </w:rPr>
        <w:t xml:space="preserve">7  </w:t>
      </w:r>
      <w:r>
        <w:rPr>
          <w:color w:val="1B2A4A"/>
          <w:sz w:val="22"/>
          <w:szCs w:val="22"/>
        </w:rPr>
        <w:t xml:space="preserve">Third-Party APIs &amp; Integrations</w:t>
      </w:r>
    </w:p>
    <w:p>
      <w:pPr>
        <w:spacing w:after="110"/>
      </w:pPr>
      <w:r>
        <w:rPr>
          <w:b/>
          <w:bCs/>
          <w:color w:val="C9A227"/>
          <w:sz w:val="22"/>
          <w:szCs w:val="22"/>
        </w:rPr>
        <w:t xml:space="preserve">8  </w:t>
      </w:r>
      <w:r>
        <w:rPr>
          <w:color w:val="1B2A4A"/>
          <w:sz w:val="22"/>
          <w:szCs w:val="22"/>
        </w:rPr>
        <w:t xml:space="preserve">Subscriptions &amp; Recurring Cost Summary</w:t>
      </w:r>
    </w:p>
    <w:p>
      <w:pPr>
        <w:spacing w:after="110"/>
      </w:pPr>
      <w:r>
        <w:rPr>
          <w:b/>
          <w:bCs/>
          <w:color w:val="C9A227"/>
          <w:sz w:val="22"/>
          <w:szCs w:val="22"/>
        </w:rPr>
        <w:t xml:space="preserve">9  </w:t>
      </w:r>
      <w:r>
        <w:rPr>
          <w:color w:val="1B2A4A"/>
          <w:sz w:val="22"/>
          <w:szCs w:val="22"/>
        </w:rPr>
        <w:t xml:space="preserve">Step-by-Step Procedure: Design Through Deployment</w:t>
      </w:r>
    </w:p>
    <w:p>
      <w:pPr>
        <w:spacing w:after="110"/>
      </w:pPr>
      <w:r>
        <w:rPr>
          <w:b/>
          <w:bCs/>
          <w:color w:val="C9A227"/>
          <w:sz w:val="22"/>
          <w:szCs w:val="22"/>
        </w:rPr>
        <w:t xml:space="preserve">10  </w:t>
      </w:r>
      <w:r>
        <w:rPr>
          <w:color w:val="1B2A4A"/>
          <w:sz w:val="22"/>
          <w:szCs w:val="22"/>
        </w:rPr>
        <w:t xml:space="preserve">Estimated Timeline</w:t>
      </w:r>
    </w:p>
    <w:p>
      <w:pPr>
        <w:spacing w:after="110"/>
      </w:pPr>
      <w:r>
        <w:rPr>
          <w:b/>
          <w:bCs/>
          <w:color w:val="C9A227"/>
          <w:sz w:val="22"/>
          <w:szCs w:val="22"/>
        </w:rPr>
        <w:t xml:space="preserve">11  </w:t>
      </w:r>
      <w:r>
        <w:rPr>
          <w:color w:val="1B2A4A"/>
          <w:sz w:val="22"/>
          <w:szCs w:val="22"/>
        </w:rPr>
        <w:t xml:space="preserve">Conclusion &amp; Immediate Next Actions</w:t>
      </w:r>
    </w:p>
    <w:p>
      <w:r>
        <w:br w:type="page"/>
      </w:r>
    </w:p>
    <w:p>
      <w:pPr>
        <w:pStyle w:val="Heading1"/>
        <w:spacing w:after="160" w:before="240"/>
      </w:pPr>
      <w:r>
        <w:rPr>
          <w:b/>
          <w:bCs/>
          <w:color w:val="1B2A4A"/>
        </w:rPr>
        <w:t xml:space="preserve">1. Executive Summary</w:t>
      </w:r>
    </w:p>
    <w:p>
      <w:pPr>
        <w:spacing w:after="120"/>
      </w:pPr>
      <w:r>
        <w:t xml:space="preserve">This document defines the complete technology foundation for Oaziland — the programming languages, database, third-party services, and subscriptions required to build it — and lays out the exact procedure to follow from design through to production hosting. It is written as a standalone technical decision record, separate from the UML &amp; Data Model Specification, so that engineering and budget decisions can be reviewed and approved independently of the domain modeling work already completed.</w:t>
      </w:r>
    </w:p>
    <w:p>
      <w:pPr>
        <w:spacing w:after="120"/>
      </w:pPr>
      <w:r>
        <w:t xml:space="preserve">The recommendation in brief: Django (Python) for the backend, Next.js (React) for the web app, React Native for mobile, and PostgreSQL as the shared database — the same stack the existing architecture, data model, and working code skeleton were already built against. Supabase is evaluated on its merits as a possible managed-hosting layer for that same PostgreSQL database, not as a replacement for the backend logic already designed.</w:t>
      </w:r>
    </w:p>
    <w:p>
      <w:pPr>
        <w:spacing w:after="120"/>
      </w:pPr>
      <w:r>
        <w:t xml:space="preserve">Section 9 is the actionable core of this document: a phase-by-phase procedure — design, environment setup, backend, web, mobile, integrations, testing, and deployment — that an engineering team can follow directly, with estimated durations in Section 10.</w:t>
      </w:r>
    </w:p>
    <w:p>
      <w:r>
        <w:br w:type="page"/>
      </w:r>
    </w:p>
    <w:p>
      <w:pPr>
        <w:pStyle w:val="Heading1"/>
        <w:spacing w:after="160" w:before="240"/>
      </w:pPr>
      <w:r>
        <w:rPr>
          <w:b/>
          <w:bCs/>
          <w:color w:val="1B2A4A"/>
        </w:rPr>
        <w:t xml:space="preserve">2. Programming Languages &amp; Core Technology Stack</w:t>
      </w:r>
    </w:p>
    <w:p>
      <w:pPr>
        <w:spacing w:after="120"/>
      </w:pPr>
      <w:r>
        <w:t xml:space="preserve">The stack below is not a menu of options — it is the specific, justified recommendation, chosen because it already matches the architecture, data model, and working Django code skeleton produced earlier in this project.</w:t>
      </w:r>
    </w:p>
    <w:tbl>
      <w:tblPr>
        <w:tblW w:type="pct" w:w="100%"/>
        <w:tblBorders>
          <w:top w:val="single" w:color="CCCCCC" w:sz="4"/>
          <w:left w:val="single" w:color="CCCCCC" w:sz="4"/>
          <w:bottom w:val="single" w:color="CCCCCC" w:sz="4"/>
          <w:right w:val="single" w:color="CCCCCC" w:sz="4"/>
          <w:insideH w:val="single" w:color="DDDDDD" w:sz="2"/>
          <w:insideV w:val="single" w:color="DDDDDD" w:sz="2"/>
        </w:tblBorders>
      </w:tblPr>
      <w:tblGrid>
        <w:gridCol w:w="100"/>
        <w:gridCol w:w="100"/>
        <w:gridCol w:w="100"/>
      </w:tblGrid>
      <w:tr>
        <w:tc>
          <w:tcPr>
            <w:tcW w:type="pct" w:w="22%"/>
            <w:shd w:fill="1B2A4A" w:val="clear"/>
            <w:tcMar>
              <w:top w:type="dxa" w:w="90"/>
              <w:left w:type="dxa" w:w="120"/>
              <w:bottom w:type="dxa" w:w="90"/>
              <w:right w:type="dxa" w:w="120"/>
            </w:tcMar>
          </w:tcPr>
          <w:p>
            <w:r>
              <w:rPr>
                <w:b/>
                <w:bCs/>
                <w:color w:val="FFFFFF"/>
                <w:sz w:val="19"/>
                <w:szCs w:val="19"/>
              </w:rPr>
              <w:t xml:space="preserve">Layer</w:t>
            </w:r>
          </w:p>
        </w:tc>
        <w:tc>
          <w:tcPr>
            <w:tcW w:type="pct" w:w="28%"/>
            <w:shd w:fill="1B2A4A" w:val="clear"/>
            <w:tcMar>
              <w:top w:type="dxa" w:w="90"/>
              <w:left w:type="dxa" w:w="120"/>
              <w:bottom w:type="dxa" w:w="90"/>
              <w:right w:type="dxa" w:w="120"/>
            </w:tcMar>
          </w:tcPr>
          <w:p>
            <w:r>
              <w:rPr>
                <w:b/>
                <w:bCs/>
                <w:color w:val="FFFFFF"/>
                <w:sz w:val="19"/>
                <w:szCs w:val="19"/>
              </w:rPr>
              <w:t xml:space="preserve">Language / Framework</w:t>
            </w:r>
          </w:p>
        </w:tc>
        <w:tc>
          <w:tcPr>
            <w:tcW w:type="pct" w:w="50%"/>
            <w:shd w:fill="1B2A4A" w:val="clear"/>
            <w:tcMar>
              <w:top w:type="dxa" w:w="90"/>
              <w:left w:type="dxa" w:w="120"/>
              <w:bottom w:type="dxa" w:w="90"/>
              <w:right w:type="dxa" w:w="120"/>
            </w:tcMar>
          </w:tcPr>
          <w:p>
            <w:r>
              <w:rPr>
                <w:b/>
                <w:bCs/>
                <w:color w:val="FFFFFF"/>
                <w:sz w:val="19"/>
                <w:szCs w:val="19"/>
              </w:rPr>
              <w:t xml:space="preserve">Rationale</w:t>
            </w:r>
          </w:p>
        </w:tc>
      </w:tr>
      <w:tr>
        <w:tc>
          <w:tcPr>
            <w:tcW w:type="pct" w:w="22%"/>
            <w:tcMar>
              <w:top w:type="dxa" w:w="90"/>
              <w:left w:type="dxa" w:w="120"/>
              <w:bottom w:type="dxa" w:w="90"/>
              <w:right w:type="dxa" w:w="120"/>
            </w:tcMar>
          </w:tcPr>
          <w:p>
            <w:r>
              <w:rPr>
                <w:sz w:val="19"/>
                <w:szCs w:val="19"/>
              </w:rPr>
              <w:t xml:space="preserve">Backend / API</w:t>
            </w:r>
          </w:p>
        </w:tc>
        <w:tc>
          <w:tcPr>
            <w:tcW w:type="pct" w:w="28%"/>
            <w:tcMar>
              <w:top w:type="dxa" w:w="90"/>
              <w:left w:type="dxa" w:w="120"/>
              <w:bottom w:type="dxa" w:w="90"/>
              <w:right w:type="dxa" w:w="120"/>
            </w:tcMar>
          </w:tcPr>
          <w:p>
            <w:r>
              <w:rPr>
                <w:sz w:val="19"/>
                <w:szCs w:val="19"/>
              </w:rPr>
              <w:t xml:space="preserve">Python — Django + Django REST Framework</w:t>
            </w:r>
          </w:p>
        </w:tc>
        <w:tc>
          <w:tcPr>
            <w:tcW w:type="pct" w:w="50%"/>
            <w:tcMar>
              <w:top w:type="dxa" w:w="90"/>
              <w:left w:type="dxa" w:w="120"/>
              <w:bottom w:type="dxa" w:w="90"/>
              <w:right w:type="dxa" w:w="120"/>
            </w:tcMar>
          </w:tcPr>
          <w:p>
            <w:r>
              <w:rPr>
                <w:sz w:val="19"/>
                <w:szCs w:val="19"/>
              </w:rPr>
              <w:t xml:space="preserve">Strong ORM for the complex Booking/Escrow/Commission relationships already modeled; Django's built-in admin accelerates the sophisticated admin console requirement; best ecosystem for the AI/moderation features already specified</w:t>
            </w:r>
          </w:p>
        </w:tc>
      </w:tr>
      <w:tr>
        <w:tc>
          <w:tcPr>
            <w:tcW w:type="pct" w:w="22%"/>
            <w:tcMar>
              <w:top w:type="dxa" w:w="90"/>
              <w:left w:type="dxa" w:w="120"/>
              <w:bottom w:type="dxa" w:w="90"/>
              <w:right w:type="dxa" w:w="120"/>
            </w:tcMar>
          </w:tcPr>
          <w:p>
            <w:r>
              <w:rPr>
                <w:sz w:val="19"/>
                <w:szCs w:val="19"/>
              </w:rPr>
              <w:t xml:space="preserve">Web Application</w:t>
            </w:r>
          </w:p>
        </w:tc>
        <w:tc>
          <w:tcPr>
            <w:tcW w:type="pct" w:w="28%"/>
            <w:tcMar>
              <w:top w:type="dxa" w:w="90"/>
              <w:left w:type="dxa" w:w="120"/>
              <w:bottom w:type="dxa" w:w="90"/>
              <w:right w:type="dxa" w:w="120"/>
            </w:tcMar>
          </w:tcPr>
          <w:p>
            <w:r>
              <w:rPr>
                <w:sz w:val="19"/>
                <w:szCs w:val="19"/>
              </w:rPr>
              <w:t xml:space="preserve">TypeScript — Next.js (React)</w:t>
            </w:r>
          </w:p>
        </w:tc>
        <w:tc>
          <w:tcPr>
            <w:tcW w:type="pct" w:w="50%"/>
            <w:tcMar>
              <w:top w:type="dxa" w:w="90"/>
              <w:left w:type="dxa" w:w="120"/>
              <w:bottom w:type="dxa" w:w="90"/>
              <w:right w:type="dxa" w:w="120"/>
            </w:tcMar>
          </w:tcPr>
          <w:p>
            <w:r>
              <w:rPr>
                <w:sz w:val="19"/>
                <w:szCs w:val="19"/>
              </w:rPr>
              <w:t xml:space="preserve">Server-side rendering is required for SEO (Section 6); shares component patterns and business logic conventions with the mobile codebase</w:t>
            </w:r>
          </w:p>
        </w:tc>
      </w:tr>
      <w:tr>
        <w:tc>
          <w:tcPr>
            <w:tcW w:type="pct" w:w="22%"/>
            <w:tcMar>
              <w:top w:type="dxa" w:w="90"/>
              <w:left w:type="dxa" w:w="120"/>
              <w:bottom w:type="dxa" w:w="90"/>
              <w:right w:type="dxa" w:w="120"/>
            </w:tcMar>
          </w:tcPr>
          <w:p>
            <w:r>
              <w:rPr>
                <w:sz w:val="19"/>
                <w:szCs w:val="19"/>
              </w:rPr>
              <w:t xml:space="preserve">Mobile Application</w:t>
            </w:r>
          </w:p>
        </w:tc>
        <w:tc>
          <w:tcPr>
            <w:tcW w:type="pct" w:w="28%"/>
            <w:tcMar>
              <w:top w:type="dxa" w:w="90"/>
              <w:left w:type="dxa" w:w="120"/>
              <w:bottom w:type="dxa" w:w="90"/>
              <w:right w:type="dxa" w:w="120"/>
            </w:tcMar>
          </w:tcPr>
          <w:p>
            <w:r>
              <w:rPr>
                <w:sz w:val="19"/>
                <w:szCs w:val="19"/>
              </w:rPr>
              <w:t xml:space="preserve">TypeScript — React Native (via Expo)</w:t>
            </w:r>
          </w:p>
        </w:tc>
        <w:tc>
          <w:tcPr>
            <w:tcW w:type="pct" w:w="50%"/>
            <w:tcMar>
              <w:top w:type="dxa" w:w="90"/>
              <w:left w:type="dxa" w:w="120"/>
              <w:bottom w:type="dxa" w:w="90"/>
              <w:right w:type="dxa" w:w="120"/>
            </w:tcMar>
          </w:tcPr>
          <w:p>
            <w:r>
              <w:rPr>
                <w:sz w:val="19"/>
                <w:szCs w:val="19"/>
              </w:rPr>
              <w:t xml:space="preserve">One codebase for iOS and Android; fastest path to feature parity with web; large ecosystem of offline-sync and push-notification tooling</w:t>
            </w:r>
          </w:p>
        </w:tc>
      </w:tr>
      <w:tr>
        <w:tc>
          <w:tcPr>
            <w:tcW w:type="pct" w:w="22%"/>
            <w:tcMar>
              <w:top w:type="dxa" w:w="90"/>
              <w:left w:type="dxa" w:w="120"/>
              <w:bottom w:type="dxa" w:w="90"/>
              <w:right w:type="dxa" w:w="120"/>
            </w:tcMar>
          </w:tcPr>
          <w:p>
            <w:r>
              <w:rPr>
                <w:sz w:val="19"/>
                <w:szCs w:val="19"/>
              </w:rPr>
              <w:t xml:space="preserve">Database</w:t>
            </w:r>
          </w:p>
        </w:tc>
        <w:tc>
          <w:tcPr>
            <w:tcW w:type="pct" w:w="28%"/>
            <w:tcMar>
              <w:top w:type="dxa" w:w="90"/>
              <w:left w:type="dxa" w:w="120"/>
              <w:bottom w:type="dxa" w:w="90"/>
              <w:right w:type="dxa" w:w="120"/>
            </w:tcMar>
          </w:tcPr>
          <w:p>
            <w:r>
              <w:rPr>
                <w:sz w:val="19"/>
                <w:szCs w:val="19"/>
              </w:rPr>
              <w:t xml:space="preserve">PostgreSQL 15+ (with PostGIS extension)</w:t>
            </w:r>
          </w:p>
        </w:tc>
        <w:tc>
          <w:tcPr>
            <w:tcW w:type="pct" w:w="50%"/>
            <w:tcMar>
              <w:top w:type="dxa" w:w="90"/>
              <w:left w:type="dxa" w:w="120"/>
              <w:bottom w:type="dxa" w:w="90"/>
              <w:right w:type="dxa" w:w="120"/>
            </w:tcMar>
          </w:tcPr>
          <w:p>
            <w:r>
              <w:rPr>
                <w:sz w:val="19"/>
                <w:szCs w:val="19"/>
              </w:rPr>
              <w:t xml:space="preserve">Already the target of every schema, constraint, and index designed in the UML &amp; Data Model Specification; PostGIS is required for the geolocation/radius-search features</w:t>
            </w:r>
          </w:p>
        </w:tc>
      </w:tr>
      <w:tr>
        <w:tc>
          <w:tcPr>
            <w:tcW w:type="pct" w:w="22%"/>
            <w:tcMar>
              <w:top w:type="dxa" w:w="90"/>
              <w:left w:type="dxa" w:w="120"/>
              <w:bottom w:type="dxa" w:w="90"/>
              <w:right w:type="dxa" w:w="120"/>
            </w:tcMar>
          </w:tcPr>
          <w:p>
            <w:r>
              <w:rPr>
                <w:sz w:val="19"/>
                <w:szCs w:val="19"/>
              </w:rPr>
              <w:t xml:space="preserve">Caching / Distributed Locking</w:t>
            </w:r>
          </w:p>
        </w:tc>
        <w:tc>
          <w:tcPr>
            <w:tcW w:type="pct" w:w="28%"/>
            <w:tcMar>
              <w:top w:type="dxa" w:w="90"/>
              <w:left w:type="dxa" w:w="120"/>
              <w:bottom w:type="dxa" w:w="90"/>
              <w:right w:type="dxa" w:w="120"/>
            </w:tcMar>
          </w:tcPr>
          <w:p>
            <w:r>
              <w:rPr>
                <w:sz w:val="19"/>
                <w:szCs w:val="19"/>
              </w:rPr>
              <w:t xml:space="preserve">Redis</w:t>
            </w:r>
          </w:p>
        </w:tc>
        <w:tc>
          <w:tcPr>
            <w:tcW w:type="pct" w:w="50%"/>
            <w:tcMar>
              <w:top w:type="dxa" w:w="90"/>
              <w:left w:type="dxa" w:w="120"/>
              <w:bottom w:type="dxa" w:w="90"/>
              <w:right w:type="dxa" w:w="120"/>
            </w:tcMar>
          </w:tcPr>
          <w:p>
            <w:r>
              <w:rPr>
                <w:sz w:val="19"/>
                <w:szCs w:val="19"/>
              </w:rPr>
              <w:t xml:space="preserve">Backs the 7-minute booking-hold TTL lock described in the Sequence Diagram and Pseudocode sections of the UML specification</w:t>
            </w:r>
          </w:p>
        </w:tc>
      </w:tr>
      <w:tr>
        <w:tc>
          <w:tcPr>
            <w:tcW w:type="pct" w:w="22%"/>
            <w:tcMar>
              <w:top w:type="dxa" w:w="90"/>
              <w:left w:type="dxa" w:w="120"/>
              <w:bottom w:type="dxa" w:w="90"/>
              <w:right w:type="dxa" w:w="120"/>
            </w:tcMar>
          </w:tcPr>
          <w:p>
            <w:r>
              <w:rPr>
                <w:sz w:val="19"/>
                <w:szCs w:val="19"/>
              </w:rPr>
              <w:t xml:space="preserve">Background Jobs / Scheduling</w:t>
            </w:r>
          </w:p>
        </w:tc>
        <w:tc>
          <w:tcPr>
            <w:tcW w:type="pct" w:w="28%"/>
            <w:tcMar>
              <w:top w:type="dxa" w:w="90"/>
              <w:left w:type="dxa" w:w="120"/>
              <w:bottom w:type="dxa" w:w="90"/>
              <w:right w:type="dxa" w:w="120"/>
            </w:tcMar>
          </w:tcPr>
          <w:p>
            <w:r>
              <w:rPr>
                <w:sz w:val="19"/>
                <w:szCs w:val="19"/>
              </w:rPr>
              <w:t xml:space="preserve">Celery + Redis (as broker)</w:t>
            </w:r>
          </w:p>
        </w:tc>
        <w:tc>
          <w:tcPr>
            <w:tcW w:type="pct" w:w="50%"/>
            <w:tcMar>
              <w:top w:type="dxa" w:w="90"/>
              <w:left w:type="dxa" w:w="120"/>
              <w:bottom w:type="dxa" w:w="90"/>
              <w:right w:type="dxa" w:w="120"/>
            </w:tcMar>
          </w:tcPr>
          <w:p>
            <w:r>
              <w:rPr>
                <w:sz w:val="19"/>
                <w:szCs w:val="19"/>
              </w:rPr>
              <w:t xml:space="preserve">Runs scheduled posts, birthday/holiday greeting triggers, expired-hold sweeps, and semester billing cycles</w:t>
            </w:r>
          </w:p>
        </w:tc>
      </w:tr>
    </w:tbl>
    <w:p>
      <w:pPr>
        <w:pStyle w:val="Heading2"/>
        <w:spacing w:after="100" w:before="220"/>
      </w:pPr>
      <w:r>
        <w:rPr>
          <w:b/>
          <w:bCs/>
          <w:color w:val="1B2A4A"/>
        </w:rPr>
        <w:t xml:space="preserve">Why Not a Different Backend Language?</w:t>
      </w:r>
    </w:p>
    <w:p>
      <w:pPr>
        <w:spacing w:after="120"/>
      </w:pPr>
      <w:r>
        <w:t xml:space="preserve">NestJS (TypeScript) was considered and remains a reasonable alternative — it would let backend and frontend engineers share one language across the entire stack. It was not chosen as the primary recommendation because Django's built-in admin interface directly accelerates the "sophisticated admin panel" requirement, and its ORM's migration tooling was already exercised successfully against the full 24-model schema. A team with existing NestJS depth could still choose it without changing the underlying data model — the class diagrams and physical schema in the UML specification are framework-agnostic.</w:t>
      </w:r>
    </w:p>
    <w:p>
      <w:r>
        <w:br w:type="page"/>
      </w:r>
    </w:p>
    <w:p>
      <w:pPr>
        <w:pStyle w:val="Heading1"/>
        <w:spacing w:after="160" w:before="240"/>
      </w:pPr>
      <w:r>
        <w:rPr>
          <w:b/>
          <w:bCs/>
          <w:color w:val="1B2A4A"/>
        </w:rPr>
        <w:t xml:space="preserve">3. Database Architecture</w:t>
      </w:r>
    </w:p>
    <w:p>
      <w:pPr>
        <w:spacing w:after="120"/>
      </w:pPr>
      <w:r>
        <w:t xml:space="preserve">PostgreSQL is the single source of truth for both the web and mobile applications — this is what satisfies the "same database" requirement directly. Both apps call the same backend API; neither app talks to the database directly.</w:t>
      </w:r>
    </w:p>
    <w:p>
      <w:pPr>
        <w:pStyle w:val="Heading2"/>
        <w:spacing w:after="100" w:before="220"/>
      </w:pPr>
      <w:r>
        <w:rPr>
          <w:b/>
          <w:bCs/>
          <w:color w:val="1B2A4A"/>
        </w:rPr>
        <w:t xml:space="preserve">Why PostgreSQL Specifically</w:t>
      </w:r>
    </w:p>
    <w:p>
      <w:pPr>
        <w:pStyle w:val="ListParagraph"/>
        <w:numPr>
          <w:ilvl w:val="0"/>
          <w:numId w:val="2"/>
        </w:numPr>
        <w:spacing w:after="60"/>
      </w:pPr>
      <w:r>
        <w:t xml:space="preserve">Relational integrity for money-moving relationships (Booking → PaymentEscrow → Commission) where correctness matters more than raw write throughput</w:t>
      </w:r>
    </w:p>
    <w:p>
      <w:pPr>
        <w:pStyle w:val="ListParagraph"/>
        <w:numPr>
          <w:ilvl w:val="0"/>
          <w:numId w:val="2"/>
        </w:numPr>
        <w:spacing w:after="60"/>
      </w:pPr>
      <w:r>
        <w:t xml:space="preserve">PostGIS extension provides native geospatial queries — radius search, distance-to-road calculations, boundary polygon storage for Land parcels — without a second specialized database</w:t>
      </w:r>
    </w:p>
    <w:p>
      <w:pPr>
        <w:pStyle w:val="ListParagraph"/>
        <w:numPr>
          <w:ilvl w:val="0"/>
          <w:numId w:val="2"/>
        </w:numPr>
        <w:spacing w:after="60"/>
      </w:pPr>
      <w:r>
        <w:t xml:space="preserve">Partial indexes and unique constraints (already used in the physical schema — e.g. the idempotency key on Bookings, the provider-reference uniqueness on PaymentEscrow) are a native, mature PostgreSQL feature</w:t>
      </w:r>
    </w:p>
    <w:p>
      <w:pPr>
        <w:pStyle w:val="ListParagraph"/>
        <w:numPr>
          <w:ilvl w:val="0"/>
          <w:numId w:val="2"/>
        </w:numPr>
        <w:spacing w:after="60"/>
      </w:pPr>
      <w:r>
        <w:t xml:space="preserve">Wide managed-hosting availability (Supabase, Railway, Render, AWS RDS, Azure Database for PostgreSQL) — no vendor lock-in to a single provider's proprietary database</w:t>
      </w:r>
    </w:p>
    <w:p>
      <w:pPr>
        <w:pStyle w:val="Heading2"/>
        <w:spacing w:after="100" w:before="220"/>
      </w:pPr>
      <w:r>
        <w:rPr>
          <w:b/>
          <w:bCs/>
          <w:color w:val="1B2A4A"/>
        </w:rPr>
        <w:t xml:space="preserve">Supplementary Data Stores</w:t>
      </w:r>
    </w:p>
    <w:p>
      <w:pPr>
        <w:pStyle w:val="ListParagraph"/>
        <w:numPr>
          <w:ilvl w:val="0"/>
          <w:numId w:val="2"/>
        </w:numPr>
        <w:spacing w:after="60"/>
      </w:pPr>
      <w:r>
        <w:t xml:space="preserve">Redis — session cache, distributed booking locks, Celery job queue</w:t>
      </w:r>
    </w:p>
    <w:p>
      <w:pPr>
        <w:pStyle w:val="ListParagraph"/>
        <w:numPr>
          <w:ilvl w:val="0"/>
          <w:numId w:val="2"/>
        </w:numPr>
        <w:spacing w:after="60"/>
      </w:pPr>
      <w:r>
        <w:t xml:space="preserve">Object storage (S3-compatible, e.g. Cloudflare R2 or AWS S3) — photos, videos, audio, and documents; the database stores only references, not files</w:t>
      </w:r>
    </w:p>
    <w:p>
      <w:pPr>
        <w:pStyle w:val="ListParagraph"/>
        <w:numPr>
          <w:ilvl w:val="0"/>
          <w:numId w:val="2"/>
        </w:numPr>
        <w:spacing w:after="60"/>
      </w:pPr>
      <w:r>
        <w:t xml:space="preserve">Meilisearch or Elasticsearch — full-text and filtered property search at scale, fed by PostgreSQL via a sync process, not a replacement for it</w:t>
      </w:r>
    </w:p>
    <w:p>
      <w:r>
        <w:br w:type="page"/>
      </w:r>
    </w:p>
    <w:p>
      <w:pPr>
        <w:pStyle w:val="Heading1"/>
        <w:spacing w:after="160" w:before="240"/>
      </w:pPr>
      <w:r>
        <w:rPr>
          <w:b/>
          <w:bCs/>
          <w:color w:val="1B2A4A"/>
        </w:rPr>
        <w:t xml:space="preserve">4. Can Supabase, React, and React Native Work? — Full Tradeoff Analysis</w:t>
      </w:r>
    </w:p>
    <w:p>
      <w:pPr>
        <w:spacing w:after="120"/>
      </w:pPr>
      <w:r>
        <w:t xml:space="preserve">Yes, technically. Supabase is managed PostgreSQL with auto-generated APIs, Auth, Realtime, and Storage layered on top. It would run the schema without modification. The question is not whether it can work, but whether it is the better choice given what already exists.</w:t>
      </w:r>
    </w:p>
    <w:tbl>
      <w:tblPr>
        <w:tblW w:type="pct" w:w="100%"/>
        <w:tblBorders>
          <w:top w:val="single" w:color="CCCCCC" w:sz="4"/>
          <w:left w:val="single" w:color="CCCCCC" w:sz="4"/>
          <w:bottom w:val="single" w:color="CCCCCC" w:sz="4"/>
          <w:right w:val="single" w:color="CCCCCC" w:sz="4"/>
          <w:insideH w:val="single" w:color="DDDDDD" w:sz="2"/>
          <w:insideV w:val="single" w:color="DDDDDD" w:sz="2"/>
        </w:tblBorders>
      </w:tblPr>
      <w:tblGrid>
        <w:gridCol w:w="100"/>
        <w:gridCol w:w="100"/>
        <w:gridCol w:w="100"/>
      </w:tblGrid>
      <w:tr>
        <w:tc>
          <w:tcPr>
            <w:tcW w:type="pct" w:w="30%"/>
            <w:shd w:fill="1B2A4A" w:val="clear"/>
            <w:tcMar>
              <w:top w:type="dxa" w:w="90"/>
              <w:left w:type="dxa" w:w="120"/>
              <w:bottom w:type="dxa" w:w="90"/>
              <w:right w:type="dxa" w:w="120"/>
            </w:tcMar>
          </w:tcPr>
          <w:p>
            <w:r>
              <w:rPr>
                <w:b/>
                <w:bCs/>
                <w:color w:val="FFFFFF"/>
                <w:sz w:val="19"/>
                <w:szCs w:val="19"/>
              </w:rPr>
              <w:t xml:space="preserve">Concern</w:t>
            </w:r>
          </w:p>
        </w:tc>
        <w:tc>
          <w:tcPr>
            <w:tcW w:type="pct" w:w="33%"/>
            <w:shd w:fill="1B2A4A" w:val="clear"/>
            <w:tcMar>
              <w:top w:type="dxa" w:w="90"/>
              <w:left w:type="dxa" w:w="120"/>
              <w:bottom w:type="dxa" w:w="90"/>
              <w:right w:type="dxa" w:w="120"/>
            </w:tcMar>
          </w:tcPr>
          <w:p>
            <w:r>
              <w:rPr>
                <w:b/>
                <w:bCs/>
                <w:color w:val="FFFFFF"/>
                <w:sz w:val="19"/>
                <w:szCs w:val="19"/>
              </w:rPr>
              <w:t xml:space="preserve">Supabase-Only Approach</w:t>
            </w:r>
          </w:p>
        </w:tc>
        <w:tc>
          <w:tcPr>
            <w:tcW w:type="pct" w:w="37%"/>
            <w:shd w:fill="1B2A4A" w:val="clear"/>
            <w:tcMar>
              <w:top w:type="dxa" w:w="90"/>
              <w:left w:type="dxa" w:w="120"/>
              <w:bottom w:type="dxa" w:w="90"/>
              <w:right w:type="dxa" w:w="120"/>
            </w:tcMar>
          </w:tcPr>
          <w:p>
            <w:r>
              <w:rPr>
                <w:b/>
                <w:bCs/>
                <w:color w:val="FFFFFF"/>
                <w:sz w:val="19"/>
                <w:szCs w:val="19"/>
              </w:rPr>
              <w:t xml:space="preserve">Django + Managed Postgres (Recommended)</w:t>
            </w:r>
          </w:p>
        </w:tc>
      </w:tr>
      <w:tr>
        <w:tc>
          <w:tcPr>
            <w:tcW w:type="pct" w:w="30%"/>
            <w:tcMar>
              <w:top w:type="dxa" w:w="90"/>
              <w:left w:type="dxa" w:w="120"/>
              <w:bottom w:type="dxa" w:w="90"/>
              <w:right w:type="dxa" w:w="120"/>
            </w:tcMar>
          </w:tcPr>
          <w:p>
            <w:r>
              <w:rPr>
                <w:sz w:val="19"/>
                <w:szCs w:val="19"/>
              </w:rPr>
              <w:t xml:space="preserve">Authentication (social login, MFA)</w:t>
            </w:r>
          </w:p>
        </w:tc>
        <w:tc>
          <w:tcPr>
            <w:tcW w:type="pct" w:w="33%"/>
            <w:tcMar>
              <w:top w:type="dxa" w:w="90"/>
              <w:left w:type="dxa" w:w="120"/>
              <w:bottom w:type="dxa" w:w="90"/>
              <w:right w:type="dxa" w:w="120"/>
            </w:tcMar>
          </w:tcPr>
          <w:p>
            <w:r>
              <w:rPr>
                <w:sz w:val="19"/>
                <w:szCs w:val="19"/>
              </w:rPr>
              <w:t xml:space="preserve">Built in, minimal setup</w:t>
            </w:r>
          </w:p>
        </w:tc>
        <w:tc>
          <w:tcPr>
            <w:tcW w:type="pct" w:w="37%"/>
            <w:tcMar>
              <w:top w:type="dxa" w:w="90"/>
              <w:left w:type="dxa" w:w="120"/>
              <w:bottom w:type="dxa" w:w="90"/>
              <w:right w:type="dxa" w:w="120"/>
            </w:tcMar>
          </w:tcPr>
          <w:p>
            <w:r>
              <w:rPr>
                <w:sz w:val="19"/>
                <w:szCs w:val="19"/>
              </w:rPr>
              <w:t xml:space="preserve">Requires building/configuring (django-allauth + MFA library) — more work, but already scoped in the UML Auth diagram</w:t>
            </w:r>
          </w:p>
        </w:tc>
      </w:tr>
      <w:tr>
        <w:tc>
          <w:tcPr>
            <w:tcW w:type="pct" w:w="30%"/>
            <w:tcMar>
              <w:top w:type="dxa" w:w="90"/>
              <w:left w:type="dxa" w:w="120"/>
              <w:bottom w:type="dxa" w:w="90"/>
              <w:right w:type="dxa" w:w="120"/>
            </w:tcMar>
          </w:tcPr>
          <w:p>
            <w:r>
              <w:rPr>
                <w:sz w:val="19"/>
                <w:szCs w:val="19"/>
              </w:rPr>
              <w:t xml:space="preserve">Realtime chat / notifications</w:t>
            </w:r>
          </w:p>
        </w:tc>
        <w:tc>
          <w:tcPr>
            <w:tcW w:type="pct" w:w="33%"/>
            <w:tcMar>
              <w:top w:type="dxa" w:w="90"/>
              <w:left w:type="dxa" w:w="120"/>
              <w:bottom w:type="dxa" w:w="90"/>
              <w:right w:type="dxa" w:w="120"/>
            </w:tcMar>
          </w:tcPr>
          <w:p>
            <w:r>
              <w:rPr>
                <w:sz w:val="19"/>
                <w:szCs w:val="19"/>
              </w:rPr>
              <w:t xml:space="preserve">Built in via Realtime subscriptions</w:t>
            </w:r>
          </w:p>
        </w:tc>
        <w:tc>
          <w:tcPr>
            <w:tcW w:type="pct" w:w="37%"/>
            <w:tcMar>
              <w:top w:type="dxa" w:w="90"/>
              <w:left w:type="dxa" w:w="120"/>
              <w:bottom w:type="dxa" w:w="90"/>
              <w:right w:type="dxa" w:w="120"/>
            </w:tcMar>
          </w:tcPr>
          <w:p>
            <w:r>
              <w:rPr>
                <w:sz w:val="19"/>
                <w:szCs w:val="19"/>
              </w:rPr>
              <w:t xml:space="preserve">Requires Django Channels or a dedicated WebSocket service</w:t>
            </w:r>
          </w:p>
        </w:tc>
      </w:tr>
      <w:tr>
        <w:tc>
          <w:tcPr>
            <w:tcW w:type="pct" w:w="30%"/>
            <w:tcMar>
              <w:top w:type="dxa" w:w="90"/>
              <w:left w:type="dxa" w:w="120"/>
              <w:bottom w:type="dxa" w:w="90"/>
              <w:right w:type="dxa" w:w="120"/>
            </w:tcMar>
          </w:tcPr>
          <w:p>
            <w:r>
              <w:rPr>
                <w:sz w:val="19"/>
                <w:szCs w:val="19"/>
              </w:rPr>
              <w:t xml:space="preserve">Complex business logic (escrow release, TTL locks, commission splits)</w:t>
            </w:r>
          </w:p>
        </w:tc>
        <w:tc>
          <w:tcPr>
            <w:tcW w:type="pct" w:w="33%"/>
            <w:tcMar>
              <w:top w:type="dxa" w:w="90"/>
              <w:left w:type="dxa" w:w="120"/>
              <w:bottom w:type="dxa" w:w="90"/>
              <w:right w:type="dxa" w:w="120"/>
            </w:tcMar>
          </w:tcPr>
          <w:p>
            <w:r>
              <w:rPr>
                <w:sz w:val="19"/>
                <w:szCs w:val="19"/>
              </w:rPr>
              <w:t xml:space="preserve">Must be written as Postgres functions/triggers or Edge Functions (Deno) — awkward for this much logic</w:t>
            </w:r>
          </w:p>
        </w:tc>
        <w:tc>
          <w:tcPr>
            <w:tcW w:type="pct" w:w="37%"/>
            <w:tcMar>
              <w:top w:type="dxa" w:w="90"/>
              <w:left w:type="dxa" w:w="120"/>
              <w:bottom w:type="dxa" w:w="90"/>
              <w:right w:type="dxa" w:w="120"/>
            </w:tcMar>
          </w:tcPr>
          <w:p>
            <w:r>
              <w:rPr>
                <w:sz w:val="19"/>
                <w:szCs w:val="19"/>
              </w:rPr>
              <w:t xml:space="preserve">Native Python application code — already written and tested in the existing skeleton</w:t>
            </w:r>
          </w:p>
        </w:tc>
      </w:tr>
      <w:tr>
        <w:tc>
          <w:tcPr>
            <w:tcW w:type="pct" w:w="30%"/>
            <w:tcMar>
              <w:top w:type="dxa" w:w="90"/>
              <w:left w:type="dxa" w:w="120"/>
              <w:bottom w:type="dxa" w:w="90"/>
              <w:right w:type="dxa" w:w="120"/>
            </w:tcMar>
          </w:tcPr>
          <w:p>
            <w:r>
              <w:rPr>
                <w:sz w:val="19"/>
                <w:szCs w:val="19"/>
              </w:rPr>
              <w:t xml:space="preserve">AI moderation pipeline, scheduled jobs (birthdays, holidays)</w:t>
            </w:r>
          </w:p>
        </w:tc>
        <w:tc>
          <w:tcPr>
            <w:tcW w:type="pct" w:w="33%"/>
            <w:tcMar>
              <w:top w:type="dxa" w:w="90"/>
              <w:left w:type="dxa" w:w="120"/>
              <w:bottom w:type="dxa" w:w="90"/>
              <w:right w:type="dxa" w:w="120"/>
            </w:tcMar>
          </w:tcPr>
          <w:p>
            <w:r>
              <w:rPr>
                <w:sz w:val="19"/>
                <w:szCs w:val="19"/>
              </w:rPr>
              <w:t xml:space="preserve">Possible via Edge Functions, but not their strong suit</w:t>
            </w:r>
          </w:p>
        </w:tc>
        <w:tc>
          <w:tcPr>
            <w:tcW w:type="pct" w:w="37%"/>
            <w:tcMar>
              <w:top w:type="dxa" w:w="90"/>
              <w:left w:type="dxa" w:w="120"/>
              <w:bottom w:type="dxa" w:w="90"/>
              <w:right w:type="dxa" w:w="120"/>
            </w:tcMar>
          </w:tcPr>
          <w:p>
            <w:r>
              <w:rPr>
                <w:sz w:val="19"/>
                <w:szCs w:val="19"/>
              </w:rPr>
              <w:t xml:space="preserve">Native fit via Celery</w:t>
            </w:r>
          </w:p>
        </w:tc>
      </w:tr>
      <w:tr>
        <w:tc>
          <w:tcPr>
            <w:tcW w:type="pct" w:w="30%"/>
            <w:tcMar>
              <w:top w:type="dxa" w:w="90"/>
              <w:left w:type="dxa" w:w="120"/>
              <w:bottom w:type="dxa" w:w="90"/>
              <w:right w:type="dxa" w:w="120"/>
            </w:tcMar>
          </w:tcPr>
          <w:p>
            <w:r>
              <w:rPr>
                <w:sz w:val="19"/>
                <w:szCs w:val="19"/>
              </w:rPr>
              <w:t xml:space="preserve">Existing work reuse</w:t>
            </w:r>
          </w:p>
        </w:tc>
        <w:tc>
          <w:tcPr>
            <w:tcW w:type="pct" w:w="33%"/>
            <w:tcMar>
              <w:top w:type="dxa" w:w="90"/>
              <w:left w:type="dxa" w:w="120"/>
              <w:bottom w:type="dxa" w:w="90"/>
              <w:right w:type="dxa" w:w="120"/>
            </w:tcMar>
          </w:tcPr>
          <w:p>
            <w:r>
              <w:rPr>
                <w:sz w:val="19"/>
                <w:szCs w:val="19"/>
              </w:rPr>
              <w:t xml:space="preserve">None — would require re-implementing the tested Django models and services</w:t>
            </w:r>
          </w:p>
        </w:tc>
        <w:tc>
          <w:tcPr>
            <w:tcW w:type="pct" w:w="37%"/>
            <w:tcMar>
              <w:top w:type="dxa" w:w="90"/>
              <w:left w:type="dxa" w:w="120"/>
              <w:bottom w:type="dxa" w:w="90"/>
              <w:right w:type="dxa" w:w="120"/>
            </w:tcMar>
          </w:tcPr>
          <w:p>
            <w:r>
              <w:rPr>
                <w:sz w:val="19"/>
                <w:szCs w:val="19"/>
              </w:rPr>
              <w:t xml:space="preserve">Full reuse of the already-built and tested Django skeleton</w:t>
            </w:r>
          </w:p>
        </w:tc>
      </w:tr>
      <w:tr>
        <w:tc>
          <w:tcPr>
            <w:tcW w:type="pct" w:w="30%"/>
            <w:tcMar>
              <w:top w:type="dxa" w:w="90"/>
              <w:left w:type="dxa" w:w="120"/>
              <w:bottom w:type="dxa" w:w="90"/>
              <w:right w:type="dxa" w:w="120"/>
            </w:tcMar>
          </w:tcPr>
          <w:p>
            <w:r>
              <w:rPr>
                <w:sz w:val="19"/>
                <w:szCs w:val="19"/>
              </w:rPr>
              <w:t xml:space="preserve">Time to MVP for simple CRUD features</w:t>
            </w:r>
          </w:p>
        </w:tc>
        <w:tc>
          <w:tcPr>
            <w:tcW w:type="pct" w:w="33%"/>
            <w:tcMar>
              <w:top w:type="dxa" w:w="90"/>
              <w:left w:type="dxa" w:w="120"/>
              <w:bottom w:type="dxa" w:w="90"/>
              <w:right w:type="dxa" w:w="120"/>
            </w:tcMar>
          </w:tcPr>
          <w:p>
            <w:r>
              <w:rPr>
                <w:sz w:val="19"/>
                <w:szCs w:val="19"/>
              </w:rPr>
              <w:t xml:space="preserve">Faster</w:t>
            </w:r>
          </w:p>
        </w:tc>
        <w:tc>
          <w:tcPr>
            <w:tcW w:type="pct" w:w="37%"/>
            <w:tcMar>
              <w:top w:type="dxa" w:w="90"/>
              <w:left w:type="dxa" w:w="120"/>
              <w:bottom w:type="dxa" w:w="90"/>
              <w:right w:type="dxa" w:w="120"/>
            </w:tcMar>
          </w:tcPr>
          <w:p>
            <w:r>
              <w:rPr>
                <w:sz w:val="19"/>
                <w:szCs w:val="19"/>
              </w:rPr>
              <w:t xml:space="preserve">Slightly slower to bootstrap, faster once past the basics given the reused code</w:t>
            </w:r>
          </w:p>
        </w:tc>
      </w:tr>
    </w:tbl>
    <w:p>
      <w:pPr>
        <w:pStyle w:val="Heading2"/>
        <w:spacing w:after="100" w:before="220"/>
      </w:pPr>
      <w:r>
        <w:rPr>
          <w:b/>
          <w:bCs/>
          <w:color w:val="1B2A4A"/>
        </w:rPr>
        <w:t xml:space="preserve">Recommendation</w:t>
      </w:r>
    </w:p>
    <w:p>
      <w:pPr>
        <w:spacing w:after="120"/>
      </w:pPr>
      <w:r>
        <w:t xml:space="preserve">Use Django as the backend of record — it owns the API, the business logic, and the admin console — but consider running it against Supabase's managed PostgreSQL hosting (or an equivalent managed Postgres provider) rather than self-hosting the database server. This captures the operational benefit of managed backups, point-in-time recovery, and connection pooling without discarding the Django application layer already built and tested against this exact schema.</w:t>
      </w:r>
    </w:p>
    <w:p>
      <w:pPr>
        <w:spacing w:after="120"/>
      </w:pPr>
      <w:r>
        <w:t xml:space="preserve">If, instead, speed to a very simple MVP matters more than reusing the existing backend work, a Supabase-first approach (with custom logic in Edge Functions) is a legitimate alternative path — but it should be treated as a deliberate re-scoping decision, not a drop-in swap, since the escrow, commission, and moderation logic would need to be re-implemented rather than reused.</w:t>
      </w:r>
    </w:p>
    <w:p>
      <w:r>
        <w:br w:type="page"/>
      </w:r>
    </w:p>
    <w:p>
      <w:pPr>
        <w:pStyle w:val="Heading1"/>
        <w:spacing w:after="160" w:before="240"/>
      </w:pPr>
      <w:r>
        <w:rPr>
          <w:b/>
          <w:bCs/>
          <w:color w:val="1B2A4A"/>
        </w:rPr>
        <w:t xml:space="preserve">5. Offline Functionality Architecture</w:t>
      </w:r>
    </w:p>
    <w:p>
      <w:pPr>
        <w:pStyle w:val="Heading2"/>
        <w:spacing w:after="100" w:before="220"/>
      </w:pPr>
      <w:r>
        <w:rPr>
          <w:b/>
          <w:bCs/>
          <w:color w:val="1B2A4A"/>
        </w:rPr>
        <w:t xml:space="preserve">Web Application</w:t>
      </w:r>
    </w:p>
    <w:p>
      <w:pPr>
        <w:pStyle w:val="ListParagraph"/>
        <w:numPr>
          <w:ilvl w:val="0"/>
          <w:numId w:val="2"/>
        </w:numPr>
        <w:spacing w:after="60"/>
      </w:pPr>
      <w:r>
        <w:t xml:space="preserve">Service worker caches recently viewed listings, search results, and static assets for offline browsing</w:t>
      </w:r>
    </w:p>
    <w:p>
      <w:pPr>
        <w:pStyle w:val="ListParagraph"/>
        <w:numPr>
          <w:ilvl w:val="0"/>
          <w:numId w:val="2"/>
        </w:numPr>
        <w:spacing w:after="60"/>
      </w:pPr>
      <w:r>
        <w:t xml:space="preserve">IndexedDB stores queued actions (favorites, draft posts) taken while offline; a sync manager pushes them to the API on reconnect</w:t>
      </w:r>
    </w:p>
    <w:p>
      <w:pPr>
        <w:pStyle w:val="ListParagraph"/>
        <w:numPr>
          <w:ilvl w:val="0"/>
          <w:numId w:val="2"/>
        </w:numPr>
        <w:spacing w:after="60"/>
      </w:pPr>
      <w:r>
        <w:t xml:space="preserve">Next.js PWA tooling (next-pwa or equivalent) handles the service worker registration and manifest configuration</w:t>
      </w:r>
    </w:p>
    <w:p>
      <w:pPr>
        <w:pStyle w:val="Heading2"/>
        <w:spacing w:after="100" w:before="220"/>
      </w:pPr>
      <w:r>
        <w:rPr>
          <w:b/>
          <w:bCs/>
          <w:color w:val="1B2A4A"/>
        </w:rPr>
        <w:t xml:space="preserve">Mobile Application</w:t>
      </w:r>
    </w:p>
    <w:p>
      <w:pPr>
        <w:pStyle w:val="ListParagraph"/>
        <w:numPr>
          <w:ilvl w:val="0"/>
          <w:numId w:val="2"/>
        </w:numPr>
        <w:spacing w:after="60"/>
      </w:pPr>
      <w:r>
        <w:t xml:space="preserve">WatermelonDB or SQLite as a local on-device data store, mirroring the subset of data relevant to the logged-in user (saved listings, draft posts, recent searches)</w:t>
      </w:r>
    </w:p>
    <w:p>
      <w:pPr>
        <w:pStyle w:val="ListParagraph"/>
        <w:numPr>
          <w:ilvl w:val="0"/>
          <w:numId w:val="2"/>
        </w:numPr>
        <w:spacing w:after="60"/>
      </w:pPr>
      <w:r>
        <w:t xml:space="preserve">A sync queue reconciles local writes (favorites, drafts, messages composed offline) with the backend once connectivity returns, using the same idempotency-key pattern already defined for bookings</w:t>
      </w:r>
    </w:p>
    <w:p>
      <w:pPr>
        <w:pStyle w:val="ListParagraph"/>
        <w:numPr>
          <w:ilvl w:val="0"/>
          <w:numId w:val="2"/>
        </w:numPr>
        <w:spacing w:after="60"/>
      </w:pPr>
      <w:r>
        <w:t xml:space="preserve">This directly satisfies the offline-favorites requirement identified in the Terres.cm feature set — saved plots remain browsable in low-connectivity areas (villages, some quartiers)</w:t>
      </w:r>
    </w:p>
    <w:p>
      <w:r>
        <w:br w:type="page"/>
      </w:r>
    </w:p>
    <w:p>
      <w:pPr>
        <w:pStyle w:val="Heading1"/>
        <w:spacing w:after="160" w:before="240"/>
      </w:pPr>
      <w:r>
        <w:rPr>
          <w:b/>
          <w:bCs/>
          <w:color w:val="1B2A4A"/>
        </w:rPr>
        <w:t xml:space="preserve">6. SEO Strategy</w:t>
      </w:r>
    </w:p>
    <w:p>
      <w:pPr>
        <w:pStyle w:val="ListParagraph"/>
        <w:numPr>
          <w:ilvl w:val="0"/>
          <w:numId w:val="2"/>
        </w:numPr>
        <w:spacing w:after="60"/>
      </w:pPr>
      <w:r>
        <w:t xml:space="preserve">Server-side rendering (SSR) or static generation (SSG) for every public listing page via Next.js — search engines must receive fully-rendered HTML, not a client-side-only React shell</w:t>
      </w:r>
    </w:p>
    <w:p>
      <w:pPr>
        <w:pStyle w:val="ListParagraph"/>
        <w:numPr>
          <w:ilvl w:val="0"/>
          <w:numId w:val="2"/>
        </w:numPr>
        <w:spacing w:after="60"/>
      </w:pPr>
      <w:r>
        <w:t xml:space="preserve">Structured data markup (schema.org RealEstateListing, LocalBusiness) on every listing so Google can render rich results (price, location, image, availability)</w:t>
      </w:r>
    </w:p>
    <w:p>
      <w:pPr>
        <w:pStyle w:val="ListParagraph"/>
        <w:numPr>
          <w:ilvl w:val="0"/>
          <w:numId w:val="2"/>
        </w:numPr>
        <w:spacing w:after="60"/>
      </w:pPr>
      <w:r>
        <w:t xml:space="preserve">Clean, human-readable, indexable URLs per listing and per quarter (e.g. oaziland.com/bastos/2-bedroom-apartment-a101), matching the short-memorable-URL pattern already identified from the Terres.cm specification</w:t>
      </w:r>
    </w:p>
    <w:p>
      <w:pPr>
        <w:pStyle w:val="ListParagraph"/>
        <w:numPr>
          <w:ilvl w:val="0"/>
          <w:numId w:val="2"/>
        </w:numPr>
        <w:spacing w:after="60"/>
      </w:pPr>
      <w:r>
        <w:t xml:space="preserve">Auto-generated XML sitemap that updates as listings publish, update, or expire</w:t>
      </w:r>
    </w:p>
    <w:p>
      <w:pPr>
        <w:pStyle w:val="ListParagraph"/>
        <w:numPr>
          <w:ilvl w:val="0"/>
          <w:numId w:val="2"/>
        </w:numPr>
        <w:spacing w:after="60"/>
      </w:pPr>
      <w:r>
        <w:t xml:space="preserve">Fast Core Web Vitals — image optimization (Next.js Image component), lazy-loading below the fold, minimal render-blocking JavaScript</w:t>
      </w:r>
    </w:p>
    <w:p>
      <w:pPr>
        <w:pStyle w:val="ListParagraph"/>
        <w:numPr>
          <w:ilvl w:val="0"/>
          <w:numId w:val="2"/>
        </w:numPr>
        <w:spacing w:after="60"/>
      </w:pPr>
      <w:r>
        <w:t xml:space="preserve">Canonical tags and hreflang markup for the English/French bilingual content, so Google does not treat translated pages as duplicate content</w:t>
      </w:r>
    </w:p>
    <w:p>
      <w:pPr>
        <w:pStyle w:val="ListParagraph"/>
        <w:numPr>
          <w:ilvl w:val="0"/>
          <w:numId w:val="2"/>
        </w:numPr>
        <w:spacing w:after="60"/>
      </w:pPr>
      <w:r>
        <w:t xml:space="preserve">A public blog/content section (market trend analytics, host optimization tips — already identified in the navigation architecture) to build topical authority and organic backlinks</w:t>
      </w:r>
    </w:p>
    <w:p>
      <w:r>
        <w:br w:type="page"/>
      </w:r>
    </w:p>
    <w:p>
      <w:pPr>
        <w:pStyle w:val="Heading1"/>
        <w:spacing w:after="160" w:before="240"/>
      </w:pPr>
      <w:r>
        <w:rPr>
          <w:b/>
          <w:bCs/>
          <w:color w:val="1B2A4A"/>
        </w:rPr>
        <w:t xml:space="preserve">7. Third-Party APIs &amp; Integrations</w:t>
      </w:r>
    </w:p>
    <w:p>
      <w:pPr>
        <w:spacing w:after="120"/>
      </w:pPr>
      <w:r>
        <w:t xml:space="preserve">The table below lists every external service the platform depends on, organized by category, with the specific provider recommendation already reflected in the Architecture and Pre-Development documents.</w:t>
      </w:r>
    </w:p>
    <w:tbl>
      <w:tblPr>
        <w:tblW w:type="pct" w:w="100%"/>
        <w:tblBorders>
          <w:top w:val="single" w:color="CCCCCC" w:sz="4"/>
          <w:left w:val="single" w:color="CCCCCC" w:sz="4"/>
          <w:bottom w:val="single" w:color="CCCCCC" w:sz="4"/>
          <w:right w:val="single" w:color="CCCCCC" w:sz="4"/>
          <w:insideH w:val="single" w:color="DDDDDD" w:sz="2"/>
          <w:insideV w:val="single" w:color="DDDDDD" w:sz="2"/>
        </w:tblBorders>
      </w:tblPr>
      <w:tblGrid>
        <w:gridCol w:w="100"/>
        <w:gridCol w:w="100"/>
        <w:gridCol w:w="100"/>
        <w:gridCol w:w="100"/>
      </w:tblGrid>
      <w:tr>
        <w:tc>
          <w:tcPr>
            <w:tcW w:type="pct" w:w="20%"/>
            <w:shd w:fill="1B2A4A" w:val="clear"/>
            <w:tcMar>
              <w:top w:type="dxa" w:w="90"/>
              <w:left w:type="dxa" w:w="120"/>
              <w:bottom w:type="dxa" w:w="90"/>
              <w:right w:type="dxa" w:w="120"/>
            </w:tcMar>
          </w:tcPr>
          <w:p>
            <w:r>
              <w:rPr>
                <w:b/>
                <w:bCs/>
                <w:color w:val="FFFFFF"/>
                <w:sz w:val="19"/>
                <w:szCs w:val="19"/>
              </w:rPr>
              <w:t xml:space="preserve">Category</w:t>
            </w:r>
          </w:p>
        </w:tc>
        <w:tc>
          <w:tcPr>
            <w:tcW w:type="pct" w:w="24%"/>
            <w:shd w:fill="1B2A4A" w:val="clear"/>
            <w:tcMar>
              <w:top w:type="dxa" w:w="90"/>
              <w:left w:type="dxa" w:w="120"/>
              <w:bottom w:type="dxa" w:w="90"/>
              <w:right w:type="dxa" w:w="120"/>
            </w:tcMar>
          </w:tcPr>
          <w:p>
            <w:r>
              <w:rPr>
                <w:b/>
                <w:bCs/>
                <w:color w:val="FFFFFF"/>
                <w:sz w:val="19"/>
                <w:szCs w:val="19"/>
              </w:rPr>
              <w:t xml:space="preserve">Recommended Provider</w:t>
            </w:r>
          </w:p>
        </w:tc>
        <w:tc>
          <w:tcPr>
            <w:tcW w:type="pct" w:w="34%"/>
            <w:shd w:fill="1B2A4A" w:val="clear"/>
            <w:tcMar>
              <w:top w:type="dxa" w:w="90"/>
              <w:left w:type="dxa" w:w="120"/>
              <w:bottom w:type="dxa" w:w="90"/>
              <w:right w:type="dxa" w:w="120"/>
            </w:tcMar>
          </w:tcPr>
          <w:p>
            <w:r>
              <w:rPr>
                <w:b/>
                <w:bCs/>
                <w:color w:val="FFFFFF"/>
                <w:sz w:val="19"/>
                <w:szCs w:val="19"/>
              </w:rPr>
              <w:t xml:space="preserve">Purpose</w:t>
            </w:r>
          </w:p>
        </w:tc>
        <w:tc>
          <w:tcPr>
            <w:tcW w:type="pct" w:w="22%"/>
            <w:shd w:fill="1B2A4A" w:val="clear"/>
            <w:tcMar>
              <w:top w:type="dxa" w:w="90"/>
              <w:left w:type="dxa" w:w="120"/>
              <w:bottom w:type="dxa" w:w="90"/>
              <w:right w:type="dxa" w:w="120"/>
            </w:tcMar>
          </w:tcPr>
          <w:p>
            <w:r>
              <w:rPr>
                <w:b/>
                <w:bCs/>
                <w:color w:val="FFFFFF"/>
                <w:sz w:val="19"/>
                <w:szCs w:val="19"/>
              </w:rPr>
              <w:t xml:space="preserve">Pricing Model</w:t>
            </w:r>
          </w:p>
        </w:tc>
      </w:tr>
      <w:tr>
        <w:tc>
          <w:tcPr>
            <w:tcW w:type="pct" w:w="20%"/>
            <w:tcMar>
              <w:top w:type="dxa" w:w="90"/>
              <w:left w:type="dxa" w:w="120"/>
              <w:bottom w:type="dxa" w:w="90"/>
              <w:right w:type="dxa" w:w="120"/>
            </w:tcMar>
          </w:tcPr>
          <w:p>
            <w:r>
              <w:rPr>
                <w:sz w:val="19"/>
                <w:szCs w:val="19"/>
              </w:rPr>
              <w:t xml:space="preserve">Mobile Money &amp; Card Payments</w:t>
            </w:r>
          </w:p>
        </w:tc>
        <w:tc>
          <w:tcPr>
            <w:tcW w:type="pct" w:w="24%"/>
            <w:tcMar>
              <w:top w:type="dxa" w:w="90"/>
              <w:left w:type="dxa" w:w="120"/>
              <w:bottom w:type="dxa" w:w="90"/>
              <w:right w:type="dxa" w:w="120"/>
            </w:tcMar>
          </w:tcPr>
          <w:p>
            <w:r>
              <w:rPr>
                <w:sz w:val="19"/>
                <w:szCs w:val="19"/>
              </w:rPr>
              <w:t xml:space="preserve">CinetPay or Monetbil</w:t>
            </w:r>
          </w:p>
        </w:tc>
        <w:tc>
          <w:tcPr>
            <w:tcW w:type="pct" w:w="34%"/>
            <w:tcMar>
              <w:top w:type="dxa" w:w="90"/>
              <w:left w:type="dxa" w:w="120"/>
              <w:bottom w:type="dxa" w:w="90"/>
              <w:right w:type="dxa" w:w="120"/>
            </w:tcMar>
          </w:tcPr>
          <w:p>
            <w:r>
              <w:rPr>
                <w:sz w:val="19"/>
                <w:szCs w:val="19"/>
              </w:rPr>
              <w:t xml:space="preserve">Bridges MTN MoMo, Orange Money, and card payments through one integration instead of two separate telecom integrations</w:t>
            </w:r>
          </w:p>
        </w:tc>
        <w:tc>
          <w:tcPr>
            <w:tcW w:type="pct" w:w="22%"/>
            <w:tcMar>
              <w:top w:type="dxa" w:w="90"/>
              <w:left w:type="dxa" w:w="120"/>
              <w:bottom w:type="dxa" w:w="90"/>
              <w:right w:type="dxa" w:w="120"/>
            </w:tcMar>
          </w:tcPr>
          <w:p>
            <w:r>
              <w:rPr>
                <w:sz w:val="19"/>
                <w:szCs w:val="19"/>
              </w:rPr>
              <w:t xml:space="preserve">Per-transaction fee (typically 1.5–3%); no fixed monthly cost</w:t>
            </w:r>
          </w:p>
        </w:tc>
      </w:tr>
      <w:tr>
        <w:tc>
          <w:tcPr>
            <w:tcW w:type="pct" w:w="20%"/>
            <w:tcMar>
              <w:top w:type="dxa" w:w="90"/>
              <w:left w:type="dxa" w:w="120"/>
              <w:bottom w:type="dxa" w:w="90"/>
              <w:right w:type="dxa" w:w="120"/>
            </w:tcMar>
          </w:tcPr>
          <w:p>
            <w:r>
              <w:rPr>
                <w:sz w:val="19"/>
                <w:szCs w:val="19"/>
              </w:rPr>
              <w:t xml:space="preserve">Identity Verification / KYC</w:t>
            </w:r>
          </w:p>
        </w:tc>
        <w:tc>
          <w:tcPr>
            <w:tcW w:type="pct" w:w="24%"/>
            <w:tcMar>
              <w:top w:type="dxa" w:w="90"/>
              <w:left w:type="dxa" w:w="120"/>
              <w:bottom w:type="dxa" w:w="90"/>
              <w:right w:type="dxa" w:w="120"/>
            </w:tcMar>
          </w:tcPr>
          <w:p>
            <w:r>
              <w:rPr>
                <w:sz w:val="19"/>
                <w:szCs w:val="19"/>
              </w:rPr>
              <w:t xml:space="preserve">Smile Identity</w:t>
            </w:r>
          </w:p>
        </w:tc>
        <w:tc>
          <w:tcPr>
            <w:tcW w:type="pct" w:w="34%"/>
            <w:tcMar>
              <w:top w:type="dxa" w:w="90"/>
              <w:left w:type="dxa" w:w="120"/>
              <w:bottom w:type="dxa" w:w="90"/>
              <w:right w:type="dxa" w:w="120"/>
            </w:tcMar>
          </w:tcPr>
          <w:p>
            <w:r>
              <w:rPr>
                <w:sz w:val="19"/>
                <w:szCs w:val="19"/>
              </w:rPr>
              <w:t xml:space="preserve">OCR + facial-match verification against Cameroonian national ID documents — feeds the KYCProfile and VerificationBadge models directly</w:t>
            </w:r>
          </w:p>
        </w:tc>
        <w:tc>
          <w:tcPr>
            <w:tcW w:type="pct" w:w="22%"/>
            <w:tcMar>
              <w:top w:type="dxa" w:w="90"/>
              <w:left w:type="dxa" w:w="120"/>
              <w:bottom w:type="dxa" w:w="90"/>
              <w:right w:type="dxa" w:w="120"/>
            </w:tcMar>
          </w:tcPr>
          <w:p>
            <w:r>
              <w:rPr>
                <w:sz w:val="19"/>
                <w:szCs w:val="19"/>
              </w:rPr>
              <w:t xml:space="preserve">Per-verification fee (usage-based)</w:t>
            </w:r>
          </w:p>
        </w:tc>
      </w:tr>
      <w:tr>
        <w:tc>
          <w:tcPr>
            <w:tcW w:type="pct" w:w="20%"/>
            <w:tcMar>
              <w:top w:type="dxa" w:w="90"/>
              <w:left w:type="dxa" w:w="120"/>
              <w:bottom w:type="dxa" w:w="90"/>
              <w:right w:type="dxa" w:w="120"/>
            </w:tcMar>
          </w:tcPr>
          <w:p>
            <w:r>
              <w:rPr>
                <w:sz w:val="19"/>
                <w:szCs w:val="19"/>
              </w:rPr>
              <w:t xml:space="preserve">Maps &amp; Geolocation</w:t>
            </w:r>
          </w:p>
        </w:tc>
        <w:tc>
          <w:tcPr>
            <w:tcW w:type="pct" w:w="24%"/>
            <w:tcMar>
              <w:top w:type="dxa" w:w="90"/>
              <w:left w:type="dxa" w:w="120"/>
              <w:bottom w:type="dxa" w:w="90"/>
              <w:right w:type="dxa" w:w="120"/>
            </w:tcMar>
          </w:tcPr>
          <w:p>
            <w:r>
              <w:rPr>
                <w:sz w:val="19"/>
                <w:szCs w:val="19"/>
              </w:rPr>
              <w:t xml:space="preserve">OpenStreetMap (free) + Google Maps Platform (optional upgrade)</w:t>
            </w:r>
          </w:p>
        </w:tc>
        <w:tc>
          <w:tcPr>
            <w:tcW w:type="pct" w:w="34%"/>
            <w:tcMar>
              <w:top w:type="dxa" w:w="90"/>
              <w:left w:type="dxa" w:w="120"/>
              <w:bottom w:type="dxa" w:w="90"/>
              <w:right w:type="dxa" w:w="120"/>
            </w:tcMar>
          </w:tcPr>
          <w:p>
            <w:r>
              <w:rPr>
                <w:sz w:val="19"/>
                <w:szCs w:val="19"/>
              </w:rPr>
              <w:t xml:space="preserve">Property location, radius search, distance-to-road/amenity calculations; Google Maps for satellite/Street View polish later</w:t>
            </w:r>
          </w:p>
        </w:tc>
        <w:tc>
          <w:tcPr>
            <w:tcW w:type="pct" w:w="22%"/>
            <w:tcMar>
              <w:top w:type="dxa" w:w="90"/>
              <w:left w:type="dxa" w:w="120"/>
              <w:bottom w:type="dxa" w:w="90"/>
              <w:right w:type="dxa" w:w="120"/>
            </w:tcMar>
          </w:tcPr>
          <w:p>
            <w:r>
              <w:rPr>
                <w:sz w:val="19"/>
                <w:szCs w:val="19"/>
              </w:rPr>
              <w:t xml:space="preserve">OSM free; Google Maps has a monthly free credit then usage-based billing</w:t>
            </w:r>
          </w:p>
        </w:tc>
      </w:tr>
      <w:tr>
        <w:tc>
          <w:tcPr>
            <w:tcW w:type="pct" w:w="20%"/>
            <w:tcMar>
              <w:top w:type="dxa" w:w="90"/>
              <w:left w:type="dxa" w:w="120"/>
              <w:bottom w:type="dxa" w:w="90"/>
              <w:right w:type="dxa" w:w="120"/>
            </w:tcMar>
          </w:tcPr>
          <w:p>
            <w:r>
              <w:rPr>
                <w:sz w:val="19"/>
                <w:szCs w:val="19"/>
              </w:rPr>
              <w:t xml:space="preserve">WhatsApp &amp; SMS</w:t>
            </w:r>
          </w:p>
        </w:tc>
        <w:tc>
          <w:tcPr>
            <w:tcW w:type="pct" w:w="24%"/>
            <w:tcMar>
              <w:top w:type="dxa" w:w="90"/>
              <w:left w:type="dxa" w:w="120"/>
              <w:bottom w:type="dxa" w:w="90"/>
              <w:right w:type="dxa" w:w="120"/>
            </w:tcMar>
          </w:tcPr>
          <w:p>
            <w:r>
              <w:rPr>
                <w:sz w:val="19"/>
                <w:szCs w:val="19"/>
              </w:rPr>
              <w:t xml:space="preserve">Twilio or 360dialog (WhatsApp Business API)</w:t>
            </w:r>
          </w:p>
        </w:tc>
        <w:tc>
          <w:tcPr>
            <w:tcW w:type="pct" w:w="34%"/>
            <w:tcMar>
              <w:top w:type="dxa" w:w="90"/>
              <w:left w:type="dxa" w:w="120"/>
              <w:bottom w:type="dxa" w:w="90"/>
              <w:right w:type="dxa" w:w="120"/>
            </w:tcMar>
          </w:tcPr>
          <w:p>
            <w:r>
              <w:rPr>
                <w:sz w:val="19"/>
                <w:szCs w:val="19"/>
              </w:rPr>
              <w:t xml:space="preserve">WhatsApp-first communication, booking confirmations, OTP delivery, SMS fallback for low-connectivity areas</w:t>
            </w:r>
          </w:p>
        </w:tc>
        <w:tc>
          <w:tcPr>
            <w:tcW w:type="pct" w:w="22%"/>
            <w:tcMar>
              <w:top w:type="dxa" w:w="90"/>
              <w:left w:type="dxa" w:w="120"/>
              <w:bottom w:type="dxa" w:w="90"/>
              <w:right w:type="dxa" w:w="120"/>
            </w:tcMar>
          </w:tcPr>
          <w:p>
            <w:r>
              <w:rPr>
                <w:sz w:val="19"/>
                <w:szCs w:val="19"/>
              </w:rPr>
              <w:t xml:space="preserve">Per-message fee; WhatsApp Business API also has a monthly platform fee with some providers</w:t>
            </w:r>
          </w:p>
        </w:tc>
      </w:tr>
      <w:tr>
        <w:tc>
          <w:tcPr>
            <w:tcW w:type="pct" w:w="20%"/>
            <w:tcMar>
              <w:top w:type="dxa" w:w="90"/>
              <w:left w:type="dxa" w:w="120"/>
              <w:bottom w:type="dxa" w:w="90"/>
              <w:right w:type="dxa" w:w="120"/>
            </w:tcMar>
          </w:tcPr>
          <w:p>
            <w:r>
              <w:rPr>
                <w:sz w:val="19"/>
                <w:szCs w:val="19"/>
              </w:rPr>
              <w:t xml:space="preserve">Push Notifications</w:t>
            </w:r>
          </w:p>
        </w:tc>
        <w:tc>
          <w:tcPr>
            <w:tcW w:type="pct" w:w="24%"/>
            <w:tcMar>
              <w:top w:type="dxa" w:w="90"/>
              <w:left w:type="dxa" w:w="120"/>
              <w:bottom w:type="dxa" w:w="90"/>
              <w:right w:type="dxa" w:w="120"/>
            </w:tcMar>
          </w:tcPr>
          <w:p>
            <w:r>
              <w:rPr>
                <w:sz w:val="19"/>
                <w:szCs w:val="19"/>
              </w:rPr>
              <w:t xml:space="preserve">Firebase Cloud Messaging</w:t>
            </w:r>
          </w:p>
        </w:tc>
        <w:tc>
          <w:tcPr>
            <w:tcW w:type="pct" w:w="34%"/>
            <w:tcMar>
              <w:top w:type="dxa" w:w="90"/>
              <w:left w:type="dxa" w:w="120"/>
              <w:bottom w:type="dxa" w:w="90"/>
              <w:right w:type="dxa" w:w="120"/>
            </w:tcMar>
          </w:tcPr>
          <w:p>
            <w:r>
              <w:rPr>
                <w:sz w:val="19"/>
                <w:szCs w:val="19"/>
              </w:rPr>
              <w:t xml:space="preserve">Booking alerts, price-drop notifications, saved-search matches</w:t>
            </w:r>
          </w:p>
        </w:tc>
        <w:tc>
          <w:tcPr>
            <w:tcW w:type="pct" w:w="22%"/>
            <w:tcMar>
              <w:top w:type="dxa" w:w="90"/>
              <w:left w:type="dxa" w:w="120"/>
              <w:bottom w:type="dxa" w:w="90"/>
              <w:right w:type="dxa" w:w="120"/>
            </w:tcMar>
          </w:tcPr>
          <w:p>
            <w:r>
              <w:rPr>
                <w:sz w:val="19"/>
                <w:szCs w:val="19"/>
              </w:rPr>
              <w:t xml:space="preserve">Free</w:t>
            </w:r>
          </w:p>
        </w:tc>
      </w:tr>
      <w:tr>
        <w:tc>
          <w:tcPr>
            <w:tcW w:type="pct" w:w="20%"/>
            <w:tcMar>
              <w:top w:type="dxa" w:w="90"/>
              <w:left w:type="dxa" w:w="120"/>
              <w:bottom w:type="dxa" w:w="90"/>
              <w:right w:type="dxa" w:w="120"/>
            </w:tcMar>
          </w:tcPr>
          <w:p>
            <w:r>
              <w:rPr>
                <w:sz w:val="19"/>
                <w:szCs w:val="19"/>
              </w:rPr>
              <w:t xml:space="preserve">Media Storage &amp; Processing</w:t>
            </w:r>
          </w:p>
        </w:tc>
        <w:tc>
          <w:tcPr>
            <w:tcW w:type="pct" w:w="24%"/>
            <w:tcMar>
              <w:top w:type="dxa" w:w="90"/>
              <w:left w:type="dxa" w:w="120"/>
              <w:bottom w:type="dxa" w:w="90"/>
              <w:right w:type="dxa" w:w="120"/>
            </w:tcMar>
          </w:tcPr>
          <w:p>
            <w:r>
              <w:rPr>
                <w:sz w:val="19"/>
                <w:szCs w:val="19"/>
              </w:rPr>
              <w:t xml:space="preserve">Cloudinary</w:t>
            </w:r>
          </w:p>
        </w:tc>
        <w:tc>
          <w:tcPr>
            <w:tcW w:type="pct" w:w="34%"/>
            <w:tcMar>
              <w:top w:type="dxa" w:w="90"/>
              <w:left w:type="dxa" w:w="120"/>
              <w:bottom w:type="dxa" w:w="90"/>
              <w:right w:type="dxa" w:w="120"/>
            </w:tcMar>
          </w:tcPr>
          <w:p>
            <w:r>
              <w:rPr>
                <w:sz w:val="19"/>
                <w:szCs w:val="19"/>
              </w:rPr>
              <w:t xml:space="preserve">Photo/video compression, transformation, and delivery for the media-heavy listing and social layers</w:t>
            </w:r>
          </w:p>
        </w:tc>
        <w:tc>
          <w:tcPr>
            <w:tcW w:type="pct" w:w="22%"/>
            <w:tcMar>
              <w:top w:type="dxa" w:w="90"/>
              <w:left w:type="dxa" w:w="120"/>
              <w:bottom w:type="dxa" w:w="90"/>
              <w:right w:type="dxa" w:w="120"/>
            </w:tcMar>
          </w:tcPr>
          <w:p>
            <w:r>
              <w:rPr>
                <w:sz w:val="19"/>
                <w:szCs w:val="19"/>
              </w:rPr>
              <w:t xml:space="preserve">Free tier, then usage-based (storage + bandwidth)</w:t>
            </w:r>
          </w:p>
        </w:tc>
      </w:tr>
      <w:tr>
        <w:tc>
          <w:tcPr>
            <w:tcW w:type="pct" w:w="20%"/>
            <w:tcMar>
              <w:top w:type="dxa" w:w="90"/>
              <w:left w:type="dxa" w:w="120"/>
              <w:bottom w:type="dxa" w:w="90"/>
              <w:right w:type="dxa" w:w="120"/>
            </w:tcMar>
          </w:tcPr>
          <w:p>
            <w:r>
              <w:rPr>
                <w:sz w:val="19"/>
                <w:szCs w:val="19"/>
              </w:rPr>
              <w:t xml:space="preserve">Text &amp; Image Moderation (AI)</w:t>
            </w:r>
          </w:p>
        </w:tc>
        <w:tc>
          <w:tcPr>
            <w:tcW w:type="pct" w:w="24%"/>
            <w:tcMar>
              <w:top w:type="dxa" w:w="90"/>
              <w:left w:type="dxa" w:w="120"/>
              <w:bottom w:type="dxa" w:w="90"/>
              <w:right w:type="dxa" w:w="120"/>
            </w:tcMar>
          </w:tcPr>
          <w:p>
            <w:r>
              <w:rPr>
                <w:sz w:val="19"/>
                <w:szCs w:val="19"/>
              </w:rPr>
              <w:t xml:space="preserve">OpenAI or Anthropic API (text) + Google Cloud Vision (image)</w:t>
            </w:r>
          </w:p>
        </w:tc>
        <w:tc>
          <w:tcPr>
            <w:tcW w:type="pct" w:w="34%"/>
            <w:tcMar>
              <w:top w:type="dxa" w:w="90"/>
              <w:left w:type="dxa" w:w="120"/>
              <w:bottom w:type="dxa" w:w="90"/>
              <w:right w:type="dxa" w:w="120"/>
            </w:tcMar>
          </w:tcPr>
          <w:p>
            <w:r>
              <w:rPr>
                <w:sz w:val="19"/>
                <w:szCs w:val="19"/>
              </w:rPr>
              <w:t xml:space="preserve">Powers the AIModerationResult pipeline — profanity, hate speech, nudity/sexual content detection</w:t>
            </w:r>
          </w:p>
        </w:tc>
        <w:tc>
          <w:tcPr>
            <w:tcW w:type="pct" w:w="22%"/>
            <w:tcMar>
              <w:top w:type="dxa" w:w="90"/>
              <w:left w:type="dxa" w:w="120"/>
              <w:bottom w:type="dxa" w:w="90"/>
              <w:right w:type="dxa" w:w="120"/>
            </w:tcMar>
          </w:tcPr>
          <w:p>
            <w:r>
              <w:rPr>
                <w:sz w:val="19"/>
                <w:szCs w:val="19"/>
              </w:rPr>
              <w:t xml:space="preserve">Usage-based, per API call/token</w:t>
            </w:r>
          </w:p>
        </w:tc>
      </w:tr>
      <w:tr>
        <w:tc>
          <w:tcPr>
            <w:tcW w:type="pct" w:w="20%"/>
            <w:tcMar>
              <w:top w:type="dxa" w:w="90"/>
              <w:left w:type="dxa" w:w="120"/>
              <w:bottom w:type="dxa" w:w="90"/>
              <w:right w:type="dxa" w:w="120"/>
            </w:tcMar>
          </w:tcPr>
          <w:p>
            <w:r>
              <w:rPr>
                <w:sz w:val="19"/>
                <w:szCs w:val="19"/>
              </w:rPr>
              <w:t xml:space="preserve">Search</w:t>
            </w:r>
          </w:p>
        </w:tc>
        <w:tc>
          <w:tcPr>
            <w:tcW w:type="pct" w:w="24%"/>
            <w:tcMar>
              <w:top w:type="dxa" w:w="90"/>
              <w:left w:type="dxa" w:w="120"/>
              <w:bottom w:type="dxa" w:w="90"/>
              <w:right w:type="dxa" w:w="120"/>
            </w:tcMar>
          </w:tcPr>
          <w:p>
            <w:r>
              <w:rPr>
                <w:sz w:val="19"/>
                <w:szCs w:val="19"/>
              </w:rPr>
              <w:t xml:space="preserve">Meilisearch (self-hosted) or Algolia (managed)</w:t>
            </w:r>
          </w:p>
        </w:tc>
        <w:tc>
          <w:tcPr>
            <w:tcW w:type="pct" w:w="34%"/>
            <w:tcMar>
              <w:top w:type="dxa" w:w="90"/>
              <w:left w:type="dxa" w:w="120"/>
              <w:bottom w:type="dxa" w:w="90"/>
              <w:right w:type="dxa" w:w="120"/>
            </w:tcMar>
          </w:tcPr>
          <w:p>
            <w:r>
              <w:rPr>
                <w:sz w:val="19"/>
                <w:szCs w:val="19"/>
              </w:rPr>
              <w:t xml:space="preserve">Fast filtered property search at scale</w:t>
            </w:r>
          </w:p>
        </w:tc>
        <w:tc>
          <w:tcPr>
            <w:tcW w:type="pct" w:w="22%"/>
            <w:tcMar>
              <w:top w:type="dxa" w:w="90"/>
              <w:left w:type="dxa" w:w="120"/>
              <w:bottom w:type="dxa" w:w="90"/>
              <w:right w:type="dxa" w:w="120"/>
            </w:tcMar>
          </w:tcPr>
          <w:p>
            <w:r>
              <w:rPr>
                <w:sz w:val="19"/>
                <w:szCs w:val="19"/>
              </w:rPr>
              <w:t xml:space="preserve">Meilisearch free (self-hosted, pay only for server); Algolia usage-based subscription</w:t>
            </w:r>
          </w:p>
        </w:tc>
      </w:tr>
      <w:tr>
        <w:tc>
          <w:tcPr>
            <w:tcW w:type="pct" w:w="20%"/>
            <w:tcMar>
              <w:top w:type="dxa" w:w="90"/>
              <w:left w:type="dxa" w:w="120"/>
              <w:bottom w:type="dxa" w:w="90"/>
              <w:right w:type="dxa" w:w="120"/>
            </w:tcMar>
          </w:tcPr>
          <w:p>
            <w:r>
              <w:rPr>
                <w:sz w:val="19"/>
                <w:szCs w:val="19"/>
              </w:rPr>
              <w:t xml:space="preserve">Error Tracking &amp; Monitoring</w:t>
            </w:r>
          </w:p>
        </w:tc>
        <w:tc>
          <w:tcPr>
            <w:tcW w:type="pct" w:w="24%"/>
            <w:tcMar>
              <w:top w:type="dxa" w:w="90"/>
              <w:left w:type="dxa" w:w="120"/>
              <w:bottom w:type="dxa" w:w="90"/>
              <w:right w:type="dxa" w:w="120"/>
            </w:tcMar>
          </w:tcPr>
          <w:p>
            <w:r>
              <w:rPr>
                <w:sz w:val="19"/>
                <w:szCs w:val="19"/>
              </w:rPr>
              <w:t xml:space="preserve">Sentry</w:t>
            </w:r>
          </w:p>
        </w:tc>
        <w:tc>
          <w:tcPr>
            <w:tcW w:type="pct" w:w="34%"/>
            <w:tcMar>
              <w:top w:type="dxa" w:w="90"/>
              <w:left w:type="dxa" w:w="120"/>
              <w:bottom w:type="dxa" w:w="90"/>
              <w:right w:type="dxa" w:w="120"/>
            </w:tcMar>
          </w:tcPr>
          <w:p>
            <w:r>
              <w:rPr>
                <w:sz w:val="19"/>
                <w:szCs w:val="19"/>
              </w:rPr>
              <w:t xml:space="preserve">Production error tracking across backend, web, and mobile</w:t>
            </w:r>
          </w:p>
        </w:tc>
        <w:tc>
          <w:tcPr>
            <w:tcW w:type="pct" w:w="22%"/>
            <w:tcMar>
              <w:top w:type="dxa" w:w="90"/>
              <w:left w:type="dxa" w:w="120"/>
              <w:bottom w:type="dxa" w:w="90"/>
              <w:right w:type="dxa" w:w="120"/>
            </w:tcMar>
          </w:tcPr>
          <w:p>
            <w:r>
              <w:rPr>
                <w:sz w:val="19"/>
                <w:szCs w:val="19"/>
              </w:rPr>
              <w:t xml:space="preserve">Free tier for early stage, then usage-based</w:t>
            </w:r>
          </w:p>
        </w:tc>
      </w:tr>
      <w:tr>
        <w:tc>
          <w:tcPr>
            <w:tcW w:type="pct" w:w="20%"/>
            <w:tcMar>
              <w:top w:type="dxa" w:w="90"/>
              <w:left w:type="dxa" w:w="120"/>
              <w:bottom w:type="dxa" w:w="90"/>
              <w:right w:type="dxa" w:w="120"/>
            </w:tcMar>
          </w:tcPr>
          <w:p>
            <w:r>
              <w:rPr>
                <w:sz w:val="19"/>
                <w:szCs w:val="19"/>
              </w:rPr>
              <w:t xml:space="preserve">Email Delivery</w:t>
            </w:r>
          </w:p>
        </w:tc>
        <w:tc>
          <w:tcPr>
            <w:tcW w:type="pct" w:w="24%"/>
            <w:tcMar>
              <w:top w:type="dxa" w:w="90"/>
              <w:left w:type="dxa" w:w="120"/>
              <w:bottom w:type="dxa" w:w="90"/>
              <w:right w:type="dxa" w:w="120"/>
            </w:tcMar>
          </w:tcPr>
          <w:p>
            <w:r>
              <w:rPr>
                <w:sz w:val="19"/>
                <w:szCs w:val="19"/>
              </w:rPr>
              <w:t xml:space="preserve">Postmark or SendGrid</w:t>
            </w:r>
          </w:p>
        </w:tc>
        <w:tc>
          <w:tcPr>
            <w:tcW w:type="pct" w:w="34%"/>
            <w:tcMar>
              <w:top w:type="dxa" w:w="90"/>
              <w:left w:type="dxa" w:w="120"/>
              <w:bottom w:type="dxa" w:w="90"/>
              <w:right w:type="dxa" w:w="120"/>
            </w:tcMar>
          </w:tcPr>
          <w:p>
            <w:r>
              <w:rPr>
                <w:sz w:val="19"/>
                <w:szCs w:val="19"/>
              </w:rPr>
              <w:t xml:space="preserve">Transactional email — receipts, verification, password resets</w:t>
            </w:r>
          </w:p>
        </w:tc>
        <w:tc>
          <w:tcPr>
            <w:tcW w:type="pct" w:w="22%"/>
            <w:tcMar>
              <w:top w:type="dxa" w:w="90"/>
              <w:left w:type="dxa" w:w="120"/>
              <w:bottom w:type="dxa" w:w="90"/>
              <w:right w:type="dxa" w:w="120"/>
            </w:tcMar>
          </w:tcPr>
          <w:p>
            <w:r>
              <w:rPr>
                <w:sz w:val="19"/>
                <w:szCs w:val="19"/>
              </w:rPr>
              <w:t xml:space="preserve">Free tier, then per-email volume pricing</w:t>
            </w:r>
          </w:p>
        </w:tc>
      </w:tr>
      <w:tr>
        <w:tc>
          <w:tcPr>
            <w:tcW w:type="pct" w:w="20%"/>
            <w:tcMar>
              <w:top w:type="dxa" w:w="90"/>
              <w:left w:type="dxa" w:w="120"/>
              <w:bottom w:type="dxa" w:w="90"/>
              <w:right w:type="dxa" w:w="120"/>
            </w:tcMar>
          </w:tcPr>
          <w:p>
            <w:r>
              <w:rPr>
                <w:sz w:val="19"/>
                <w:szCs w:val="19"/>
              </w:rPr>
              <w:t xml:space="preserve">E-Signatures</w:t>
            </w:r>
          </w:p>
        </w:tc>
        <w:tc>
          <w:tcPr>
            <w:tcW w:type="pct" w:w="24%"/>
            <w:tcMar>
              <w:top w:type="dxa" w:w="90"/>
              <w:left w:type="dxa" w:w="120"/>
              <w:bottom w:type="dxa" w:w="90"/>
              <w:right w:type="dxa" w:w="120"/>
            </w:tcMar>
          </w:tcPr>
          <w:p>
            <w:r>
              <w:rPr>
                <w:sz w:val="19"/>
                <w:szCs w:val="19"/>
              </w:rPr>
              <w:t xml:space="preserve">DocuSign API or Dropbox Sign API</w:t>
            </w:r>
          </w:p>
        </w:tc>
        <w:tc>
          <w:tcPr>
            <w:tcW w:type="pct" w:w="34%"/>
            <w:tcMar>
              <w:top w:type="dxa" w:w="90"/>
              <w:left w:type="dxa" w:w="120"/>
              <w:bottom w:type="dxa" w:w="90"/>
              <w:right w:type="dxa" w:w="120"/>
            </w:tcMar>
          </w:tcPr>
          <w:p>
            <w:r>
              <w:rPr>
                <w:sz w:val="19"/>
                <w:szCs w:val="19"/>
              </w:rPr>
              <w:t xml:space="preserve">Digital contract signing for leases and sale agreements</w:t>
            </w:r>
          </w:p>
        </w:tc>
        <w:tc>
          <w:tcPr>
            <w:tcW w:type="pct" w:w="22%"/>
            <w:tcMar>
              <w:top w:type="dxa" w:w="90"/>
              <w:left w:type="dxa" w:w="120"/>
              <w:bottom w:type="dxa" w:w="90"/>
              <w:right w:type="dxa" w:w="120"/>
            </w:tcMar>
          </w:tcPr>
          <w:p>
            <w:r>
              <w:rPr>
                <w:sz w:val="19"/>
                <w:szCs w:val="19"/>
              </w:rPr>
              <w:t xml:space="preserve">Per-envelope or monthly subscription tiers</w:t>
            </w:r>
          </w:p>
        </w:tc>
      </w:tr>
    </w:tbl>
    <w:p>
      <w:r>
        <w:br w:type="page"/>
      </w:r>
    </w:p>
    <w:p>
      <w:pPr>
        <w:pStyle w:val="Heading1"/>
        <w:spacing w:after="160" w:before="240"/>
      </w:pPr>
      <w:r>
        <w:rPr>
          <w:b/>
          <w:bCs/>
          <w:color w:val="1B2A4A"/>
        </w:rPr>
        <w:t xml:space="preserve">8. Subscriptions &amp; Recurring Cost Summary</w:t>
      </w:r>
    </w:p>
    <w:p>
      <w:pPr>
        <w:spacing w:after="120"/>
      </w:pPr>
      <w:r>
        <w:t xml:space="preserve">Costs below are budgeting estimates for an early-stage deployment, not vendor quotes — actual pricing should be confirmed directly with each provider before committing. Usage-based items scale with the platform's activity rather than carrying a fixed monthly charge, which keeps early costs low.</w:t>
      </w:r>
    </w:p>
    <w:tbl>
      <w:tblPr>
        <w:tblW w:type="pct" w:w="100%"/>
        <w:tblBorders>
          <w:top w:val="single" w:color="CCCCCC" w:sz="4"/>
          <w:left w:val="single" w:color="CCCCCC" w:sz="4"/>
          <w:bottom w:val="single" w:color="CCCCCC" w:sz="4"/>
          <w:right w:val="single" w:color="CCCCCC" w:sz="4"/>
          <w:insideH w:val="single" w:color="DDDDDD" w:sz="2"/>
          <w:insideV w:val="single" w:color="DDDDDD" w:sz="2"/>
        </w:tblBorders>
      </w:tblPr>
      <w:tblGrid>
        <w:gridCol w:w="100"/>
        <w:gridCol w:w="100"/>
        <w:gridCol w:w="100"/>
      </w:tblGrid>
      <w:tr>
        <w:tc>
          <w:tcPr>
            <w:tcW w:type="pct" w:w="38%"/>
            <w:shd w:fill="1B2A4A" w:val="clear"/>
            <w:tcMar>
              <w:top w:type="dxa" w:w="90"/>
              <w:left w:type="dxa" w:w="120"/>
              <w:bottom w:type="dxa" w:w="90"/>
              <w:right w:type="dxa" w:w="120"/>
            </w:tcMar>
          </w:tcPr>
          <w:p>
            <w:r>
              <w:rPr>
                <w:b/>
                <w:bCs/>
                <w:color w:val="FFFFFF"/>
                <w:sz w:val="19"/>
                <w:szCs w:val="19"/>
              </w:rPr>
              <w:t xml:space="preserve">Item</w:t>
            </w:r>
          </w:p>
        </w:tc>
        <w:tc>
          <w:tcPr>
            <w:tcW w:type="pct" w:w="30%"/>
            <w:shd w:fill="1B2A4A" w:val="clear"/>
            <w:tcMar>
              <w:top w:type="dxa" w:w="90"/>
              <w:left w:type="dxa" w:w="120"/>
              <w:bottom w:type="dxa" w:w="90"/>
              <w:right w:type="dxa" w:w="120"/>
            </w:tcMar>
          </w:tcPr>
          <w:p>
            <w:r>
              <w:rPr>
                <w:b/>
                <w:bCs/>
                <w:color w:val="FFFFFF"/>
                <w:sz w:val="19"/>
                <w:szCs w:val="19"/>
              </w:rPr>
              <w:t xml:space="preserve">Estimated Cost</w:t>
            </w:r>
          </w:p>
        </w:tc>
        <w:tc>
          <w:tcPr>
            <w:tcW w:type="pct" w:w="32%"/>
            <w:shd w:fill="1B2A4A" w:val="clear"/>
            <w:tcMar>
              <w:top w:type="dxa" w:w="90"/>
              <w:left w:type="dxa" w:w="120"/>
              <w:bottom w:type="dxa" w:w="90"/>
              <w:right w:type="dxa" w:w="120"/>
            </w:tcMar>
          </w:tcPr>
          <w:p>
            <w:r>
              <w:rPr>
                <w:b/>
                <w:bCs/>
                <w:color w:val="FFFFFF"/>
                <w:sz w:val="19"/>
                <w:szCs w:val="19"/>
              </w:rPr>
              <w:t xml:space="preserve">Notes</w:t>
            </w:r>
          </w:p>
        </w:tc>
      </w:tr>
      <w:tr>
        <w:tc>
          <w:tcPr>
            <w:tcW w:type="pct" w:w="38%"/>
            <w:tcMar>
              <w:top w:type="dxa" w:w="90"/>
              <w:left w:type="dxa" w:w="120"/>
              <w:bottom w:type="dxa" w:w="90"/>
              <w:right w:type="dxa" w:w="120"/>
            </w:tcMar>
          </w:tcPr>
          <w:p>
            <w:r>
              <w:rPr>
                <w:sz w:val="19"/>
                <w:szCs w:val="19"/>
              </w:rPr>
              <w:t xml:space="preserve">Apple Developer Program</w:t>
            </w:r>
          </w:p>
        </w:tc>
        <w:tc>
          <w:tcPr>
            <w:tcW w:type="pct" w:w="30%"/>
            <w:tcMar>
              <w:top w:type="dxa" w:w="90"/>
              <w:left w:type="dxa" w:w="120"/>
              <w:bottom w:type="dxa" w:w="90"/>
              <w:right w:type="dxa" w:w="120"/>
            </w:tcMar>
          </w:tcPr>
          <w:p>
            <w:r>
              <w:rPr>
                <w:sz w:val="19"/>
                <w:szCs w:val="19"/>
              </w:rPr>
              <w:t xml:space="preserve">$99/year</w:t>
            </w:r>
          </w:p>
        </w:tc>
        <w:tc>
          <w:tcPr>
            <w:tcW w:type="pct" w:w="32%"/>
            <w:tcMar>
              <w:top w:type="dxa" w:w="90"/>
              <w:left w:type="dxa" w:w="120"/>
              <w:bottom w:type="dxa" w:w="90"/>
              <w:right w:type="dxa" w:w="120"/>
            </w:tcMar>
          </w:tcPr>
          <w:p>
            <w:r>
              <w:rPr>
                <w:sz w:val="19"/>
                <w:szCs w:val="19"/>
              </w:rPr>
              <w:t xml:space="preserve">Mandatory for iOS App Store distribution</w:t>
            </w:r>
          </w:p>
        </w:tc>
      </w:tr>
      <w:tr>
        <w:tc>
          <w:tcPr>
            <w:tcW w:type="pct" w:w="38%"/>
            <w:tcMar>
              <w:top w:type="dxa" w:w="90"/>
              <w:left w:type="dxa" w:w="120"/>
              <w:bottom w:type="dxa" w:w="90"/>
              <w:right w:type="dxa" w:w="120"/>
            </w:tcMar>
          </w:tcPr>
          <w:p>
            <w:r>
              <w:rPr>
                <w:sz w:val="19"/>
                <w:szCs w:val="19"/>
              </w:rPr>
              <w:t xml:space="preserve">Google Play Developer Account</w:t>
            </w:r>
          </w:p>
        </w:tc>
        <w:tc>
          <w:tcPr>
            <w:tcW w:type="pct" w:w="30%"/>
            <w:tcMar>
              <w:top w:type="dxa" w:w="90"/>
              <w:left w:type="dxa" w:w="120"/>
              <w:bottom w:type="dxa" w:w="90"/>
              <w:right w:type="dxa" w:w="120"/>
            </w:tcMar>
          </w:tcPr>
          <w:p>
            <w:r>
              <w:rPr>
                <w:sz w:val="19"/>
                <w:szCs w:val="19"/>
              </w:rPr>
              <w:t xml:space="preserve">$25 one-time</w:t>
            </w:r>
          </w:p>
        </w:tc>
        <w:tc>
          <w:tcPr>
            <w:tcW w:type="pct" w:w="32%"/>
            <w:tcMar>
              <w:top w:type="dxa" w:w="90"/>
              <w:left w:type="dxa" w:w="120"/>
              <w:bottom w:type="dxa" w:w="90"/>
              <w:right w:type="dxa" w:w="120"/>
            </w:tcMar>
          </w:tcPr>
          <w:p>
            <w:r>
              <w:rPr>
                <w:sz w:val="19"/>
                <w:szCs w:val="19"/>
              </w:rPr>
              <w:t xml:space="preserve">Mandatory for Android distribution</w:t>
            </w:r>
          </w:p>
        </w:tc>
      </w:tr>
      <w:tr>
        <w:tc>
          <w:tcPr>
            <w:tcW w:type="pct" w:w="38%"/>
            <w:tcMar>
              <w:top w:type="dxa" w:w="90"/>
              <w:left w:type="dxa" w:w="120"/>
              <w:bottom w:type="dxa" w:w="90"/>
              <w:right w:type="dxa" w:w="120"/>
            </w:tcMar>
          </w:tcPr>
          <w:p>
            <w:r>
              <w:rPr>
                <w:sz w:val="19"/>
                <w:szCs w:val="19"/>
              </w:rPr>
              <w:t xml:space="preserve">Domain registration</w:t>
            </w:r>
          </w:p>
        </w:tc>
        <w:tc>
          <w:tcPr>
            <w:tcW w:type="pct" w:w="30%"/>
            <w:tcMar>
              <w:top w:type="dxa" w:w="90"/>
              <w:left w:type="dxa" w:w="120"/>
              <w:bottom w:type="dxa" w:w="90"/>
              <w:right w:type="dxa" w:w="120"/>
            </w:tcMar>
          </w:tcPr>
          <w:p>
            <w:r>
              <w:rPr>
                <w:sz w:val="19"/>
                <w:szCs w:val="19"/>
              </w:rPr>
              <w:t xml:space="preserve">$10–20/year</w:t>
            </w:r>
          </w:p>
        </w:tc>
        <w:tc>
          <w:tcPr>
            <w:tcW w:type="pct" w:w="32%"/>
            <w:tcMar>
              <w:top w:type="dxa" w:w="90"/>
              <w:left w:type="dxa" w:w="120"/>
              <w:bottom w:type="dxa" w:w="90"/>
              <w:right w:type="dxa" w:w="120"/>
            </w:tcMar>
          </w:tcPr>
          <w:p>
            <w:r>
              <w:rPr>
                <w:sz w:val="19"/>
                <w:szCs w:val="19"/>
              </w:rPr>
              <w:t xml:space="preserve">oaziland.com or chosen domain</w:t>
            </w:r>
          </w:p>
        </w:tc>
      </w:tr>
      <w:tr>
        <w:tc>
          <w:tcPr>
            <w:tcW w:type="pct" w:w="38%"/>
            <w:tcMar>
              <w:top w:type="dxa" w:w="90"/>
              <w:left w:type="dxa" w:w="120"/>
              <w:bottom w:type="dxa" w:w="90"/>
              <w:right w:type="dxa" w:w="120"/>
            </w:tcMar>
          </w:tcPr>
          <w:p>
            <w:r>
              <w:rPr>
                <w:sz w:val="19"/>
                <w:szCs w:val="19"/>
              </w:rPr>
              <w:t xml:space="preserve">Web hosting (Vercel)</w:t>
            </w:r>
          </w:p>
        </w:tc>
        <w:tc>
          <w:tcPr>
            <w:tcW w:type="pct" w:w="30%"/>
            <w:tcMar>
              <w:top w:type="dxa" w:w="90"/>
              <w:left w:type="dxa" w:w="120"/>
              <w:bottom w:type="dxa" w:w="90"/>
              <w:right w:type="dxa" w:w="120"/>
            </w:tcMar>
          </w:tcPr>
          <w:p>
            <w:r>
              <w:rPr>
                <w:sz w:val="19"/>
                <w:szCs w:val="19"/>
              </w:rPr>
              <w:t xml:space="preserve">Free tier to start; Pro ~$20/month per member as usage grows</w:t>
            </w:r>
          </w:p>
        </w:tc>
        <w:tc>
          <w:tcPr>
            <w:tcW w:type="pct" w:w="32%"/>
            <w:tcMar>
              <w:top w:type="dxa" w:w="90"/>
              <w:left w:type="dxa" w:w="120"/>
              <w:bottom w:type="dxa" w:w="90"/>
              <w:right w:type="dxa" w:w="120"/>
            </w:tcMar>
          </w:tcPr>
          <w:p>
            <w:r>
              <w:rPr>
                <w:sz w:val="19"/>
                <w:szCs w:val="19"/>
              </w:rPr>
              <w:t xml:space="preserve">Hosts the Next.js web app</w:t>
            </w:r>
          </w:p>
        </w:tc>
      </w:tr>
      <w:tr>
        <w:tc>
          <w:tcPr>
            <w:tcW w:type="pct" w:w="38%"/>
            <w:tcMar>
              <w:top w:type="dxa" w:w="90"/>
              <w:left w:type="dxa" w:w="120"/>
              <w:bottom w:type="dxa" w:w="90"/>
              <w:right w:type="dxa" w:w="120"/>
            </w:tcMar>
          </w:tcPr>
          <w:p>
            <w:r>
              <w:rPr>
                <w:sz w:val="19"/>
                <w:szCs w:val="19"/>
              </w:rPr>
              <w:t xml:space="preserve">Backend hosting (Railway, Render, or Fly.io)</w:t>
            </w:r>
          </w:p>
        </w:tc>
        <w:tc>
          <w:tcPr>
            <w:tcW w:type="pct" w:w="30%"/>
            <w:tcMar>
              <w:top w:type="dxa" w:w="90"/>
              <w:left w:type="dxa" w:w="120"/>
              <w:bottom w:type="dxa" w:w="90"/>
              <w:right w:type="dxa" w:w="120"/>
            </w:tcMar>
          </w:tcPr>
          <w:p>
            <w:r>
              <w:rPr>
                <w:sz w:val="19"/>
                <w:szCs w:val="19"/>
              </w:rPr>
              <w:t xml:space="preserve">~$20–100/month depending on load</w:t>
            </w:r>
          </w:p>
        </w:tc>
        <w:tc>
          <w:tcPr>
            <w:tcW w:type="pct" w:w="32%"/>
            <w:tcMar>
              <w:top w:type="dxa" w:w="90"/>
              <w:left w:type="dxa" w:w="120"/>
              <w:bottom w:type="dxa" w:w="90"/>
              <w:right w:type="dxa" w:w="120"/>
            </w:tcMar>
          </w:tcPr>
          <w:p>
            <w:r>
              <w:rPr>
                <w:sz w:val="19"/>
                <w:szCs w:val="19"/>
              </w:rPr>
              <w:t xml:space="preserve">Hosts the Django API and Celery workers</w:t>
            </w:r>
          </w:p>
        </w:tc>
      </w:tr>
      <w:tr>
        <w:tc>
          <w:tcPr>
            <w:tcW w:type="pct" w:w="38%"/>
            <w:tcMar>
              <w:top w:type="dxa" w:w="90"/>
              <w:left w:type="dxa" w:w="120"/>
              <w:bottom w:type="dxa" w:w="90"/>
              <w:right w:type="dxa" w:w="120"/>
            </w:tcMar>
          </w:tcPr>
          <w:p>
            <w:r>
              <w:rPr>
                <w:sz w:val="19"/>
                <w:szCs w:val="19"/>
              </w:rPr>
              <w:t xml:space="preserve">Managed PostgreSQL (Supabase or equivalent)</w:t>
            </w:r>
          </w:p>
        </w:tc>
        <w:tc>
          <w:tcPr>
            <w:tcW w:type="pct" w:w="30%"/>
            <w:tcMar>
              <w:top w:type="dxa" w:w="90"/>
              <w:left w:type="dxa" w:w="120"/>
              <w:bottom w:type="dxa" w:w="90"/>
              <w:right w:type="dxa" w:w="120"/>
            </w:tcMar>
          </w:tcPr>
          <w:p>
            <w:r>
              <w:rPr>
                <w:sz w:val="19"/>
                <w:szCs w:val="19"/>
              </w:rPr>
              <w:t xml:space="preserve">Free tier to start; ~$25+/month as data grows</w:t>
            </w:r>
          </w:p>
        </w:tc>
        <w:tc>
          <w:tcPr>
            <w:tcW w:type="pct" w:w="32%"/>
            <w:tcMar>
              <w:top w:type="dxa" w:w="90"/>
              <w:left w:type="dxa" w:w="120"/>
              <w:bottom w:type="dxa" w:w="90"/>
              <w:right w:type="dxa" w:w="120"/>
            </w:tcMar>
          </w:tcPr>
          <w:p>
            <w:r>
              <w:rPr>
                <w:sz w:val="19"/>
                <w:szCs w:val="19"/>
              </w:rPr>
              <w:t xml:space="preserve">Database hosting with backups</w:t>
            </w:r>
          </w:p>
        </w:tc>
      </w:tr>
      <w:tr>
        <w:tc>
          <w:tcPr>
            <w:tcW w:type="pct" w:w="38%"/>
            <w:tcMar>
              <w:top w:type="dxa" w:w="90"/>
              <w:left w:type="dxa" w:w="120"/>
              <w:bottom w:type="dxa" w:w="90"/>
              <w:right w:type="dxa" w:w="120"/>
            </w:tcMar>
          </w:tcPr>
          <w:p>
            <w:r>
              <w:rPr>
                <w:sz w:val="19"/>
                <w:szCs w:val="19"/>
              </w:rPr>
              <w:t xml:space="preserve">Redis hosting</w:t>
            </w:r>
          </w:p>
        </w:tc>
        <w:tc>
          <w:tcPr>
            <w:tcW w:type="pct" w:w="30%"/>
            <w:tcMar>
              <w:top w:type="dxa" w:w="90"/>
              <w:left w:type="dxa" w:w="120"/>
              <w:bottom w:type="dxa" w:w="90"/>
              <w:right w:type="dxa" w:w="120"/>
            </w:tcMar>
          </w:tcPr>
          <w:p>
            <w:r>
              <w:rPr>
                <w:sz w:val="19"/>
                <w:szCs w:val="19"/>
              </w:rPr>
              <w:t xml:space="preserve">~$10–15/month (e.g. Upstash, Railway)</w:t>
            </w:r>
          </w:p>
        </w:tc>
        <w:tc>
          <w:tcPr>
            <w:tcW w:type="pct" w:w="32%"/>
            <w:tcMar>
              <w:top w:type="dxa" w:w="90"/>
              <w:left w:type="dxa" w:w="120"/>
              <w:bottom w:type="dxa" w:w="90"/>
              <w:right w:type="dxa" w:w="120"/>
            </w:tcMar>
          </w:tcPr>
          <w:p>
            <w:r>
              <w:rPr>
                <w:sz w:val="19"/>
                <w:szCs w:val="19"/>
              </w:rPr>
              <w:t xml:space="preserve">Caching and job queue</w:t>
            </w:r>
          </w:p>
        </w:tc>
      </w:tr>
      <w:tr>
        <w:tc>
          <w:tcPr>
            <w:tcW w:type="pct" w:w="38%"/>
            <w:tcMar>
              <w:top w:type="dxa" w:w="90"/>
              <w:left w:type="dxa" w:w="120"/>
              <w:bottom w:type="dxa" w:w="90"/>
              <w:right w:type="dxa" w:w="120"/>
            </w:tcMar>
          </w:tcPr>
          <w:p>
            <w:r>
              <w:rPr>
                <w:sz w:val="19"/>
                <w:szCs w:val="19"/>
              </w:rPr>
              <w:t xml:space="preserve">Object storage (Cloudflare R2 or AWS S3)</w:t>
            </w:r>
          </w:p>
        </w:tc>
        <w:tc>
          <w:tcPr>
            <w:tcW w:type="pct" w:w="30%"/>
            <w:tcMar>
              <w:top w:type="dxa" w:w="90"/>
              <w:left w:type="dxa" w:w="120"/>
              <w:bottom w:type="dxa" w:w="90"/>
              <w:right w:type="dxa" w:w="120"/>
            </w:tcMar>
          </w:tcPr>
          <w:p>
            <w:r>
              <w:rPr>
                <w:sz w:val="19"/>
                <w:szCs w:val="19"/>
              </w:rPr>
              <w:t xml:space="preserve">Usage-based, typically low at MVP scale</w:t>
            </w:r>
          </w:p>
        </w:tc>
        <w:tc>
          <w:tcPr>
            <w:tcW w:type="pct" w:w="32%"/>
            <w:tcMar>
              <w:top w:type="dxa" w:w="90"/>
              <w:left w:type="dxa" w:w="120"/>
              <w:bottom w:type="dxa" w:w="90"/>
              <w:right w:type="dxa" w:w="120"/>
            </w:tcMar>
          </w:tcPr>
          <w:p>
            <w:r>
              <w:rPr>
                <w:sz w:val="19"/>
                <w:szCs w:val="19"/>
              </w:rPr>
              <w:t xml:space="preserve">Media file storage</w:t>
            </w:r>
          </w:p>
        </w:tc>
      </w:tr>
      <w:tr>
        <w:tc>
          <w:tcPr>
            <w:tcW w:type="pct" w:w="38%"/>
            <w:tcMar>
              <w:top w:type="dxa" w:w="90"/>
              <w:left w:type="dxa" w:w="120"/>
              <w:bottom w:type="dxa" w:w="90"/>
              <w:right w:type="dxa" w:w="120"/>
            </w:tcMar>
          </w:tcPr>
          <w:p>
            <w:r>
              <w:rPr>
                <w:sz w:val="19"/>
                <w:szCs w:val="19"/>
              </w:rPr>
              <w:t xml:space="preserve">All usage-based APIs (payments, KYC, WhatsApp/SMS, moderation, maps)</w:t>
            </w:r>
          </w:p>
        </w:tc>
        <w:tc>
          <w:tcPr>
            <w:tcW w:type="pct" w:w="30%"/>
            <w:tcMar>
              <w:top w:type="dxa" w:w="90"/>
              <w:left w:type="dxa" w:w="120"/>
              <w:bottom w:type="dxa" w:w="90"/>
              <w:right w:type="dxa" w:w="120"/>
            </w:tcMar>
          </w:tcPr>
          <w:p>
            <w:r>
              <w:rPr>
                <w:sz w:val="19"/>
                <w:szCs w:val="19"/>
              </w:rPr>
              <w:t xml:space="preserve">Variable — scales with transaction and user volume</w:t>
            </w:r>
          </w:p>
        </w:tc>
        <w:tc>
          <w:tcPr>
            <w:tcW w:type="pct" w:w="32%"/>
            <w:tcMar>
              <w:top w:type="dxa" w:w="90"/>
              <w:left w:type="dxa" w:w="120"/>
              <w:bottom w:type="dxa" w:w="90"/>
              <w:right w:type="dxa" w:w="120"/>
            </w:tcMar>
          </w:tcPr>
          <w:p>
            <w:r>
              <w:rPr>
                <w:sz w:val="19"/>
                <w:szCs w:val="19"/>
              </w:rPr>
              <w:t xml:space="preserve">No fixed monthly fee; budget as a percentage of revenue/activity rather than a flat cost</w:t>
            </w:r>
          </w:p>
        </w:tc>
      </w:tr>
    </w:tbl>
    <w:p>
      <w:r>
        <w:br w:type="page"/>
      </w:r>
    </w:p>
    <w:p>
      <w:pPr>
        <w:pStyle w:val="Heading1"/>
        <w:spacing w:after="160" w:before="240"/>
      </w:pPr>
      <w:r>
        <w:rPr>
          <w:b/>
          <w:bCs/>
          <w:color w:val="1B2A4A"/>
        </w:rPr>
        <w:t xml:space="preserve">9. Step-by-Step Procedure: Design Through Deployment</w:t>
      </w:r>
    </w:p>
    <w:p>
      <w:pPr>
        <w:spacing w:after="120"/>
      </w:pPr>
      <w:r>
        <w:t xml:space="preserve">This is the actionable sequence to follow, phase by phase, from finalizing design decisions through to a live production deployment. Phases 3 and 4 (web and mobile development) run in parallel with each other and overlap with the tail end of Phase 2 once core API endpoints stabilize.</w:t>
      </w:r>
    </w:p>
    <w:p>
      <w:pPr>
        <w:pStyle w:val="Heading2"/>
        <w:spacing w:after="100" w:before="220"/>
      </w:pPr>
      <w:r>
        <w:rPr>
          <w:b/>
          <w:bCs/>
          <w:color w:val="1B2A4A"/>
        </w:rPr>
        <w:t xml:space="preserve">Phase 0 — Finalize Design Decisions  (Weeks 1–2)</w:t>
      </w:r>
    </w:p>
    <w:p>
      <w:pPr>
        <w:spacing w:after="120"/>
      </w:pPr>
      <w:r>
        <w:t xml:space="preserve">Close every open decision flagged across the Architecture, Pre-Development, and UML documents before writing production code, so development does not stall mid-sprint waiting on a product decision.</w:t>
      </w:r>
    </w:p>
    <w:p>
      <w:pPr>
        <w:pStyle w:val="Heading3"/>
        <w:spacing w:after="80" w:before="160"/>
      </w:pPr>
      <w:r>
        <w:rPr>
          <w:b/>
          <w:bCs/>
          <w:color w:val="C9A227"/>
          <w:sz w:val="22"/>
          <w:szCs w:val="22"/>
        </w:rPr>
        <w:t xml:space="preserve">Key Tasks</w:t>
      </w:r>
    </w:p>
    <w:p>
      <w:pPr>
        <w:pStyle w:val="ListParagraph"/>
        <w:numPr>
          <w:ilvl w:val="0"/>
          <w:numId w:val="2"/>
        </w:numPr>
        <w:spacing w:after="60"/>
      </w:pPr>
      <w:r>
        <w:t xml:space="preserve">Confirm backend framework (Django, per Section 2 of this document)</w:t>
      </w:r>
    </w:p>
    <w:p>
      <w:pPr>
        <w:pStyle w:val="ListParagraph"/>
        <w:numPr>
          <w:ilvl w:val="0"/>
          <w:numId w:val="2"/>
        </w:numPr>
        <w:spacing w:after="60"/>
      </w:pPr>
      <w:r>
        <w:t xml:space="preserve">Decide the Taskln identity-verification integration question (shared KYC vs. independent re-verification)</w:t>
      </w:r>
    </w:p>
    <w:p>
      <w:pPr>
        <w:pStyle w:val="ListParagraph"/>
        <w:numPr>
          <w:ilvl w:val="0"/>
          <w:numId w:val="2"/>
        </w:numPr>
        <w:spacing w:after="60"/>
      </w:pPr>
      <w:r>
        <w:t xml:space="preserve">Set concrete agency-benefit terms (commission split percentages, what "marketing support" concretely includes)</w:t>
      </w:r>
    </w:p>
    <w:p>
      <w:pPr>
        <w:pStyle w:val="ListParagraph"/>
        <w:numPr>
          <w:ilvl w:val="0"/>
          <w:numId w:val="2"/>
        </w:numPr>
        <w:spacing w:after="60"/>
      </w:pPr>
      <w:r>
        <w:t xml:space="preserve">Confirm blockchain timing (Phase 2, per the Architecture document's recommendation)</w:t>
      </w:r>
    </w:p>
    <w:p>
      <w:pPr>
        <w:pStyle w:val="ListParagraph"/>
        <w:numPr>
          <w:ilvl w:val="0"/>
          <w:numId w:val="2"/>
        </w:numPr>
        <w:spacing w:after="60"/>
      </w:pPr>
      <w:r>
        <w:t xml:space="preserve">Produce high-fidelity Figma wireframes and a clickable prototype for the core journeys: search &amp; book, list a property, agent/agency dashboard, admin console</w:t>
      </w:r>
    </w:p>
    <w:p>
      <w:pPr>
        <w:pStyle w:val="ListParagraph"/>
        <w:numPr>
          <w:ilvl w:val="0"/>
          <w:numId w:val="2"/>
        </w:numPr>
        <w:spacing w:after="60"/>
      </w:pPr>
      <w:r>
        <w:t xml:space="preserve">Finalize the design token system (colors, typography, component library) consistent with Glorentech's navy/gold branding</w:t>
      </w:r>
    </w:p>
    <w:p>
      <w:pPr>
        <w:pStyle w:val="ListParagraph"/>
        <w:numPr>
          <w:ilvl w:val="0"/>
          <w:numId w:val="2"/>
        </w:numPr>
        <w:spacing w:after="60"/>
      </w:pPr>
      <w:r>
        <w:t xml:space="preserve">Set up project management tooling (Linear, Jira, or similar) and break the UML specification's modules into trackable epics</w:t>
      </w:r>
    </w:p>
    <w:p>
      <w:pPr>
        <w:pStyle w:val="Heading3"/>
        <w:spacing w:after="80" w:before="160"/>
      </w:pPr>
      <w:r>
        <w:rPr>
          <w:b/>
          <w:bCs/>
          <w:color w:val="C9A227"/>
          <w:sz w:val="22"/>
          <w:szCs w:val="22"/>
        </w:rPr>
        <w:t xml:space="preserve">Deliverables</w:t>
      </w:r>
    </w:p>
    <w:p>
      <w:pPr>
        <w:pStyle w:val="ListParagraph"/>
        <w:numPr>
          <w:ilvl w:val="0"/>
          <w:numId w:val="2"/>
        </w:numPr>
        <w:spacing w:after="60"/>
      </w:pPr>
      <w:r>
        <w:t xml:space="preserve">Signed-off product decisions document</w:t>
      </w:r>
    </w:p>
    <w:p>
      <w:pPr>
        <w:pStyle w:val="ListParagraph"/>
        <w:numPr>
          <w:ilvl w:val="0"/>
          <w:numId w:val="2"/>
        </w:numPr>
        <w:spacing w:after="60"/>
      </w:pPr>
      <w:r>
        <w:t xml:space="preserve">Figma design system and core-journey prototypes</w:t>
      </w:r>
    </w:p>
    <w:p>
      <w:pPr>
        <w:pStyle w:val="ListParagraph"/>
        <w:numPr>
          <w:ilvl w:val="0"/>
          <w:numId w:val="2"/>
        </w:numPr>
        <w:spacing w:after="60"/>
      </w:pPr>
      <w:r>
        <w:t xml:space="preserve">Sprint-ready backlog</w:t>
      </w:r>
    </w:p>
    <w:p>
      <w:pPr>
        <w:pStyle w:val="Heading2"/>
        <w:spacing w:after="100" w:before="220"/>
      </w:pPr>
      <w:r>
        <w:rPr>
          <w:b/>
          <w:bCs/>
          <w:color w:val="1B2A4A"/>
        </w:rPr>
        <w:t xml:space="preserve">Phase 1 — Infrastructure &amp; Environment Setup  (Week 2–3)</w:t>
      </w:r>
    </w:p>
    <w:p>
      <w:pPr>
        <w:spacing w:after="120"/>
      </w:pPr>
      <w:r>
        <w:t xml:space="preserve">Stand up the environments and accounts every later phase depends on, so engineers are never blocked waiting on infrastructure access once development begins.</w:t>
      </w:r>
    </w:p>
    <w:p>
      <w:pPr>
        <w:pStyle w:val="Heading3"/>
        <w:spacing w:after="80" w:before="160"/>
      </w:pPr>
      <w:r>
        <w:rPr>
          <w:b/>
          <w:bCs/>
          <w:color w:val="C9A227"/>
          <w:sz w:val="22"/>
          <w:szCs w:val="22"/>
        </w:rPr>
        <w:t xml:space="preserve">Key Tasks</w:t>
      </w:r>
    </w:p>
    <w:p>
      <w:pPr>
        <w:pStyle w:val="ListParagraph"/>
        <w:numPr>
          <w:ilvl w:val="0"/>
          <w:numId w:val="2"/>
        </w:numPr>
        <w:spacing w:after="60"/>
      </w:pPr>
      <w:r>
        <w:t xml:space="preserve">Provision PostgreSQL (Supabase-managed or chosen provider) for staging and production</w:t>
      </w:r>
    </w:p>
    <w:p>
      <w:pPr>
        <w:pStyle w:val="ListParagraph"/>
        <w:numPr>
          <w:ilvl w:val="0"/>
          <w:numId w:val="2"/>
        </w:numPr>
        <w:spacing w:after="60"/>
      </w:pPr>
      <w:r>
        <w:t xml:space="preserve">Provision Redis for caching and Celery</w:t>
      </w:r>
    </w:p>
    <w:p>
      <w:pPr>
        <w:pStyle w:val="ListParagraph"/>
        <w:numPr>
          <w:ilvl w:val="0"/>
          <w:numId w:val="2"/>
        </w:numPr>
        <w:spacing w:after="60"/>
      </w:pPr>
      <w:r>
        <w:t xml:space="preserve">Set up the Git repository structure (monorepo recommended: backend/, web/, mobile/, shared/)</w:t>
      </w:r>
    </w:p>
    <w:p>
      <w:pPr>
        <w:pStyle w:val="ListParagraph"/>
        <w:numPr>
          <w:ilvl w:val="0"/>
          <w:numId w:val="2"/>
        </w:numPr>
        <w:spacing w:after="60"/>
      </w:pPr>
      <w:r>
        <w:t xml:space="preserve">Configure CI/CD pipelines (GitHub Actions) — lint, test, and deploy stages for each app</w:t>
      </w:r>
    </w:p>
    <w:p>
      <w:pPr>
        <w:pStyle w:val="ListParagraph"/>
        <w:numPr>
          <w:ilvl w:val="0"/>
          <w:numId w:val="2"/>
        </w:numPr>
        <w:spacing w:after="60"/>
      </w:pPr>
      <w:r>
        <w:t xml:space="preserve">Register the domain and configure DNS</w:t>
      </w:r>
    </w:p>
    <w:p>
      <w:pPr>
        <w:pStyle w:val="ListParagraph"/>
        <w:numPr>
          <w:ilvl w:val="0"/>
          <w:numId w:val="2"/>
        </w:numPr>
        <w:spacing w:after="60"/>
      </w:pPr>
      <w:r>
        <w:t xml:space="preserve">Create sandbox/test accounts for every third-party API in Section 7 (payment gateway test mode, Smile Identity sandbox, Twilio trial, etc.)</w:t>
      </w:r>
    </w:p>
    <w:p>
      <w:pPr>
        <w:pStyle w:val="ListParagraph"/>
        <w:numPr>
          <w:ilvl w:val="0"/>
          <w:numId w:val="2"/>
        </w:numPr>
        <w:spacing w:after="60"/>
      </w:pPr>
      <w:r>
        <w:t xml:space="preserve">Set up Sentry projects for backend, web, and mobile</w:t>
      </w:r>
    </w:p>
    <w:p>
      <w:pPr>
        <w:pStyle w:val="Heading3"/>
        <w:spacing w:after="80" w:before="160"/>
      </w:pPr>
      <w:r>
        <w:rPr>
          <w:b/>
          <w:bCs/>
          <w:color w:val="C9A227"/>
          <w:sz w:val="22"/>
          <w:szCs w:val="22"/>
        </w:rPr>
        <w:t xml:space="preserve">Deliverables</w:t>
      </w:r>
    </w:p>
    <w:p>
      <w:pPr>
        <w:pStyle w:val="ListParagraph"/>
        <w:numPr>
          <w:ilvl w:val="0"/>
          <w:numId w:val="2"/>
        </w:numPr>
        <w:spacing w:after="60"/>
      </w:pPr>
      <w:r>
        <w:t xml:space="preserve">Working staging environment reachable by the whole team</w:t>
      </w:r>
    </w:p>
    <w:p>
      <w:pPr>
        <w:pStyle w:val="ListParagraph"/>
        <w:numPr>
          <w:ilvl w:val="0"/>
          <w:numId w:val="2"/>
        </w:numPr>
        <w:spacing w:after="60"/>
      </w:pPr>
      <w:r>
        <w:t xml:space="preserve">CI pipeline running on every pull request</w:t>
      </w:r>
    </w:p>
    <w:p>
      <w:pPr>
        <w:pStyle w:val="ListParagraph"/>
        <w:numPr>
          <w:ilvl w:val="0"/>
          <w:numId w:val="2"/>
        </w:numPr>
        <w:spacing w:after="60"/>
      </w:pPr>
      <w:r>
        <w:t xml:space="preserve">Sandbox credentials for all third-party services documented in a shared secrets manager</w:t>
      </w:r>
    </w:p>
    <w:p>
      <w:pPr>
        <w:pStyle w:val="Heading2"/>
        <w:spacing w:after="100" w:before="220"/>
      </w:pPr>
      <w:r>
        <w:rPr>
          <w:b/>
          <w:bCs/>
          <w:color w:val="1B2A4A"/>
        </w:rPr>
        <w:t xml:space="preserve">Phase 2 — Backend Development  (Weeks 3–9)</w:t>
      </w:r>
    </w:p>
    <w:p>
      <w:pPr>
        <w:spacing w:after="120"/>
      </w:pPr>
      <w:r>
        <w:t xml:space="preserve">Build out the Django backend from the already-scaffolded skeleton (identity, geo, property, land, transactions apps) through to a complete, tested API surface covering the modules confirmed for MVP.</w:t>
      </w:r>
    </w:p>
    <w:p>
      <w:pPr>
        <w:pStyle w:val="Heading3"/>
        <w:spacing w:after="80" w:before="160"/>
      </w:pPr>
      <w:r>
        <w:rPr>
          <w:b/>
          <w:bCs/>
          <w:color w:val="C9A227"/>
          <w:sz w:val="22"/>
          <w:szCs w:val="22"/>
        </w:rPr>
        <w:t xml:space="preserve">Key Tasks</w:t>
      </w:r>
    </w:p>
    <w:p>
      <w:pPr>
        <w:pStyle w:val="ListParagraph"/>
        <w:numPr>
          <w:ilvl w:val="0"/>
          <w:numId w:val="2"/>
        </w:numPr>
        <w:spacing w:after="60"/>
      </w:pPr>
      <w:r>
        <w:t xml:space="preserve">Extend the existing Django models (identity, geo, property, land, transactions) with the Section 8–13 additions from the UML specification: Ads/Monetization, Moderation, Auth/MFA/KYC, Content Lifecycle, Taskln integration scope</w:t>
      </w:r>
    </w:p>
    <w:p>
      <w:pPr>
        <w:pStyle w:val="ListParagraph"/>
        <w:numPr>
          <w:ilvl w:val="0"/>
          <w:numId w:val="2"/>
        </w:numPr>
        <w:spacing w:after="60"/>
      </w:pPr>
      <w:r>
        <w:t xml:space="preserve">Build the Django REST Framework API layer — serializers, viewsets, and permissions matching the RBAC matrix from the Pre-Development Design Package</w:t>
      </w:r>
    </w:p>
    <w:p>
      <w:pPr>
        <w:pStyle w:val="ListParagraph"/>
        <w:numPr>
          <w:ilvl w:val="0"/>
          <w:numId w:val="2"/>
        </w:numPr>
        <w:spacing w:after="60"/>
      </w:pPr>
      <w:r>
        <w:t xml:space="preserve">Implement the reservation and escrow-release service layer (already drafted as pseudocode and partially as working Python in the skeleton) with Redis-backed distributed locking</w:t>
      </w:r>
    </w:p>
    <w:p>
      <w:pPr>
        <w:pStyle w:val="ListParagraph"/>
        <w:numPr>
          <w:ilvl w:val="0"/>
          <w:numId w:val="2"/>
        </w:numPr>
        <w:spacing w:after="60"/>
      </w:pPr>
      <w:r>
        <w:t xml:space="preserve">Implement authentication: JWT issuance, social login (Google/Facebook OAuth), and MFA challenge flows</w:t>
      </w:r>
    </w:p>
    <w:p>
      <w:pPr>
        <w:pStyle w:val="ListParagraph"/>
        <w:numPr>
          <w:ilvl w:val="0"/>
          <w:numId w:val="2"/>
        </w:numPr>
        <w:spacing w:after="60"/>
      </w:pPr>
      <w:r>
        <w:t xml:space="preserve">Implement the AI moderation pipeline hooks (text and image scoring, warning/strike issuance)</w:t>
      </w:r>
    </w:p>
    <w:p>
      <w:pPr>
        <w:pStyle w:val="ListParagraph"/>
        <w:numPr>
          <w:ilvl w:val="0"/>
          <w:numId w:val="2"/>
        </w:numPr>
        <w:spacing w:after="60"/>
      </w:pPr>
      <w:r>
        <w:t xml:space="preserve">Implement Celery scheduled jobs: expired-hold sweeps, birthday/holiday greetings, lease/semester reminders</w:t>
      </w:r>
    </w:p>
    <w:p>
      <w:pPr>
        <w:pStyle w:val="ListParagraph"/>
        <w:numPr>
          <w:ilvl w:val="0"/>
          <w:numId w:val="2"/>
        </w:numPr>
        <w:spacing w:after="60"/>
      </w:pPr>
      <w:r>
        <w:t xml:space="preserve">Write unit and integration tests alongside each module — do not defer testing to Phase 6</w:t>
      </w:r>
    </w:p>
    <w:p>
      <w:pPr>
        <w:pStyle w:val="Heading3"/>
        <w:spacing w:after="80" w:before="160"/>
      </w:pPr>
      <w:r>
        <w:rPr>
          <w:b/>
          <w:bCs/>
          <w:color w:val="C9A227"/>
          <w:sz w:val="22"/>
          <w:szCs w:val="22"/>
        </w:rPr>
        <w:t xml:space="preserve">Deliverables</w:t>
      </w:r>
    </w:p>
    <w:p>
      <w:pPr>
        <w:pStyle w:val="ListParagraph"/>
        <w:numPr>
          <w:ilvl w:val="0"/>
          <w:numId w:val="2"/>
        </w:numPr>
        <w:spacing w:after="60"/>
      </w:pPr>
      <w:r>
        <w:t xml:space="preserve">A fully migrated, tested database schema in staging</w:t>
      </w:r>
    </w:p>
    <w:p>
      <w:pPr>
        <w:pStyle w:val="ListParagraph"/>
        <w:numPr>
          <w:ilvl w:val="0"/>
          <w:numId w:val="2"/>
        </w:numPr>
        <w:spacing w:after="60"/>
      </w:pPr>
      <w:r>
        <w:t xml:space="preserve">A documented, versioned REST API (OpenAPI/Swagger spec generated from DRF)</w:t>
      </w:r>
    </w:p>
    <w:p>
      <w:pPr>
        <w:pStyle w:val="ListParagraph"/>
        <w:numPr>
          <w:ilvl w:val="0"/>
          <w:numId w:val="2"/>
        </w:numPr>
        <w:spacing w:after="60"/>
      </w:pPr>
      <w:r>
        <w:t xml:space="preserve">Passing automated test suite in CI</w:t>
      </w:r>
    </w:p>
    <w:p>
      <w:pPr>
        <w:pStyle w:val="Heading2"/>
        <w:spacing w:after="100" w:before="220"/>
      </w:pPr>
      <w:r>
        <w:rPr>
          <w:b/>
          <w:bCs/>
          <w:color w:val="1B2A4A"/>
        </w:rPr>
        <w:t xml:space="preserve">Phase 3 — Web Application Development  (Weeks 6–13 (overlapping Phase 2))</w:t>
      </w:r>
    </w:p>
    <w:p>
      <w:pPr>
        <w:spacing w:after="120"/>
      </w:pPr>
      <w:r>
        <w:t xml:space="preserve">Build the Next.js web app against the stabilizing API, prioritizing SSR-rendered public pages first (for SEO) and dashboards second.</w:t>
      </w:r>
    </w:p>
    <w:p>
      <w:pPr>
        <w:pStyle w:val="Heading3"/>
        <w:spacing w:after="80" w:before="160"/>
      </w:pPr>
      <w:r>
        <w:rPr>
          <w:b/>
          <w:bCs/>
          <w:color w:val="C9A227"/>
          <w:sz w:val="22"/>
          <w:szCs w:val="22"/>
        </w:rPr>
        <w:t xml:space="preserve">Key Tasks</w:t>
      </w:r>
    </w:p>
    <w:p>
      <w:pPr>
        <w:pStyle w:val="ListParagraph"/>
        <w:numPr>
          <w:ilvl w:val="0"/>
          <w:numId w:val="2"/>
        </w:numPr>
        <w:spacing w:after="60"/>
      </w:pPr>
      <w:r>
        <w:t xml:space="preserve">Set up the Next.js project with the finalized design system from Phase 0</w:t>
      </w:r>
    </w:p>
    <w:p>
      <w:pPr>
        <w:pStyle w:val="ListParagraph"/>
        <w:numPr>
          <w:ilvl w:val="0"/>
          <w:numId w:val="2"/>
        </w:numPr>
        <w:spacing w:after="60"/>
      </w:pPr>
      <w:r>
        <w:t xml:space="preserve">Build SSR/SSG listing and search pages with structured data markup</w:t>
      </w:r>
    </w:p>
    <w:p>
      <w:pPr>
        <w:pStyle w:val="ListParagraph"/>
        <w:numPr>
          <w:ilvl w:val="0"/>
          <w:numId w:val="2"/>
        </w:numPr>
        <w:spacing w:after="60"/>
      </w:pPr>
      <w:r>
        <w:t xml:space="preserve">Implement the role-specific dashboards (Landlord, Agent, Agency, Technician, Tenant, Admin) per the Navigation &amp; Dashboard Architecture</w:t>
      </w:r>
    </w:p>
    <w:p>
      <w:pPr>
        <w:pStyle w:val="ListParagraph"/>
        <w:numPr>
          <w:ilvl w:val="0"/>
          <w:numId w:val="2"/>
        </w:numPr>
        <w:spacing w:after="60"/>
      </w:pPr>
      <w:r>
        <w:t xml:space="preserve">Implement the PWA/offline caching layer (Section 5)</w:t>
      </w:r>
    </w:p>
    <w:p>
      <w:pPr>
        <w:pStyle w:val="ListParagraph"/>
        <w:numPr>
          <w:ilvl w:val="0"/>
          <w:numId w:val="2"/>
        </w:numPr>
        <w:spacing w:after="60"/>
      </w:pPr>
      <w:r>
        <w:t xml:space="preserve">Integrate authentication, payments, and messaging against the live staging API</w:t>
      </w:r>
    </w:p>
    <w:p>
      <w:pPr>
        <w:pStyle w:val="Heading3"/>
        <w:spacing w:after="80" w:before="160"/>
      </w:pPr>
      <w:r>
        <w:rPr>
          <w:b/>
          <w:bCs/>
          <w:color w:val="C9A227"/>
          <w:sz w:val="22"/>
          <w:szCs w:val="22"/>
        </w:rPr>
        <w:t xml:space="preserve">Deliverables</w:t>
      </w:r>
    </w:p>
    <w:p>
      <w:pPr>
        <w:pStyle w:val="ListParagraph"/>
        <w:numPr>
          <w:ilvl w:val="0"/>
          <w:numId w:val="2"/>
        </w:numPr>
        <w:spacing w:after="60"/>
      </w:pPr>
      <w:r>
        <w:t xml:space="preserve">A feature-complete web app running against staging</w:t>
      </w:r>
    </w:p>
    <w:p>
      <w:pPr>
        <w:pStyle w:val="ListParagraph"/>
        <w:numPr>
          <w:ilvl w:val="0"/>
          <w:numId w:val="2"/>
        </w:numPr>
        <w:spacing w:after="60"/>
      </w:pPr>
      <w:r>
        <w:t xml:space="preserve">Lighthouse SEO and performance scores validated before launch</w:t>
      </w:r>
    </w:p>
    <w:p>
      <w:pPr>
        <w:pStyle w:val="Heading2"/>
        <w:spacing w:after="100" w:before="220"/>
      </w:pPr>
      <w:r>
        <w:rPr>
          <w:b/>
          <w:bCs/>
          <w:color w:val="1B2A4A"/>
        </w:rPr>
        <w:t xml:space="preserve">Phase 4 — Mobile Application Development  (Weeks 6–14 (overlapping Phase 2))</w:t>
      </w:r>
    </w:p>
    <w:p>
      <w:pPr>
        <w:spacing w:after="120"/>
      </w:pPr>
      <w:r>
        <w:t xml:space="preserve">Build the React Native app in parallel with web, sharing API client logic and design tokens where possible.</w:t>
      </w:r>
    </w:p>
    <w:p>
      <w:pPr>
        <w:pStyle w:val="Heading3"/>
        <w:spacing w:after="80" w:before="160"/>
      </w:pPr>
      <w:r>
        <w:rPr>
          <w:b/>
          <w:bCs/>
          <w:color w:val="C9A227"/>
          <w:sz w:val="22"/>
          <w:szCs w:val="22"/>
        </w:rPr>
        <w:t xml:space="preserve">Key Tasks</w:t>
      </w:r>
    </w:p>
    <w:p>
      <w:pPr>
        <w:pStyle w:val="ListParagraph"/>
        <w:numPr>
          <w:ilvl w:val="0"/>
          <w:numId w:val="2"/>
        </w:numPr>
        <w:spacing w:after="60"/>
      </w:pPr>
      <w:r>
        <w:t xml:space="preserve">Set up the React Native (Expo) project and shared API client library</w:t>
      </w:r>
    </w:p>
    <w:p>
      <w:pPr>
        <w:pStyle w:val="ListParagraph"/>
        <w:numPr>
          <w:ilvl w:val="0"/>
          <w:numId w:val="2"/>
        </w:numPr>
        <w:spacing w:after="60"/>
      </w:pPr>
      <w:r>
        <w:t xml:space="preserve">Implement core journeys: search &amp; book, list a property, role dashboards</w:t>
      </w:r>
    </w:p>
    <w:p>
      <w:pPr>
        <w:pStyle w:val="ListParagraph"/>
        <w:numPr>
          <w:ilvl w:val="0"/>
          <w:numId w:val="2"/>
        </w:numPr>
        <w:spacing w:after="60"/>
      </w:pPr>
      <w:r>
        <w:t xml:space="preserve">Implement offline sync via WatermelonDB/SQLite with the idempotency-key sync pattern</w:t>
      </w:r>
    </w:p>
    <w:p>
      <w:pPr>
        <w:pStyle w:val="ListParagraph"/>
        <w:numPr>
          <w:ilvl w:val="0"/>
          <w:numId w:val="2"/>
        </w:numPr>
        <w:spacing w:after="60"/>
      </w:pPr>
      <w:r>
        <w:t xml:space="preserve">Integrate push notifications (Firebase Cloud Messaging)</w:t>
      </w:r>
    </w:p>
    <w:p>
      <w:pPr>
        <w:pStyle w:val="ListParagraph"/>
        <w:numPr>
          <w:ilvl w:val="0"/>
          <w:numId w:val="2"/>
        </w:numPr>
        <w:spacing w:after="60"/>
      </w:pPr>
      <w:r>
        <w:t xml:space="preserve">Integrate biometric app login alongside the platform's MFA</w:t>
      </w:r>
    </w:p>
    <w:p>
      <w:pPr>
        <w:pStyle w:val="Heading3"/>
        <w:spacing w:after="80" w:before="160"/>
      </w:pPr>
      <w:r>
        <w:rPr>
          <w:b/>
          <w:bCs/>
          <w:color w:val="C9A227"/>
          <w:sz w:val="22"/>
          <w:szCs w:val="22"/>
        </w:rPr>
        <w:t xml:space="preserve">Deliverables</w:t>
      </w:r>
    </w:p>
    <w:p>
      <w:pPr>
        <w:pStyle w:val="ListParagraph"/>
        <w:numPr>
          <w:ilvl w:val="0"/>
          <w:numId w:val="2"/>
        </w:numPr>
        <w:spacing w:after="60"/>
      </w:pPr>
      <w:r>
        <w:t xml:space="preserve">A feature-complete mobile app running against staging, installable via TestFlight and an Android internal testing track</w:t>
      </w:r>
    </w:p>
    <w:p>
      <w:pPr>
        <w:pStyle w:val="Heading2"/>
        <w:spacing w:after="100" w:before="220"/>
      </w:pPr>
      <w:r>
        <w:rPr>
          <w:b/>
          <w:bCs/>
          <w:color w:val="1B2A4A"/>
        </w:rPr>
        <w:t xml:space="preserve">Phase 5 — Third-Party Integrations  (Weeks 9–14)</w:t>
      </w:r>
    </w:p>
    <w:p>
      <w:pPr>
        <w:spacing w:after="120"/>
      </w:pPr>
      <w:r>
        <w:t xml:space="preserve">Move every external service from sandbox to a fully wired, production-credentialed integration, tested end-to-end.</w:t>
      </w:r>
    </w:p>
    <w:p>
      <w:pPr>
        <w:pStyle w:val="Heading3"/>
        <w:spacing w:after="80" w:before="160"/>
      </w:pPr>
      <w:r>
        <w:rPr>
          <w:b/>
          <w:bCs/>
          <w:color w:val="C9A227"/>
          <w:sz w:val="22"/>
          <w:szCs w:val="22"/>
        </w:rPr>
        <w:t xml:space="preserve">Key Tasks</w:t>
      </w:r>
    </w:p>
    <w:p>
      <w:pPr>
        <w:pStyle w:val="ListParagraph"/>
        <w:numPr>
          <w:ilvl w:val="0"/>
          <w:numId w:val="2"/>
        </w:numPr>
        <w:spacing w:after="60"/>
      </w:pPr>
      <w:r>
        <w:t xml:space="preserve">Payment gateway (CinetPay/Monetbil): sandbox transactions, webhook signature verification, then production credentials</w:t>
      </w:r>
    </w:p>
    <w:p>
      <w:pPr>
        <w:pStyle w:val="ListParagraph"/>
        <w:numPr>
          <w:ilvl w:val="0"/>
          <w:numId w:val="2"/>
        </w:numPr>
        <w:spacing w:after="60"/>
      </w:pPr>
      <w:r>
        <w:t xml:space="preserve">Smile Identity KYC: end-to-end OCR and facial-match verification flow</w:t>
      </w:r>
    </w:p>
    <w:p>
      <w:pPr>
        <w:pStyle w:val="ListParagraph"/>
        <w:numPr>
          <w:ilvl w:val="0"/>
          <w:numId w:val="2"/>
        </w:numPr>
        <w:spacing w:after="60"/>
      </w:pPr>
      <w:r>
        <w:t xml:space="preserve">WhatsApp Business API / Twilio: booking confirmations, OTP, notification templates approved by WhatsApp</w:t>
      </w:r>
    </w:p>
    <w:p>
      <w:pPr>
        <w:pStyle w:val="ListParagraph"/>
        <w:numPr>
          <w:ilvl w:val="0"/>
          <w:numId w:val="2"/>
        </w:numPr>
        <w:spacing w:after="60"/>
      </w:pPr>
      <w:r>
        <w:t xml:space="preserve">Cloudinary: media upload, compression, and delivery pipeline</w:t>
      </w:r>
    </w:p>
    <w:p>
      <w:pPr>
        <w:pStyle w:val="ListParagraph"/>
        <w:numPr>
          <w:ilvl w:val="0"/>
          <w:numId w:val="2"/>
        </w:numPr>
        <w:spacing w:after="60"/>
      </w:pPr>
      <w:r>
        <w:t xml:space="preserve">Meilisearch: search index population and query tuning</w:t>
      </w:r>
    </w:p>
    <w:p>
      <w:pPr>
        <w:pStyle w:val="ListParagraph"/>
        <w:numPr>
          <w:ilvl w:val="0"/>
          <w:numId w:val="2"/>
        </w:numPr>
        <w:spacing w:after="60"/>
      </w:pPr>
      <w:r>
        <w:t xml:space="preserve">Google Cloud Vision / OpenAI or Anthropic API: moderation pipeline live-tested against real content</w:t>
      </w:r>
    </w:p>
    <w:p>
      <w:pPr>
        <w:pStyle w:val="Heading3"/>
        <w:spacing w:after="80" w:before="160"/>
      </w:pPr>
      <w:r>
        <w:rPr>
          <w:b/>
          <w:bCs/>
          <w:color w:val="C9A227"/>
          <w:sz w:val="22"/>
          <w:szCs w:val="22"/>
        </w:rPr>
        <w:t xml:space="preserve">Deliverables</w:t>
      </w:r>
    </w:p>
    <w:p>
      <w:pPr>
        <w:pStyle w:val="ListParagraph"/>
        <w:numPr>
          <w:ilvl w:val="0"/>
          <w:numId w:val="2"/>
        </w:numPr>
        <w:spacing w:after="60"/>
      </w:pPr>
      <w:r>
        <w:t xml:space="preserve">Every third-party integration verified working end-to-end in staging with production credentials ready to switch on</w:t>
      </w:r>
    </w:p>
    <w:p>
      <w:pPr>
        <w:pStyle w:val="Heading2"/>
        <w:spacing w:after="100" w:before="220"/>
      </w:pPr>
      <w:r>
        <w:rPr>
          <w:b/>
          <w:bCs/>
          <w:color w:val="1B2A4A"/>
        </w:rPr>
        <w:t xml:space="preserve">Phase 6 — Testing &amp; Quality Assurance  (Weeks 14–16)</w:t>
      </w:r>
    </w:p>
    <w:p>
      <w:pPr>
        <w:spacing w:after="120"/>
      </w:pPr>
      <w:r>
        <w:t xml:space="preserve">Validate the platform under realistic conditions before any real user or real money touches it.</w:t>
      </w:r>
    </w:p>
    <w:p>
      <w:pPr>
        <w:pStyle w:val="Heading3"/>
        <w:spacing w:after="80" w:before="160"/>
      </w:pPr>
      <w:r>
        <w:rPr>
          <w:b/>
          <w:bCs/>
          <w:color w:val="C9A227"/>
          <w:sz w:val="22"/>
          <w:szCs w:val="22"/>
        </w:rPr>
        <w:t xml:space="preserve">Key Tasks</w:t>
      </w:r>
    </w:p>
    <w:p>
      <w:pPr>
        <w:pStyle w:val="ListParagraph"/>
        <w:numPr>
          <w:ilvl w:val="0"/>
          <w:numId w:val="2"/>
        </w:numPr>
        <w:spacing w:after="60"/>
      </w:pPr>
      <w:r>
        <w:t xml:space="preserve">End-to-end test coverage of the core "rent a house" flow and its equivalents across other property types</w:t>
      </w:r>
    </w:p>
    <w:p>
      <w:pPr>
        <w:pStyle w:val="ListParagraph"/>
        <w:numPr>
          <w:ilvl w:val="0"/>
          <w:numId w:val="2"/>
        </w:numPr>
        <w:spacing w:after="60"/>
      </w:pPr>
      <w:r>
        <w:t xml:space="preserve">Load testing focused on the booking-hold TTL lock under concurrent requests for the same unit — this is the platform's highest-risk race condition</w:t>
      </w:r>
    </w:p>
    <w:p>
      <w:pPr>
        <w:pStyle w:val="ListParagraph"/>
        <w:numPr>
          <w:ilvl w:val="0"/>
          <w:numId w:val="2"/>
        </w:numPr>
        <w:spacing w:after="60"/>
      </w:pPr>
      <w:r>
        <w:t xml:space="preserve">Security review: authentication flows, API permission boundaries, payment webhook signature verification, KYC data handling</w:t>
      </w:r>
    </w:p>
    <w:p>
      <w:pPr>
        <w:pStyle w:val="ListParagraph"/>
        <w:numPr>
          <w:ilvl w:val="0"/>
          <w:numId w:val="2"/>
        </w:numPr>
        <w:spacing w:after="60"/>
      </w:pPr>
      <w:r>
        <w:t xml:space="preserve">User Acceptance Testing (UAT) with a small group of real landlords, agents, and students</w:t>
      </w:r>
    </w:p>
    <w:p>
      <w:pPr>
        <w:pStyle w:val="ListParagraph"/>
        <w:numPr>
          <w:ilvl w:val="0"/>
          <w:numId w:val="2"/>
        </w:numPr>
        <w:spacing w:after="60"/>
      </w:pPr>
      <w:r>
        <w:t xml:space="preserve">Bilingual QA pass (English/French) across both apps</w:t>
      </w:r>
    </w:p>
    <w:p>
      <w:pPr>
        <w:pStyle w:val="Heading3"/>
        <w:spacing w:after="80" w:before="160"/>
      </w:pPr>
      <w:r>
        <w:rPr>
          <w:b/>
          <w:bCs/>
          <w:color w:val="C9A227"/>
          <w:sz w:val="22"/>
          <w:szCs w:val="22"/>
        </w:rPr>
        <w:t xml:space="preserve">Deliverables</w:t>
      </w:r>
    </w:p>
    <w:p>
      <w:pPr>
        <w:pStyle w:val="ListParagraph"/>
        <w:numPr>
          <w:ilvl w:val="0"/>
          <w:numId w:val="2"/>
        </w:numPr>
        <w:spacing w:after="60"/>
      </w:pPr>
      <w:r>
        <w:t xml:space="preserve">A signed-off UAT report</w:t>
      </w:r>
    </w:p>
    <w:p>
      <w:pPr>
        <w:pStyle w:val="ListParagraph"/>
        <w:numPr>
          <w:ilvl w:val="0"/>
          <w:numId w:val="2"/>
        </w:numPr>
        <w:spacing w:after="60"/>
      </w:pPr>
      <w:r>
        <w:t xml:space="preserve">A resolved critical-bug list</w:t>
      </w:r>
    </w:p>
    <w:p>
      <w:pPr>
        <w:pStyle w:val="ListParagraph"/>
        <w:numPr>
          <w:ilvl w:val="0"/>
          <w:numId w:val="2"/>
        </w:numPr>
        <w:spacing w:after="60"/>
      </w:pPr>
      <w:r>
        <w:t xml:space="preserve">A basic security review record</w:t>
      </w:r>
    </w:p>
    <w:p>
      <w:pPr>
        <w:pStyle w:val="Heading2"/>
        <w:spacing w:after="100" w:before="220"/>
      </w:pPr>
      <w:r>
        <w:rPr>
          <w:b/>
          <w:bCs/>
          <w:color w:val="1B2A4A"/>
        </w:rPr>
        <w:t xml:space="preserve">Phase 7 — Deployment &amp; Hosting  (Weeks 16–17)</w:t>
      </w:r>
    </w:p>
    <w:p>
      <w:pPr>
        <w:spacing w:after="120"/>
      </w:pPr>
      <w:r>
        <w:t xml:space="preserve">Move from staging to a live production environment, with a clear rollback plan if anything goes wrong.</w:t>
      </w:r>
    </w:p>
    <w:p>
      <w:pPr>
        <w:pStyle w:val="Heading3"/>
        <w:spacing w:after="80" w:before="160"/>
      </w:pPr>
      <w:r>
        <w:rPr>
          <w:b/>
          <w:bCs/>
          <w:color w:val="C9A227"/>
          <w:sz w:val="22"/>
          <w:szCs w:val="22"/>
        </w:rPr>
        <w:t xml:space="preserve">Key Tasks</w:t>
      </w:r>
    </w:p>
    <w:p>
      <w:pPr>
        <w:pStyle w:val="ListParagraph"/>
        <w:numPr>
          <w:ilvl w:val="0"/>
          <w:numId w:val="2"/>
        </w:numPr>
        <w:spacing w:after="60"/>
      </w:pPr>
      <w:r>
        <w:t xml:space="preserve">Deploy the Django backend and Celery workers to production hosting (Railway, Render, or Fly.io)</w:t>
      </w:r>
    </w:p>
    <w:p>
      <w:pPr>
        <w:pStyle w:val="ListParagraph"/>
        <w:numPr>
          <w:ilvl w:val="0"/>
          <w:numId w:val="2"/>
        </w:numPr>
        <w:spacing w:after="60"/>
      </w:pPr>
      <w:r>
        <w:t xml:space="preserve">Deploy the Next.js web app to Vercel with the production domain and SSL configured</w:t>
      </w:r>
    </w:p>
    <w:p>
      <w:pPr>
        <w:pStyle w:val="ListParagraph"/>
        <w:numPr>
          <w:ilvl w:val="0"/>
          <w:numId w:val="2"/>
        </w:numPr>
        <w:spacing w:after="60"/>
      </w:pPr>
      <w:r>
        <w:t xml:space="preserve">Cut the database over from staging to a dedicated production PostgreSQL instance with backups enabled</w:t>
      </w:r>
    </w:p>
    <w:p>
      <w:pPr>
        <w:pStyle w:val="ListParagraph"/>
        <w:numPr>
          <w:ilvl w:val="0"/>
          <w:numId w:val="2"/>
        </w:numPr>
        <w:spacing w:after="60"/>
      </w:pPr>
      <w:r>
        <w:t xml:space="preserve">Submit the mobile app to the Apple App Store and Google Play Store for review</w:t>
      </w:r>
    </w:p>
    <w:p>
      <w:pPr>
        <w:pStyle w:val="ListParagraph"/>
        <w:numPr>
          <w:ilvl w:val="0"/>
          <w:numId w:val="2"/>
        </w:numPr>
        <w:spacing w:after="60"/>
      </w:pPr>
      <w:r>
        <w:t xml:space="preserve">Switch all third-party integrations from sandbox to production credentials</w:t>
      </w:r>
    </w:p>
    <w:p>
      <w:pPr>
        <w:pStyle w:val="ListParagraph"/>
        <w:numPr>
          <w:ilvl w:val="0"/>
          <w:numId w:val="2"/>
        </w:numPr>
        <w:spacing w:after="60"/>
      </w:pPr>
      <w:r>
        <w:t xml:space="preserve">Run a full smoke test of the core booking flow in production before public announcement</w:t>
      </w:r>
    </w:p>
    <w:p>
      <w:pPr>
        <w:pStyle w:val="Heading3"/>
        <w:spacing w:after="80" w:before="160"/>
      </w:pPr>
      <w:r>
        <w:rPr>
          <w:b/>
          <w:bCs/>
          <w:color w:val="C9A227"/>
          <w:sz w:val="22"/>
          <w:szCs w:val="22"/>
        </w:rPr>
        <w:t xml:space="preserve">Deliverables</w:t>
      </w:r>
    </w:p>
    <w:p>
      <w:pPr>
        <w:pStyle w:val="ListParagraph"/>
        <w:numPr>
          <w:ilvl w:val="0"/>
          <w:numId w:val="2"/>
        </w:numPr>
        <w:spacing w:after="60"/>
      </w:pPr>
      <w:r>
        <w:t xml:space="preserve">A live, publicly accessible web app and submitted mobile app builds</w:t>
      </w:r>
    </w:p>
    <w:p>
      <w:pPr>
        <w:pStyle w:val="ListParagraph"/>
        <w:numPr>
          <w:ilvl w:val="0"/>
          <w:numId w:val="2"/>
        </w:numPr>
        <w:spacing w:after="60"/>
      </w:pPr>
      <w:r>
        <w:t xml:space="preserve">Confirmed working payment, KYC, and notification flows in production</w:t>
      </w:r>
    </w:p>
    <w:p>
      <w:pPr>
        <w:pStyle w:val="ListParagraph"/>
        <w:numPr>
          <w:ilvl w:val="0"/>
          <w:numId w:val="2"/>
        </w:numPr>
        <w:spacing w:after="60"/>
      </w:pPr>
      <w:r>
        <w:t xml:space="preserve">A documented rollback procedure</w:t>
      </w:r>
    </w:p>
    <w:p>
      <w:pPr>
        <w:pStyle w:val="Heading2"/>
        <w:spacing w:after="100" w:before="220"/>
      </w:pPr>
      <w:r>
        <w:rPr>
          <w:b/>
          <w:bCs/>
          <w:color w:val="1B2A4A"/>
        </w:rPr>
        <w:t xml:space="preserve">Phase 8 — Post-Launch Operations  (Ongoing from launch)</w:t>
      </w:r>
    </w:p>
    <w:p>
      <w:pPr>
        <w:spacing w:after="120"/>
      </w:pPr>
      <w:r>
        <w:t xml:space="preserve">Keep the platform stable, observed, and improving once real users are on it.</w:t>
      </w:r>
    </w:p>
    <w:p>
      <w:pPr>
        <w:pStyle w:val="Heading3"/>
        <w:spacing w:after="80" w:before="160"/>
      </w:pPr>
      <w:r>
        <w:rPr>
          <w:b/>
          <w:bCs/>
          <w:color w:val="C9A227"/>
          <w:sz w:val="22"/>
          <w:szCs w:val="22"/>
        </w:rPr>
        <w:t xml:space="preserve">Key Tasks</w:t>
      </w:r>
    </w:p>
    <w:p>
      <w:pPr>
        <w:pStyle w:val="ListParagraph"/>
        <w:numPr>
          <w:ilvl w:val="0"/>
          <w:numId w:val="2"/>
        </w:numPr>
        <w:spacing w:after="60"/>
      </w:pPr>
      <w:r>
        <w:t xml:space="preserve">Monitor Sentry error rates and uptime dashboards daily during the first weeks post-launch</w:t>
      </w:r>
    </w:p>
    <w:p>
      <w:pPr>
        <w:pStyle w:val="ListParagraph"/>
        <w:numPr>
          <w:ilvl w:val="0"/>
          <w:numId w:val="2"/>
        </w:numPr>
        <w:spacing w:after="60"/>
      </w:pPr>
      <w:r>
        <w:t xml:space="preserve">Establish a customer support workflow for the Admin dispute/verification queues</w:t>
      </w:r>
    </w:p>
    <w:p>
      <w:pPr>
        <w:pStyle w:val="ListParagraph"/>
        <w:numPr>
          <w:ilvl w:val="0"/>
          <w:numId w:val="2"/>
        </w:numPr>
        <w:spacing w:after="60"/>
      </w:pPr>
      <w:r>
        <w:t xml:space="preserve">Begin the Phase 2 module rollout (Hotels, Event Centers, Student Hostels) per the sequencing already agreed in the Architecture document</w:t>
      </w:r>
    </w:p>
    <w:p>
      <w:pPr>
        <w:pStyle w:val="ListParagraph"/>
        <w:numPr>
          <w:ilvl w:val="0"/>
          <w:numId w:val="2"/>
        </w:numPr>
        <w:spacing w:after="60"/>
      </w:pPr>
      <w:r>
        <w:t xml:space="preserve">Ongoing SEO content production (market trend blog posts, host optimization guides)</w:t>
      </w:r>
    </w:p>
    <w:p>
      <w:pPr>
        <w:pStyle w:val="ListParagraph"/>
        <w:numPr>
          <w:ilvl w:val="0"/>
          <w:numId w:val="2"/>
        </w:numPr>
        <w:spacing w:after="60"/>
      </w:pPr>
      <w:r>
        <w:t xml:space="preserve">Iterate based on real usage data feeding the recommendation engine and AI moderation thresholds</w:t>
      </w:r>
    </w:p>
    <w:p>
      <w:pPr>
        <w:pStyle w:val="Heading3"/>
        <w:spacing w:after="80" w:before="160"/>
      </w:pPr>
      <w:r>
        <w:rPr>
          <w:b/>
          <w:bCs/>
          <w:color w:val="C9A227"/>
          <w:sz w:val="22"/>
          <w:szCs w:val="22"/>
        </w:rPr>
        <w:t xml:space="preserve">Deliverables</w:t>
      </w:r>
    </w:p>
    <w:p>
      <w:pPr>
        <w:pStyle w:val="ListParagraph"/>
        <w:numPr>
          <w:ilvl w:val="0"/>
          <w:numId w:val="2"/>
        </w:numPr>
        <w:spacing w:after="60"/>
      </w:pPr>
      <w:r>
        <w:t xml:space="preserve">A stable, monitored production platform with a defined post-launch iteration cadence</w:t>
      </w:r>
    </w:p>
    <w:p>
      <w:r>
        <w:br w:type="page"/>
      </w:r>
    </w:p>
    <w:p>
      <w:pPr>
        <w:pStyle w:val="Heading1"/>
        <w:spacing w:after="160" w:before="240"/>
      </w:pPr>
      <w:r>
        <w:rPr>
          <w:b/>
          <w:bCs/>
          <w:color w:val="1B2A4A"/>
        </w:rPr>
        <w:t xml:space="preserve">10. Estimated Timeline</w:t>
      </w:r>
    </w:p>
    <w:p>
      <w:pPr>
        <w:spacing w:after="120"/>
      </w:pPr>
      <w:r>
        <w:t xml:space="preserve">This assumes a small, focused build team (roughly: 1 product manager, 1–2 backend engineers, 1 web engineer, 1 mobile engineer, 1 designer) working with the modules already fully specified in the UML documentation. A larger team could compress the overlapping phases further; a solo or two-person team should expect this timeline to extend, particularly across Phases 2–4.</w:t>
      </w:r>
    </w:p>
    <w:tbl>
      <w:tblPr>
        <w:tblW w:type="pct" w:w="100%"/>
        <w:tblBorders>
          <w:top w:val="single" w:color="CCCCCC" w:sz="4"/>
          <w:left w:val="single" w:color="CCCCCC" w:sz="4"/>
          <w:bottom w:val="single" w:color="CCCCCC" w:sz="4"/>
          <w:right w:val="single" w:color="CCCCCC" w:sz="4"/>
          <w:insideH w:val="single" w:color="DDDDDD" w:sz="2"/>
          <w:insideV w:val="single" w:color="DDDDDD" w:sz="2"/>
        </w:tblBorders>
      </w:tblPr>
      <w:tblGrid>
        <w:gridCol w:w="100"/>
        <w:gridCol w:w="100"/>
        <w:gridCol w:w="100"/>
      </w:tblGrid>
      <w:tr>
        <w:tc>
          <w:tcPr>
            <w:tcW w:type="pct" w:w="45%"/>
            <w:shd w:fill="1B2A4A" w:val="clear"/>
            <w:tcMar>
              <w:top w:type="dxa" w:w="90"/>
              <w:left w:type="dxa" w:w="120"/>
              <w:bottom w:type="dxa" w:w="90"/>
              <w:right w:type="dxa" w:w="120"/>
            </w:tcMar>
          </w:tcPr>
          <w:p>
            <w:r>
              <w:rPr>
                <w:b/>
                <w:bCs/>
                <w:color w:val="FFFFFF"/>
                <w:sz w:val="19"/>
                <w:szCs w:val="19"/>
              </w:rPr>
              <w:t xml:space="preserve">Phase</w:t>
            </w:r>
          </w:p>
        </w:tc>
        <w:tc>
          <w:tcPr>
            <w:tcW w:type="pct" w:w="30%"/>
            <w:shd w:fill="1B2A4A" w:val="clear"/>
            <w:tcMar>
              <w:top w:type="dxa" w:w="90"/>
              <w:left w:type="dxa" w:w="120"/>
              <w:bottom w:type="dxa" w:w="90"/>
              <w:right w:type="dxa" w:w="120"/>
            </w:tcMar>
          </w:tcPr>
          <w:p>
            <w:r>
              <w:rPr>
                <w:b/>
                <w:bCs/>
                <w:color w:val="FFFFFF"/>
                <w:sz w:val="19"/>
                <w:szCs w:val="19"/>
              </w:rPr>
              <w:t xml:space="preserve">Duration</w:t>
            </w:r>
          </w:p>
        </w:tc>
        <w:tc>
          <w:tcPr>
            <w:tcW w:type="pct" w:w="25%"/>
            <w:shd w:fill="1B2A4A" w:val="clear"/>
            <w:tcMar>
              <w:top w:type="dxa" w:w="90"/>
              <w:left w:type="dxa" w:w="120"/>
              <w:bottom w:type="dxa" w:w="90"/>
              <w:right w:type="dxa" w:w="120"/>
            </w:tcMar>
          </w:tcPr>
          <w:p>
            <w:r>
              <w:rPr>
                <w:b/>
                <w:bCs/>
                <w:color w:val="FFFFFF"/>
                <w:sz w:val="19"/>
                <w:szCs w:val="19"/>
              </w:rPr>
              <w:t xml:space="preserve">Approximate Week Range</w:t>
            </w:r>
          </w:p>
        </w:tc>
      </w:tr>
      <w:tr>
        <w:tc>
          <w:tcPr>
            <w:tcW w:type="pct" w:w="45%"/>
            <w:tcMar>
              <w:top w:type="dxa" w:w="90"/>
              <w:left w:type="dxa" w:w="120"/>
              <w:bottom w:type="dxa" w:w="90"/>
              <w:right w:type="dxa" w:w="120"/>
            </w:tcMar>
          </w:tcPr>
          <w:p>
            <w:r>
              <w:rPr>
                <w:sz w:val="19"/>
                <w:szCs w:val="19"/>
              </w:rPr>
              <w:t xml:space="preserve">0 — Finalize Design Decisions</w:t>
            </w:r>
          </w:p>
        </w:tc>
        <w:tc>
          <w:tcPr>
            <w:tcW w:type="pct" w:w="30%"/>
            <w:tcMar>
              <w:top w:type="dxa" w:w="90"/>
              <w:left w:type="dxa" w:w="120"/>
              <w:bottom w:type="dxa" w:w="90"/>
              <w:right w:type="dxa" w:w="120"/>
            </w:tcMar>
          </w:tcPr>
          <w:p>
            <w:r>
              <w:rPr>
                <w:sz w:val="19"/>
                <w:szCs w:val="19"/>
              </w:rPr>
              <w:t xml:space="preserve">2 weeks</w:t>
            </w:r>
          </w:p>
        </w:tc>
        <w:tc>
          <w:tcPr>
            <w:tcW w:type="pct" w:w="25%"/>
            <w:tcMar>
              <w:top w:type="dxa" w:w="90"/>
              <w:left w:type="dxa" w:w="120"/>
              <w:bottom w:type="dxa" w:w="90"/>
              <w:right w:type="dxa" w:w="120"/>
            </w:tcMar>
          </w:tcPr>
          <w:p>
            <w:r>
              <w:rPr>
                <w:sz w:val="19"/>
                <w:szCs w:val="19"/>
              </w:rPr>
              <w:t xml:space="preserve">Weeks 1–2</w:t>
            </w:r>
          </w:p>
        </w:tc>
      </w:tr>
      <w:tr>
        <w:tc>
          <w:tcPr>
            <w:tcW w:type="pct" w:w="45%"/>
            <w:tcMar>
              <w:top w:type="dxa" w:w="90"/>
              <w:left w:type="dxa" w:w="120"/>
              <w:bottom w:type="dxa" w:w="90"/>
              <w:right w:type="dxa" w:w="120"/>
            </w:tcMar>
          </w:tcPr>
          <w:p>
            <w:r>
              <w:rPr>
                <w:sz w:val="19"/>
                <w:szCs w:val="19"/>
              </w:rPr>
              <w:t xml:space="preserve">1 — Infrastructure &amp; Environment Setup</w:t>
            </w:r>
          </w:p>
        </w:tc>
        <w:tc>
          <w:tcPr>
            <w:tcW w:type="pct" w:w="30%"/>
            <w:tcMar>
              <w:top w:type="dxa" w:w="90"/>
              <w:left w:type="dxa" w:w="120"/>
              <w:bottom w:type="dxa" w:w="90"/>
              <w:right w:type="dxa" w:w="120"/>
            </w:tcMar>
          </w:tcPr>
          <w:p>
            <w:r>
              <w:rPr>
                <w:sz w:val="19"/>
                <w:szCs w:val="19"/>
              </w:rPr>
              <w:t xml:space="preserve">1 week</w:t>
            </w:r>
          </w:p>
        </w:tc>
        <w:tc>
          <w:tcPr>
            <w:tcW w:type="pct" w:w="25%"/>
            <w:tcMar>
              <w:top w:type="dxa" w:w="90"/>
              <w:left w:type="dxa" w:w="120"/>
              <w:bottom w:type="dxa" w:w="90"/>
              <w:right w:type="dxa" w:w="120"/>
            </w:tcMar>
          </w:tcPr>
          <w:p>
            <w:r>
              <w:rPr>
                <w:sz w:val="19"/>
                <w:szCs w:val="19"/>
              </w:rPr>
              <w:t xml:space="preserve">Weeks 2–3</w:t>
            </w:r>
          </w:p>
        </w:tc>
      </w:tr>
      <w:tr>
        <w:tc>
          <w:tcPr>
            <w:tcW w:type="pct" w:w="45%"/>
            <w:tcMar>
              <w:top w:type="dxa" w:w="90"/>
              <w:left w:type="dxa" w:w="120"/>
              <w:bottom w:type="dxa" w:w="90"/>
              <w:right w:type="dxa" w:w="120"/>
            </w:tcMar>
          </w:tcPr>
          <w:p>
            <w:r>
              <w:rPr>
                <w:sz w:val="19"/>
                <w:szCs w:val="19"/>
              </w:rPr>
              <w:t xml:space="preserve">2 — Backend Development</w:t>
            </w:r>
          </w:p>
        </w:tc>
        <w:tc>
          <w:tcPr>
            <w:tcW w:type="pct" w:w="30%"/>
            <w:tcMar>
              <w:top w:type="dxa" w:w="90"/>
              <w:left w:type="dxa" w:w="120"/>
              <w:bottom w:type="dxa" w:w="90"/>
              <w:right w:type="dxa" w:w="120"/>
            </w:tcMar>
          </w:tcPr>
          <w:p>
            <w:r>
              <w:rPr>
                <w:sz w:val="19"/>
                <w:szCs w:val="19"/>
              </w:rPr>
              <w:t xml:space="preserve">7 weeks</w:t>
            </w:r>
          </w:p>
        </w:tc>
        <w:tc>
          <w:tcPr>
            <w:tcW w:type="pct" w:w="25%"/>
            <w:tcMar>
              <w:top w:type="dxa" w:w="90"/>
              <w:left w:type="dxa" w:w="120"/>
              <w:bottom w:type="dxa" w:w="90"/>
              <w:right w:type="dxa" w:w="120"/>
            </w:tcMar>
          </w:tcPr>
          <w:p>
            <w:r>
              <w:rPr>
                <w:sz w:val="19"/>
                <w:szCs w:val="19"/>
              </w:rPr>
              <w:t xml:space="preserve">Weeks 3–9</w:t>
            </w:r>
          </w:p>
        </w:tc>
      </w:tr>
      <w:tr>
        <w:tc>
          <w:tcPr>
            <w:tcW w:type="pct" w:w="45%"/>
            <w:tcMar>
              <w:top w:type="dxa" w:w="90"/>
              <w:left w:type="dxa" w:w="120"/>
              <w:bottom w:type="dxa" w:w="90"/>
              <w:right w:type="dxa" w:w="120"/>
            </w:tcMar>
          </w:tcPr>
          <w:p>
            <w:r>
              <w:rPr>
                <w:sz w:val="19"/>
                <w:szCs w:val="19"/>
              </w:rPr>
              <w:t xml:space="preserve">3 — Web Application Development</w:t>
            </w:r>
          </w:p>
        </w:tc>
        <w:tc>
          <w:tcPr>
            <w:tcW w:type="pct" w:w="30%"/>
            <w:tcMar>
              <w:top w:type="dxa" w:w="90"/>
              <w:left w:type="dxa" w:w="120"/>
              <w:bottom w:type="dxa" w:w="90"/>
              <w:right w:type="dxa" w:w="120"/>
            </w:tcMar>
          </w:tcPr>
          <w:p>
            <w:r>
              <w:rPr>
                <w:sz w:val="19"/>
                <w:szCs w:val="19"/>
              </w:rPr>
              <w:t xml:space="preserve">8 weeks (overlaps Phase 2)</w:t>
            </w:r>
          </w:p>
        </w:tc>
        <w:tc>
          <w:tcPr>
            <w:tcW w:type="pct" w:w="25%"/>
            <w:tcMar>
              <w:top w:type="dxa" w:w="90"/>
              <w:left w:type="dxa" w:w="120"/>
              <w:bottom w:type="dxa" w:w="90"/>
              <w:right w:type="dxa" w:w="120"/>
            </w:tcMar>
          </w:tcPr>
          <w:p>
            <w:r>
              <w:rPr>
                <w:sz w:val="19"/>
                <w:szCs w:val="19"/>
              </w:rPr>
              <w:t xml:space="preserve">Weeks 6–13</w:t>
            </w:r>
          </w:p>
        </w:tc>
      </w:tr>
      <w:tr>
        <w:tc>
          <w:tcPr>
            <w:tcW w:type="pct" w:w="45%"/>
            <w:tcMar>
              <w:top w:type="dxa" w:w="90"/>
              <w:left w:type="dxa" w:w="120"/>
              <w:bottom w:type="dxa" w:w="90"/>
              <w:right w:type="dxa" w:w="120"/>
            </w:tcMar>
          </w:tcPr>
          <w:p>
            <w:r>
              <w:rPr>
                <w:sz w:val="19"/>
                <w:szCs w:val="19"/>
              </w:rPr>
              <w:t xml:space="preserve">4 — Mobile Application Development</w:t>
            </w:r>
          </w:p>
        </w:tc>
        <w:tc>
          <w:tcPr>
            <w:tcW w:type="pct" w:w="30%"/>
            <w:tcMar>
              <w:top w:type="dxa" w:w="90"/>
              <w:left w:type="dxa" w:w="120"/>
              <w:bottom w:type="dxa" w:w="90"/>
              <w:right w:type="dxa" w:w="120"/>
            </w:tcMar>
          </w:tcPr>
          <w:p>
            <w:r>
              <w:rPr>
                <w:sz w:val="19"/>
                <w:szCs w:val="19"/>
              </w:rPr>
              <w:t xml:space="preserve">9 weeks (overlaps Phase 2)</w:t>
            </w:r>
          </w:p>
        </w:tc>
        <w:tc>
          <w:tcPr>
            <w:tcW w:type="pct" w:w="25%"/>
            <w:tcMar>
              <w:top w:type="dxa" w:w="90"/>
              <w:left w:type="dxa" w:w="120"/>
              <w:bottom w:type="dxa" w:w="90"/>
              <w:right w:type="dxa" w:w="120"/>
            </w:tcMar>
          </w:tcPr>
          <w:p>
            <w:r>
              <w:rPr>
                <w:sz w:val="19"/>
                <w:szCs w:val="19"/>
              </w:rPr>
              <w:t xml:space="preserve">Weeks 6–14</w:t>
            </w:r>
          </w:p>
        </w:tc>
      </w:tr>
      <w:tr>
        <w:tc>
          <w:tcPr>
            <w:tcW w:type="pct" w:w="45%"/>
            <w:tcMar>
              <w:top w:type="dxa" w:w="90"/>
              <w:left w:type="dxa" w:w="120"/>
              <w:bottom w:type="dxa" w:w="90"/>
              <w:right w:type="dxa" w:w="120"/>
            </w:tcMar>
          </w:tcPr>
          <w:p>
            <w:r>
              <w:rPr>
                <w:sz w:val="19"/>
                <w:szCs w:val="19"/>
              </w:rPr>
              <w:t xml:space="preserve">5 — Third-Party Integrations</w:t>
            </w:r>
          </w:p>
        </w:tc>
        <w:tc>
          <w:tcPr>
            <w:tcW w:type="pct" w:w="30%"/>
            <w:tcMar>
              <w:top w:type="dxa" w:w="90"/>
              <w:left w:type="dxa" w:w="120"/>
              <w:bottom w:type="dxa" w:w="90"/>
              <w:right w:type="dxa" w:w="120"/>
            </w:tcMar>
          </w:tcPr>
          <w:p>
            <w:r>
              <w:rPr>
                <w:sz w:val="19"/>
                <w:szCs w:val="19"/>
              </w:rPr>
              <w:t xml:space="preserve">6 weeks (overlaps Phases 3–4)</w:t>
            </w:r>
          </w:p>
        </w:tc>
        <w:tc>
          <w:tcPr>
            <w:tcW w:type="pct" w:w="25%"/>
            <w:tcMar>
              <w:top w:type="dxa" w:w="90"/>
              <w:left w:type="dxa" w:w="120"/>
              <w:bottom w:type="dxa" w:w="90"/>
              <w:right w:type="dxa" w:w="120"/>
            </w:tcMar>
          </w:tcPr>
          <w:p>
            <w:r>
              <w:rPr>
                <w:sz w:val="19"/>
                <w:szCs w:val="19"/>
              </w:rPr>
              <w:t xml:space="preserve">Weeks 9–14</w:t>
            </w:r>
          </w:p>
        </w:tc>
      </w:tr>
      <w:tr>
        <w:tc>
          <w:tcPr>
            <w:tcW w:type="pct" w:w="45%"/>
            <w:tcMar>
              <w:top w:type="dxa" w:w="90"/>
              <w:left w:type="dxa" w:w="120"/>
              <w:bottom w:type="dxa" w:w="90"/>
              <w:right w:type="dxa" w:w="120"/>
            </w:tcMar>
          </w:tcPr>
          <w:p>
            <w:r>
              <w:rPr>
                <w:sz w:val="19"/>
                <w:szCs w:val="19"/>
              </w:rPr>
              <w:t xml:space="preserve">6 — Testing &amp; Quality Assurance</w:t>
            </w:r>
          </w:p>
        </w:tc>
        <w:tc>
          <w:tcPr>
            <w:tcW w:type="pct" w:w="30%"/>
            <w:tcMar>
              <w:top w:type="dxa" w:w="90"/>
              <w:left w:type="dxa" w:w="120"/>
              <w:bottom w:type="dxa" w:w="90"/>
              <w:right w:type="dxa" w:w="120"/>
            </w:tcMar>
          </w:tcPr>
          <w:p>
            <w:r>
              <w:rPr>
                <w:sz w:val="19"/>
                <w:szCs w:val="19"/>
              </w:rPr>
              <w:t xml:space="preserve">3 weeks</w:t>
            </w:r>
          </w:p>
        </w:tc>
        <w:tc>
          <w:tcPr>
            <w:tcW w:type="pct" w:w="25%"/>
            <w:tcMar>
              <w:top w:type="dxa" w:w="90"/>
              <w:left w:type="dxa" w:w="120"/>
              <w:bottom w:type="dxa" w:w="90"/>
              <w:right w:type="dxa" w:w="120"/>
            </w:tcMar>
          </w:tcPr>
          <w:p>
            <w:r>
              <w:rPr>
                <w:sz w:val="19"/>
                <w:szCs w:val="19"/>
              </w:rPr>
              <w:t xml:space="preserve">Weeks 14–16</w:t>
            </w:r>
          </w:p>
        </w:tc>
      </w:tr>
      <w:tr>
        <w:tc>
          <w:tcPr>
            <w:tcW w:type="pct" w:w="45%"/>
            <w:tcMar>
              <w:top w:type="dxa" w:w="90"/>
              <w:left w:type="dxa" w:w="120"/>
              <w:bottom w:type="dxa" w:w="90"/>
              <w:right w:type="dxa" w:w="120"/>
            </w:tcMar>
          </w:tcPr>
          <w:p>
            <w:r>
              <w:rPr>
                <w:sz w:val="19"/>
                <w:szCs w:val="19"/>
              </w:rPr>
              <w:t xml:space="preserve">7 — Deployment &amp; Hosting</w:t>
            </w:r>
          </w:p>
        </w:tc>
        <w:tc>
          <w:tcPr>
            <w:tcW w:type="pct" w:w="30%"/>
            <w:tcMar>
              <w:top w:type="dxa" w:w="90"/>
              <w:left w:type="dxa" w:w="120"/>
              <w:bottom w:type="dxa" w:w="90"/>
              <w:right w:type="dxa" w:w="120"/>
            </w:tcMar>
          </w:tcPr>
          <w:p>
            <w:r>
              <w:rPr>
                <w:sz w:val="19"/>
                <w:szCs w:val="19"/>
              </w:rPr>
              <w:t xml:space="preserve">2 weeks</w:t>
            </w:r>
          </w:p>
        </w:tc>
        <w:tc>
          <w:tcPr>
            <w:tcW w:type="pct" w:w="25%"/>
            <w:tcMar>
              <w:top w:type="dxa" w:w="90"/>
              <w:left w:type="dxa" w:w="120"/>
              <w:bottom w:type="dxa" w:w="90"/>
              <w:right w:type="dxa" w:w="120"/>
            </w:tcMar>
          </w:tcPr>
          <w:p>
            <w:r>
              <w:rPr>
                <w:sz w:val="19"/>
                <w:szCs w:val="19"/>
              </w:rPr>
              <w:t xml:space="preserve">Weeks 16–17</w:t>
            </w:r>
          </w:p>
        </w:tc>
      </w:tr>
      <w:tr>
        <w:tc>
          <w:tcPr>
            <w:tcW w:type="pct" w:w="45%"/>
            <w:tcMar>
              <w:top w:type="dxa" w:w="90"/>
              <w:left w:type="dxa" w:w="120"/>
              <w:bottom w:type="dxa" w:w="90"/>
              <w:right w:type="dxa" w:w="120"/>
            </w:tcMar>
          </w:tcPr>
          <w:p>
            <w:r>
              <w:rPr>
                <w:sz w:val="19"/>
                <w:szCs w:val="19"/>
              </w:rPr>
              <w:t xml:space="preserve">8 — Post-Launch Operations</w:t>
            </w:r>
          </w:p>
        </w:tc>
        <w:tc>
          <w:tcPr>
            <w:tcW w:type="pct" w:w="30%"/>
            <w:tcMar>
              <w:top w:type="dxa" w:w="90"/>
              <w:left w:type="dxa" w:w="120"/>
              <w:bottom w:type="dxa" w:w="90"/>
              <w:right w:type="dxa" w:w="120"/>
            </w:tcMar>
          </w:tcPr>
          <w:p>
            <w:r>
              <w:rPr>
                <w:sz w:val="19"/>
                <w:szCs w:val="19"/>
              </w:rPr>
              <w:t xml:space="preserve">Ongoing</w:t>
            </w:r>
          </w:p>
        </w:tc>
        <w:tc>
          <w:tcPr>
            <w:tcW w:type="pct" w:w="25%"/>
            <w:tcMar>
              <w:top w:type="dxa" w:w="90"/>
              <w:left w:type="dxa" w:w="120"/>
              <w:bottom w:type="dxa" w:w="90"/>
              <w:right w:type="dxa" w:w="120"/>
            </w:tcMar>
          </w:tcPr>
          <w:p>
            <w:r>
              <w:rPr>
                <w:sz w:val="19"/>
                <w:szCs w:val="19"/>
              </w:rPr>
              <w:t xml:space="preserve">From Week 17</w:t>
            </w:r>
          </w:p>
        </w:tc>
      </w:tr>
    </w:tbl>
    <w:p>
      <w:pPr>
        <w:spacing w:after="120"/>
      </w:pPr>
      <w:r>
        <w:t xml:space="preserve">Total estimated time to a production MVP launch: approximately 17 weeks (just under 4 months) from the start of Phase 0, covering the MVP scope already agreed (Land, core property rental/sale, Agent/Agency, basic Social, Guest House trust layer) rather than every module in the full UML specification.</w:t>
      </w:r>
    </w:p>
    <w:p>
      <w:r>
        <w:br w:type="page"/>
      </w:r>
    </w:p>
    <w:p>
      <w:pPr>
        <w:pStyle w:val="Heading1"/>
        <w:spacing w:after="160" w:before="240"/>
      </w:pPr>
      <w:r>
        <w:rPr>
          <w:b/>
          <w:bCs/>
          <w:color w:val="1B2A4A"/>
        </w:rPr>
        <w:t xml:space="preserve">11. Conclusion &amp; Immediate Next Actions</w:t>
      </w:r>
    </w:p>
    <w:p>
      <w:pPr>
        <w:spacing w:after="120"/>
      </w:pPr>
      <w:r>
        <w:t xml:space="preserve">The technology decisions in this document are deliberately not a menu of equally-valid options — they are a specific recommendation chosen because they already match the architecture, data model, and working code produced earlier in this project. Deviating from them (for example, choosing Supabase as the primary backend rather than a managed-hosting layer under Django) is possible, but should be treated as a re-scoping decision with its own cost, not a drop-in substitution.</w:t>
      </w:r>
    </w:p>
    <w:p>
      <w:pPr>
        <w:pStyle w:val="Heading2"/>
        <w:spacing w:after="100" w:before="220"/>
      </w:pPr>
      <w:r>
        <w:rPr>
          <w:b/>
          <w:bCs/>
          <w:color w:val="1B2A4A"/>
        </w:rPr>
        <w:t xml:space="preserve">Immediate Next Actions</w:t>
      </w:r>
    </w:p>
    <w:p>
      <w:pPr>
        <w:pStyle w:val="ListParagraph"/>
        <w:numPr>
          <w:ilvl w:val="0"/>
          <w:numId w:val="3"/>
        </w:numPr>
        <w:spacing w:after="60"/>
      </w:pPr>
      <w:r>
        <w:t xml:space="preserve">Approve or revise the technology stack in Sections 2–4 of this document</w:t>
      </w:r>
    </w:p>
    <w:p>
      <w:pPr>
        <w:pStyle w:val="ListParagraph"/>
        <w:numPr>
          <w:ilvl w:val="0"/>
          <w:numId w:val="3"/>
        </w:numPr>
        <w:spacing w:after="60"/>
      </w:pPr>
      <w:r>
        <w:t xml:space="preserve">Approve the estimated budget implied by Section 8</w:t>
      </w:r>
    </w:p>
    <w:p>
      <w:pPr>
        <w:pStyle w:val="ListParagraph"/>
        <w:numPr>
          <w:ilvl w:val="0"/>
          <w:numId w:val="3"/>
        </w:numPr>
        <w:spacing w:after="60"/>
      </w:pPr>
      <w:r>
        <w:t xml:space="preserve">Begin Phase 0 — close the open product decisions (Taskln identity verification, agency benefit terms) and commission the Figma wireframes</w:t>
      </w:r>
    </w:p>
    <w:p>
      <w:pPr>
        <w:pStyle w:val="ListParagraph"/>
        <w:numPr>
          <w:ilvl w:val="0"/>
          <w:numId w:val="3"/>
        </w:numPr>
        <w:spacing w:after="60"/>
      </w:pPr>
      <w:r>
        <w:t xml:space="preserve">Assemble or confirm the engineering team against the roles assumed in Section 10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of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5"/>
        <w:szCs w:val="15"/>
      </w:rPr>
      <w:t xml:space="preserve">OAZILAND — TECHNOLOGY STACK &amp; DEPLOYMENT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2026-07-28T00:04:35.660Z</dcterms:created>
  <dcterms:modified xsi:type="dcterms:W3CDTF">2026-07-28T00:04:35.690Z</dcterms:modified>
</cp:coreProperties>
</file>

<file path=docProps/custom.xml><?xml version="1.0" encoding="utf-8"?>
<Properties xmlns="http://schemas.openxmlformats.org/officeDocument/2006/custom-properties" xmlns:vt="http://schemas.openxmlformats.org/officeDocument/2006/docPropsVTypes"/>
</file>