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b/>
          <w:bCs/>
          <w:color w:val="C9A227"/>
          <w:sz w:val="26"/>
          <w:szCs w:val="26"/>
        </w:rPr>
        <w:t xml:space="preserve">GLORENTECH™ / GRT™</w:t>
      </w:r>
    </w:p>
    <w:p>
      <w:pPr>
        <w:spacing w:after="500" w:before="100"/>
        <w:jc w:val="center"/>
      </w:pPr>
      <w:r>
        <w:rPr>
          <w:color w:val="1B2A4A"/>
          <w:sz w:val="20"/>
          <w:szCs w:val="20"/>
        </w:rPr>
        <w:t xml:space="preserve">Global Renaissance Technology SARL — Messassi, Yaoundé, Cameroon</w:t>
      </w:r>
    </w:p>
    <w:p>
      <w:pPr>
        <w:spacing w:after="160" w:before="300"/>
        <w:jc w:val="center"/>
      </w:pPr>
      <w:r>
        <w:rPr>
          <w:b/>
          <w:bCs/>
          <w:color w:val="1B2A4A"/>
          <w:sz w:val="56"/>
          <w:szCs w:val="56"/>
        </w:rPr>
        <w:t xml:space="preserve">OAZILAND</w:t>
      </w:r>
    </w:p>
    <w:p>
      <w:pPr>
        <w:spacing w:after="400"/>
        <w:jc w:val="center"/>
      </w:pPr>
      <w:r>
        <w:rPr>
          <w:b/>
          <w:bCs/>
          <w:color w:val="C9A227"/>
          <w:sz w:val="28"/>
          <w:szCs w:val="28"/>
        </w:rPr>
        <w:t xml:space="preserve">Complete API &amp; Subscription Cost Summary</w:t>
      </w:r>
    </w:p>
    <w:p>
      <w:pPr>
        <w:spacing w:after="100"/>
        <w:jc w:val="center"/>
      </w:pPr>
      <w:r>
        <w:rPr>
          <w:color w:val="444444"/>
          <w:sz w:val="20"/>
          <w:szCs w:val="20"/>
        </w:rPr>
        <w:t xml:space="preserve">Every Third-Party Service Required to Build and Run the Platform</w:t>
      </w:r>
    </w:p>
    <w:p>
      <w:pPr>
        <w:spacing w:after="60" w:before="900"/>
        <w:jc w:val="center"/>
      </w:pPr>
      <w:r>
        <w:rPr>
          <w:color w:val="444444"/>
          <w:sz w:val="18"/>
          <w:szCs w:val="18"/>
        </w:rPr>
        <w:t xml:space="preserve">Prepared for: Oaziland Product &amp; Engineering Team</w:t>
      </w:r>
    </w:p>
    <w:p>
      <w:pPr>
        <w:spacing w:after="60"/>
        <w:jc w:val="center"/>
      </w:pPr>
      <w:r>
        <w:rPr>
          <w:color w:val="444444"/>
          <w:sz w:val="18"/>
          <w:szCs w:val="18"/>
        </w:rPr>
        <w:t xml:space="preserve">Document Version 1.0  ·  July 2026</w:t>
      </w:r>
    </w:p>
    <w:p>
      <w:pPr>
        <w:spacing w:after="60"/>
        <w:jc w:val="center"/>
      </w:pPr>
      <w:r>
        <w:rPr>
          <w:color w:val="444444"/>
          <w:sz w:val="18"/>
          <w:szCs w:val="18"/>
        </w:rPr>
        <w:t xml:space="preserve">Classification: Internal / Budgeting Reference</w:t>
      </w:r>
    </w:p>
    <w:p>
      <w:r>
        <w:br w:type="page"/>
      </w:r>
    </w:p>
    <w:p>
      <w:pPr>
        <w:pStyle w:val="Heading1"/>
        <w:spacing w:after="160" w:before="240"/>
      </w:pPr>
      <w:r>
        <w:rPr>
          <w:b/>
          <w:bCs/>
          <w:color w:val="1B2A4A"/>
        </w:rPr>
        <w:t xml:space="preserve">Table of Contents</w:t>
      </w:r>
    </w:p>
    <w:p>
      <w:pPr>
        <w:spacing w:after="110"/>
      </w:pPr>
      <w:r>
        <w:rPr>
          <w:b/>
          <w:bCs/>
          <w:color w:val="C9A227"/>
          <w:sz w:val="22"/>
          <w:szCs w:val="22"/>
        </w:rPr>
        <w:t xml:space="preserve">1  </w:t>
      </w:r>
      <w:r>
        <w:rPr>
          <w:color w:val="1B2A4A"/>
          <w:sz w:val="22"/>
          <w:szCs w:val="22"/>
        </w:rPr>
        <w:t xml:space="preserve">How to Read This Document</w:t>
      </w:r>
    </w:p>
    <w:p>
      <w:pPr>
        <w:spacing w:after="110"/>
      </w:pPr>
      <w:r>
        <w:rPr>
          <w:b/>
          <w:bCs/>
          <w:color w:val="C9A227"/>
          <w:sz w:val="22"/>
          <w:szCs w:val="22"/>
        </w:rPr>
        <w:t xml:space="preserve">2  </w:t>
      </w:r>
      <w:r>
        <w:rPr>
          <w:color w:val="1B2A4A"/>
          <w:sz w:val="22"/>
          <w:szCs w:val="22"/>
        </w:rPr>
        <w:t xml:space="preserve">Fixed Costs — Paid Regardless of User Count</w:t>
      </w:r>
    </w:p>
    <w:p>
      <w:pPr>
        <w:spacing w:after="110"/>
      </w:pPr>
      <w:r>
        <w:rPr>
          <w:b/>
          <w:bCs/>
          <w:color w:val="C9A227"/>
          <w:sz w:val="22"/>
          <w:szCs w:val="22"/>
        </w:rPr>
        <w:t xml:space="preserve">3  </w:t>
      </w:r>
      <w:r>
        <w:rPr>
          <w:color w:val="1B2A4A"/>
          <w:sz w:val="22"/>
          <w:szCs w:val="22"/>
        </w:rPr>
        <w:t xml:space="preserve">Free Services — No Cost at Any Scale Relevant to Launch</w:t>
      </w:r>
    </w:p>
    <w:p>
      <w:pPr>
        <w:spacing w:after="110"/>
      </w:pPr>
      <w:r>
        <w:rPr>
          <w:b/>
          <w:bCs/>
          <w:color w:val="C9A227"/>
          <w:sz w:val="22"/>
          <w:szCs w:val="22"/>
        </w:rPr>
        <w:t xml:space="preserve">4  </w:t>
      </w:r>
      <w:r>
        <w:rPr>
          <w:color w:val="1B2A4A"/>
          <w:sz w:val="22"/>
          <w:szCs w:val="22"/>
        </w:rPr>
        <w:t xml:space="preserve">Usage-Based Services — Cost Grows With Real Activity</w:t>
      </w:r>
    </w:p>
    <w:p>
      <w:pPr>
        <w:spacing w:after="110"/>
      </w:pPr>
      <w:r>
        <w:rPr>
          <w:b/>
          <w:bCs/>
          <w:color w:val="C9A227"/>
          <w:sz w:val="22"/>
          <w:szCs w:val="22"/>
        </w:rPr>
        <w:t xml:space="preserve">5  </w:t>
      </w:r>
      <w:r>
        <w:rPr>
          <w:color w:val="1B2A4A"/>
          <w:sz w:val="22"/>
          <w:szCs w:val="22"/>
        </w:rPr>
        <w:t xml:space="preserve">Total Estimated Cost Before Launch</w:t>
      </w:r>
    </w:p>
    <w:p>
      <w:pPr>
        <w:spacing w:after="110"/>
      </w:pPr>
      <w:r>
        <w:rPr>
          <w:b/>
          <w:bCs/>
          <w:color w:val="C9A227"/>
          <w:sz w:val="22"/>
          <w:szCs w:val="22"/>
        </w:rPr>
        <w:t xml:space="preserve">6  </w:t>
      </w:r>
      <w:r>
        <w:rPr>
          <w:color w:val="1B2A4A"/>
          <w:sz w:val="22"/>
          <w:szCs w:val="22"/>
        </w:rPr>
        <w:t xml:space="preserve">Notes &amp; Caveats</w:t>
      </w:r>
    </w:p>
    <w:p>
      <w:r>
        <w:br w:type="page"/>
      </w:r>
    </w:p>
    <w:p>
      <w:pPr>
        <w:pStyle w:val="Heading1"/>
        <w:spacing w:after="160" w:before="240"/>
      </w:pPr>
      <w:r>
        <w:rPr>
          <w:b/>
          <w:bCs/>
          <w:color w:val="1B2A4A"/>
        </w:rPr>
        <w:t xml:space="preserve">1. How to Read This Document</w:t>
      </w:r>
    </w:p>
    <w:p>
      <w:pPr>
        <w:spacing w:after="120"/>
      </w:pPr>
      <w:r>
        <w:t xml:space="preserve">Every third-party service the Oaziland platform depends on falls into one of three categories, and the category matters more than the individual price tag: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Fixed costs — you pay these whether or not a single customer has signed up. This is the real, unavoidable floor of running the platform.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Free services — genuinely no cost at the scale relevant to launch and the first period of operation.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Usage-based services — cost exists only in proportion to real activity (a real payment processed, a real ID verified, a real message sent). Nobody using the app yet means nobody is being billed for these.</w:t>
      </w:r>
    </w:p>
    <w:p>
      <w:pPr>
        <w:spacing w:after="120"/>
      </w:pPr>
      <w:r>
        <w:t xml:space="preserve">Prices below are budgeting estimates based on each provider's publicly available pricing at the time this document was prepared, not signed quotes — confirm current rates directly with each provider before committing to a contract.</w:t>
      </w:r>
    </w:p>
    <w:p>
      <w:r>
        <w:br w:type="page"/>
      </w:r>
    </w:p>
    <w:p>
      <w:pPr>
        <w:pStyle w:val="Heading1"/>
        <w:spacing w:after="160" w:before="240"/>
      </w:pPr>
      <w:r>
        <w:rPr>
          <w:b/>
          <w:bCs/>
          <w:color w:val="1B2A4A"/>
        </w:rPr>
        <w:t xml:space="preserve">2. Fixed Costs — Paid Regardless of User Count</w:t>
      </w:r>
    </w:p>
    <w:p>
      <w:pPr>
        <w:spacing w:after="120"/>
      </w:pPr>
      <w:r>
        <w:t xml:space="preserve">These are the costs you carry from day one, before a single customer uses the platform. Together they form the real minimum monthly floor of keeping Oaziland running.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100"/>
        <w:gridCol w:w="100"/>
        <w:gridCol w:w="100"/>
      </w:tblGrid>
      <w:tr>
        <w:tc>
          <w:tcPr>
            <w:tcW w:type="pct" w:w="34%"/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pct" w:w="28%"/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  <w:tc>
          <w:tcPr>
            <w:tcW w:type="pct" w:w="38%"/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It's Required</w:t>
            </w:r>
          </w:p>
        </w:tc>
      </w:tr>
      <w:tr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Apple Developer Program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$99 / year</w:t>
            </w:r>
          </w:p>
        </w:tc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Mandatory to distribute the app on the Apple App Store</w:t>
            </w:r>
          </w:p>
        </w:tc>
      </w:tr>
      <w:tr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Google Play Developer Account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$25 one-time</w:t>
            </w:r>
          </w:p>
        </w:tc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Mandatory to distribute the app on Google Play</w:t>
            </w:r>
          </w:p>
        </w:tc>
      </w:tr>
      <w:tr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Domain name registration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$10–20 / year</w:t>
            </w:r>
          </w:p>
        </w:tc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Your web address (e.g. oaziland.com)</w:t>
            </w:r>
          </w:p>
        </w:tc>
      </w:tr>
      <w:tr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Backend hosting (Railway, Render, or Fly.io)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~$20–100 / month</w:t>
            </w:r>
          </w:p>
        </w:tc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Runs the Django API server and background jobs</w:t>
            </w:r>
          </w:p>
        </w:tc>
      </w:tr>
      <w:tr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Database hosting (Supabase or equivalent)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Free to start, ~$25+ / month as data grows</w:t>
            </w:r>
          </w:p>
        </w:tc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Stores every property, user, and transaction record</w:t>
            </w:r>
          </w:p>
        </w:tc>
      </w:tr>
      <w:tr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Redis hosting (Upstash or Railway)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~$0–15 / month</w:t>
            </w:r>
          </w:p>
        </w:tc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Powers the booking-lock system that prevents double-bookings</w:t>
            </w:r>
          </w:p>
        </w:tc>
      </w:tr>
      <w:tr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Search engine server (Meilisearch)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~$5–20 / month</w:t>
            </w:r>
          </w:p>
        </w:tc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Powers fast property search and filtering</w:t>
            </w:r>
          </w:p>
        </w:tc>
      </w:tr>
      <w:tr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Web hosting (Vercel)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Free to start, ~$20 / month per team member later</w:t>
            </w:r>
          </w:p>
        </w:tc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Hosts the public website</w:t>
            </w:r>
          </w:p>
        </w:tc>
      </w:tr>
    </w:tbl>
    <w:p>
      <w:pPr>
        <w:spacing w:after="120"/>
      </w:pPr>
      <w:r>
        <w:t xml:space="preserve">Rough fixed floor: approximately $70–180 per month, plus the Apple/Google one-time and annual fees (roughly $124 total in year one).</w:t>
      </w:r>
    </w:p>
    <w:p>
      <w:r>
        <w:br w:type="page"/>
      </w:r>
    </w:p>
    <w:p>
      <w:pPr>
        <w:pStyle w:val="Heading1"/>
        <w:spacing w:after="160" w:before="240"/>
      </w:pPr>
      <w:r>
        <w:rPr>
          <w:b/>
          <w:bCs/>
          <w:color w:val="1B2A4A"/>
        </w:rPr>
        <w:t xml:space="preserve">3. Free Services — No Cost at Any Scale Relevant to Launch</w:t>
      </w:r>
    </w:p>
    <w:p>
      <w:pPr>
        <w:spacing w:after="120"/>
      </w:pPr>
      <w:r>
        <w:t xml:space="preserve">These services have no cost at the volume Oaziland will realistically see in its first period of operation. Several have paid tiers that only become relevant at a much larger scale than launch.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100"/>
        <w:gridCol w:w="100"/>
      </w:tblGrid>
      <w:tr>
        <w:tc>
          <w:tcPr>
            <w:tcW w:type="pct" w:w="40%"/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pct" w:w="60%"/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Google Sign-In</w:t>
            </w:r>
          </w:p>
        </w:tc>
        <w:tc>
          <w:tcPr>
            <w:tcW w:type="pct" w:w="6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Lets users log in with their Google account</w:t>
            </w:r>
          </w:p>
        </w:tc>
      </w:tr>
      <w:tr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Facebook Login</w:t>
            </w:r>
          </w:p>
        </w:tc>
        <w:tc>
          <w:tcPr>
            <w:tcW w:type="pct" w:w="6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Lets users log in with their Facebook account</w:t>
            </w:r>
          </w:p>
        </w:tc>
      </w:tr>
      <w:tr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OpenStreetMap</w:t>
            </w:r>
          </w:p>
        </w:tc>
        <w:tc>
          <w:tcPr>
            <w:tcW w:type="pct" w:w="6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Property maps, location search, distance calculations</w:t>
            </w:r>
          </w:p>
        </w:tc>
      </w:tr>
      <w:tr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Firebase Cloud Messaging</w:t>
            </w:r>
          </w:p>
        </w:tc>
        <w:tc>
          <w:tcPr>
            <w:tcW w:type="pct" w:w="6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Push notifications on mobile</w:t>
            </w:r>
          </w:p>
        </w:tc>
      </w:tr>
      <w:tr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Google Analytics or PostHog</w:t>
            </w:r>
          </w:p>
        </w:tc>
        <w:tc>
          <w:tcPr>
            <w:tcW w:type="pct" w:w="6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Basic platform usage analytics</w:t>
            </w:r>
          </w:p>
        </w:tc>
      </w:tr>
      <w:tr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Sentry (free tier)</w:t>
            </w:r>
          </w:p>
        </w:tc>
        <w:tc>
          <w:tcPr>
            <w:tcW w:type="pct" w:w="6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Tracks errors and bugs in production</w:t>
            </w:r>
          </w:p>
        </w:tc>
      </w:tr>
      <w:tr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Postmark or SendGrid (free tier)</w:t>
            </w:r>
          </w:p>
        </w:tc>
        <w:tc>
          <w:tcPr>
            <w:tcW w:type="pct" w:w="6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Sends transactional emails (receipts, password resets)</w:t>
            </w:r>
          </w:p>
        </w:tc>
      </w:tr>
      <w:tr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exchangerate-api.com (free tier)</w:t>
            </w:r>
          </w:p>
        </w:tc>
        <w:tc>
          <w:tcPr>
            <w:tcW w:type="pct" w:w="6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Currency conversion for diaspora users viewing prices in USD/EUR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b/>
          <w:bCs/>
          <w:color w:val="1B2A4A"/>
        </w:rPr>
        <w:t xml:space="preserve">4. Usage-Based Services — Cost Grows With Real Activity</w:t>
      </w:r>
    </w:p>
    <w:p>
      <w:pPr>
        <w:spacing w:after="120"/>
      </w:pPr>
      <w:r>
        <w:t xml:space="preserve">None of these cost anything if nobody is using the app. Each one scales directly with real bookings, real verifications, or real messages sent — the platform is never billed for activity that didn't happen.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100"/>
        <w:gridCol w:w="100"/>
        <w:gridCol w:w="100"/>
      </w:tblGrid>
      <w:tr>
        <w:tc>
          <w:tcPr>
            <w:tcW w:type="pct" w:w="28%"/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pct" w:w="34%"/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pct" w:w="38%"/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How It's Priced</w:t>
            </w:r>
          </w:p>
        </w:tc>
      </w:tr>
      <w:tr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CinetPay or Monetbil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Mobile Money &amp; card payment processing</w:t>
            </w:r>
          </w:p>
        </w:tc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1.5–3% per transaction</w:t>
            </w:r>
          </w:p>
        </w:tc>
      </w:tr>
      <w:tr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Smile Identity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KYC / national ID document verification</w:t>
            </w:r>
          </w:p>
        </w:tc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Per verification, typically $0.50–2.00 each (confirm current rate)</w:t>
            </w:r>
          </w:p>
        </w:tc>
      </w:tr>
      <w:tr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Africa's Talking or Twilio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SMS verification codes &amp; alerts</w:t>
            </w:r>
          </w:p>
        </w:tc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~$0.01–0.05 per SMS</w:t>
            </w:r>
          </w:p>
        </w:tc>
      </w:tr>
      <w:tr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WhatsApp Business API (Twilio/360dialog)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Booking confirmations, receipts</w:t>
            </w:r>
          </w:p>
        </w:tc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Per-message fee; some providers add a monthly platform fee</w:t>
            </w:r>
          </w:p>
        </w:tc>
      </w:tr>
      <w:tr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Cloudinary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Photo/video storage, compression, delivery</w:t>
            </w:r>
          </w:p>
        </w:tc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Free tier, then by storage + bandwidth used</w:t>
            </w:r>
          </w:p>
        </w:tc>
      </w:tr>
      <w:tr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OpenAI/Anthropic API + Google Cloud Vision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AI moderation of text and images</w:t>
            </w:r>
          </w:p>
        </w:tc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Per API call, low cost per item processed</w:t>
            </w:r>
          </w:p>
        </w:tc>
      </w:tr>
      <w:tr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DocuSign or Dropbox Sign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Digital contract signing</w:t>
            </w:r>
          </w:p>
        </w:tc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Per envelope, or a monthly subscription tier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b/>
          <w:bCs/>
          <w:color w:val="1B2A4A"/>
        </w:rPr>
        <w:t xml:space="preserve">5. Total Estimated Cost Before Launch</w:t>
      </w:r>
    </w:p>
    <w:p>
      <w:pPr>
        <w:spacing w:after="120"/>
      </w:pPr>
      <w:r>
        <w:t xml:space="preserve">Before a single real customer transaction occurs, the only money required is: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fixed monthly floor from Section 2: approximately $70–180 / month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one-time and annual app store fees from Section 2: approximately $124 in year one (Apple $99/year + Google Play $25 one-time)</w:t>
      </w:r>
    </w:p>
    <w:p>
      <w:pPr>
        <w:spacing w:after="120"/>
      </w:pPr>
      <w:r>
        <w:t xml:space="preserve">Every other cost in this document only begins once real users start transacting — a real payment, a real ID verification, a real message sent. There is no hidden recurring bill sitting behind the usage-based services in Section 4.</w:t>
      </w:r>
    </w:p>
    <w:p>
      <w:r>
        <w:br w:type="page"/>
      </w:r>
    </w:p>
    <w:p>
      <w:pPr>
        <w:pStyle w:val="Heading1"/>
        <w:spacing w:after="160" w:before="240"/>
      </w:pPr>
      <w:r>
        <w:rPr>
          <w:b/>
          <w:bCs/>
          <w:color w:val="1B2A4A"/>
        </w:rPr>
        <w:t xml:space="preserve">6. Notes &amp; Caveats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Prices reflect publicly available rates at the time of writing and are budgeting estimates, not signed vendor quotes — confirm current pricing directly with each provider before committing.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Currency: all prices above are in US Dollars as quoted by the providers themselves; actual billing may occur in USD, EUR, or another currency depending on the provider.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 the platform grows past its first few hundred active users, several "free tier" services in Section 3 (Sentry, email delivery, currency conversion) will likely need to move to a paid tier — this document should be revisited at that point rather than treated as permanently accurate.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 every service listed here needs to be signed up for on day one — Appendix-style usage-based services (KYC, WhatsApp, moderation AI) should be activated when the corresponding feature is actually being built and tested, not all at once at the start.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of </w:t>
    </w:r>
    <w:r>
      <w:rPr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5"/>
        <w:szCs w:val="15"/>
      </w:rPr>
      <w:t xml:space="preserve">OAZILAND — API &amp; SUBSCRIPTION COST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2026-07-28T18:17:09.315Z</dcterms:created>
  <dcterms:modified xsi:type="dcterms:W3CDTF">2026-07-28T18:17:09.334Z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