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92"/>
        <w:gridCol w:w="1559"/>
        <w:gridCol w:w="1549"/>
        <w:gridCol w:w="1635"/>
        <w:gridCol w:w="1630"/>
        <w:gridCol w:w="1551"/>
      </w:tblGrid>
      <w:tr w:rsidR="00242CE0" w14:paraId="733A876F" w14:textId="77777777" w:rsidTr="00AC0840">
        <w:tc>
          <w:tcPr>
            <w:tcW w:w="1095"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549"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41"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640" w:type="dxa"/>
          </w:tcPr>
          <w:p w14:paraId="6A5AC318" w14:textId="0465376B" w:rsidR="00373BB7" w:rsidRDefault="00373BB7" w:rsidP="00373BB7">
            <w:pPr>
              <w:jc w:val="center"/>
            </w:pPr>
            <w:r>
              <w:t>Key findings</w:t>
            </w:r>
          </w:p>
        </w:tc>
        <w:tc>
          <w:tcPr>
            <w:tcW w:w="1635"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556"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AC0840">
        <w:tc>
          <w:tcPr>
            <w:tcW w:w="1095"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549"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41" w:type="dxa"/>
          </w:tcPr>
          <w:p w14:paraId="612A9102" w14:textId="2B19A08B" w:rsidR="00373BB7" w:rsidRDefault="00373BB7">
            <w:r>
              <w:t>Experimental: Data and used a quantitative analysis using star formation acceleration (SFA)</w:t>
            </w:r>
          </w:p>
        </w:tc>
        <w:tc>
          <w:tcPr>
            <w:tcW w:w="1640" w:type="dxa"/>
          </w:tcPr>
          <w:p w14:paraId="3909DA29" w14:textId="6B2D9630" w:rsidR="00373BB7" w:rsidRDefault="00373BB7">
            <w:r>
              <w:t xml:space="preserve">That Elliptical galaxies quenched faster than spiral galaxies </w:t>
            </w:r>
          </w:p>
        </w:tc>
        <w:tc>
          <w:tcPr>
            <w:tcW w:w="1635" w:type="dxa"/>
          </w:tcPr>
          <w:p w14:paraId="4A0327F7" w14:textId="0F35A902" w:rsidR="00373BB7" w:rsidRDefault="00373BB7">
            <w:r>
              <w:t xml:space="preserve">Pointed to some likely contenders for mechanics behind the quenching star formation in elliptical galaxies but was not specific. </w:t>
            </w:r>
          </w:p>
        </w:tc>
        <w:tc>
          <w:tcPr>
            <w:tcW w:w="1556"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AC0840">
        <w:tc>
          <w:tcPr>
            <w:tcW w:w="1095"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549"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41"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640"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35"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556"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AC0840">
        <w:tc>
          <w:tcPr>
            <w:tcW w:w="1095"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549" w:type="dxa"/>
          </w:tcPr>
          <w:p w14:paraId="79E21AAB" w14:textId="77777777" w:rsidR="003F5992" w:rsidRDefault="00FC1876" w:rsidP="00373BB7">
            <w:pPr>
              <w:rPr>
                <w:rFonts w:ascii="Aptos Narrow" w:hAnsi="Aptos Narrow"/>
                <w:color w:val="000000"/>
              </w:rPr>
            </w:pPr>
            <w:r>
              <w:rPr>
                <w:rFonts w:ascii="Aptos Narrow" w:hAnsi="Aptos Narrow"/>
                <w:color w:val="000000"/>
              </w:rPr>
              <w:t xml:space="preserve">To fit light curves from 115 objects from the ZTF 2018 sample to a model grid that had various distributions of 56Ni shells with 67 % of them being explained as Chandrasekhar </w:t>
            </w:r>
            <w:r>
              <w:rPr>
                <w:rFonts w:ascii="Aptos Narrow" w:hAnsi="Aptos Narrow"/>
                <w:color w:val="000000"/>
              </w:rPr>
              <w:lastRenderedPageBreak/>
              <w:t xml:space="preserve">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41"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640" w:type="dxa"/>
          </w:tcPr>
          <w:p w14:paraId="4A1F9385" w14:textId="77777777" w:rsidR="00FC1876" w:rsidRDefault="00FC1876">
            <w:r>
              <w:t xml:space="preserve">The supernovas fit to the TURTLS model grid of Chandrasekhar mass explosion with a range of 56 Ni distributions,  masses and explosion energies. With a preference </w:t>
            </w:r>
            <w:r>
              <w:lastRenderedPageBreak/>
              <w:t xml:space="preserve">for extended 56Ni distributions. </w:t>
            </w:r>
          </w:p>
          <w:p w14:paraId="00C69CAF" w14:textId="77777777" w:rsidR="00FC1876" w:rsidRDefault="00FC1876"/>
          <w:p w14:paraId="52144557" w14:textId="1DAA14D7" w:rsidR="003F5992" w:rsidRDefault="00FC1876">
            <w:r>
              <w:t xml:space="preserve">6 early </w:t>
            </w:r>
            <w:proofErr w:type="gramStart"/>
            <w:r>
              <w:t>flux</w:t>
            </w:r>
            <w:proofErr w:type="gramEnd"/>
            <w:r>
              <w:t xml:space="preserve"> excess SNe Ia are identified in the gr band </w:t>
            </w:r>
            <w:proofErr w:type="gramStart"/>
            <w:r>
              <w:t>data</w:t>
            </w:r>
            <w:proofErr w:type="gramEnd"/>
            <w:r>
              <w:t xml:space="preserve">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35"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w:t>
            </w:r>
            <w:r>
              <w:lastRenderedPageBreak/>
              <w:t xml:space="preserve">detection of these SNe so spectroscopic follow up can occur which enables for progenitor mechanics to be thought about. </w:t>
            </w:r>
          </w:p>
        </w:tc>
        <w:tc>
          <w:tcPr>
            <w:tcW w:w="1556"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AC0840">
        <w:tc>
          <w:tcPr>
            <w:tcW w:w="1095"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549"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41"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640"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35" w:type="dxa"/>
          </w:tcPr>
          <w:p w14:paraId="23FB4B52" w14:textId="6609EC8C" w:rsidR="00B00F10" w:rsidRDefault="00E039DE">
            <w:r>
              <w:t xml:space="preserve">Small data issue </w:t>
            </w:r>
            <w:proofErr w:type="gramStart"/>
            <w:r>
              <w:t>seem</w:t>
            </w:r>
            <w:proofErr w:type="gramEnd"/>
            <w:r>
              <w:t xml:space="preserve">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556"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r w:rsidR="006A4966" w14:paraId="4A5B8CC7" w14:textId="77777777" w:rsidTr="00AC0840">
        <w:tc>
          <w:tcPr>
            <w:tcW w:w="1095" w:type="dxa"/>
          </w:tcPr>
          <w:p w14:paraId="1207898B" w14:textId="0C434694" w:rsidR="006A4966" w:rsidRPr="00EA326B" w:rsidRDefault="006A4966" w:rsidP="00EA326B">
            <w:pPr>
              <w:rPr>
                <w:rFonts w:ascii="Aptos Narrow" w:hAnsi="Aptos Narrow"/>
                <w:color w:val="000000"/>
              </w:rPr>
            </w:pPr>
            <w:r w:rsidRPr="006A4966">
              <w:rPr>
                <w:rFonts w:ascii="Aptos Narrow" w:hAnsi="Aptos Narrow"/>
                <w:color w:val="000000"/>
              </w:rPr>
              <w:t>(Srivastav et al., 2023)</w:t>
            </w:r>
          </w:p>
        </w:tc>
        <w:tc>
          <w:tcPr>
            <w:tcW w:w="1549" w:type="dxa"/>
          </w:tcPr>
          <w:p w14:paraId="46346732" w14:textId="2437A450" w:rsidR="006A4966" w:rsidRDefault="006A4966" w:rsidP="00373BB7">
            <w:pPr>
              <w:rPr>
                <w:rFonts w:ascii="Aptos Narrow" w:hAnsi="Aptos Narrow"/>
                <w:color w:val="000000"/>
              </w:rPr>
            </w:pPr>
            <w:r>
              <w:rPr>
                <w:rFonts w:ascii="Aptos Narrow" w:hAnsi="Aptos Narrow"/>
                <w:color w:val="000000"/>
              </w:rPr>
              <w:t xml:space="preserve">Find appropriate constraints using a </w:t>
            </w:r>
            <w:proofErr w:type="spellStart"/>
            <w:r>
              <w:rPr>
                <w:rFonts w:ascii="Aptos Narrow" w:hAnsi="Aptos Narrow"/>
                <w:color w:val="000000"/>
              </w:rPr>
              <w:t>MOSFiT</w:t>
            </w:r>
            <w:proofErr w:type="spellEnd"/>
            <w:r>
              <w:rPr>
                <w:rFonts w:ascii="Aptos Narrow" w:hAnsi="Aptos Narrow"/>
                <w:color w:val="000000"/>
              </w:rPr>
              <w:t xml:space="preserve"> </w:t>
            </w:r>
            <w:r>
              <w:rPr>
                <w:rFonts w:ascii="Aptos Narrow" w:hAnsi="Aptos Narrow"/>
                <w:color w:val="000000"/>
              </w:rPr>
              <w:lastRenderedPageBreak/>
              <w:t xml:space="preserve">model of hybrid 02es-like type Ia supernova to rule out the mechanisms of the explosion. </w:t>
            </w:r>
          </w:p>
        </w:tc>
        <w:tc>
          <w:tcPr>
            <w:tcW w:w="1541" w:type="dxa"/>
          </w:tcPr>
          <w:p w14:paraId="71B2307E" w14:textId="77777777" w:rsidR="006A4966" w:rsidRDefault="006A4966">
            <w:r>
              <w:lastRenderedPageBreak/>
              <w:t>Experimental:</w:t>
            </w:r>
          </w:p>
          <w:p w14:paraId="6367D0DD" w14:textId="21B576D3" w:rsidR="006A4966" w:rsidRDefault="006A4966">
            <w:r>
              <w:t xml:space="preserve">Using photometric and </w:t>
            </w:r>
            <w:r>
              <w:lastRenderedPageBreak/>
              <w:t xml:space="preserve">spectroscopic data fit to a model for transient objects to classify the constraints for these curves to occur. </w:t>
            </w:r>
          </w:p>
        </w:tc>
        <w:tc>
          <w:tcPr>
            <w:tcW w:w="1640" w:type="dxa"/>
          </w:tcPr>
          <w:p w14:paraId="20C4971D" w14:textId="575AEDBB" w:rsidR="006A4966" w:rsidRDefault="006A4966">
            <w:r w:rsidRPr="006A4966">
              <w:lastRenderedPageBreak/>
              <w:t>(Srivastav et al., 2023)</w:t>
            </w:r>
            <w:r>
              <w:t xml:space="preserve"> ruled out ejecta companion </w:t>
            </w:r>
            <w:r>
              <w:lastRenderedPageBreak/>
              <w:t xml:space="preserve">interaction, massive helium shell detonation and 56Ni distribution being drivers of the explosion and emphasised that the most reasonable explanation was the interaction of the SNe with the circumstellar medium. </w:t>
            </w:r>
          </w:p>
        </w:tc>
        <w:tc>
          <w:tcPr>
            <w:tcW w:w="1635" w:type="dxa"/>
          </w:tcPr>
          <w:p w14:paraId="30E5EB6F" w14:textId="0552E0D8" w:rsidR="006A4966" w:rsidRDefault="006A4966">
            <w:r>
              <w:lastRenderedPageBreak/>
              <w:t xml:space="preserve">Limited access to follow up data limited the </w:t>
            </w:r>
            <w:r>
              <w:lastRenderedPageBreak/>
              <w:t xml:space="preserve">ability to place further constraints on the </w:t>
            </w:r>
            <w:proofErr w:type="spellStart"/>
            <w:r>
              <w:t>MOSFiT</w:t>
            </w:r>
            <w:proofErr w:type="spellEnd"/>
            <w:r>
              <w:t xml:space="preserve"> modelling to understand the cause of the circumstellar medium whether it was from tidal tails caused by WD merger event or disk originated matter caused by a disruption to the secondary white dwarf. </w:t>
            </w:r>
          </w:p>
        </w:tc>
        <w:tc>
          <w:tcPr>
            <w:tcW w:w="1556" w:type="dxa"/>
          </w:tcPr>
          <w:p w14:paraId="7F85C821" w14:textId="5F587C17" w:rsidR="006A4966" w:rsidRDefault="0079260C">
            <w:r>
              <w:lastRenderedPageBreak/>
              <w:t xml:space="preserve">As the scope of my project narrows I am looking for </w:t>
            </w:r>
            <w:r>
              <w:lastRenderedPageBreak/>
              <w:t xml:space="preserve">specific supernovae that are interesting to study, 02es types seem to have this early excess bump that I am interested in and this paper will help me in understanding the properties that lead to these early excess’s’. </w:t>
            </w:r>
          </w:p>
        </w:tc>
      </w:tr>
      <w:tr w:rsidR="003524F3" w14:paraId="233B7FD5" w14:textId="77777777" w:rsidTr="00AC0840">
        <w:tc>
          <w:tcPr>
            <w:tcW w:w="1095" w:type="dxa"/>
          </w:tcPr>
          <w:p w14:paraId="788DB950" w14:textId="14384C32" w:rsidR="003524F3" w:rsidRPr="006A4966" w:rsidRDefault="003524F3" w:rsidP="00EA326B">
            <w:pPr>
              <w:rPr>
                <w:rFonts w:ascii="Aptos Narrow" w:hAnsi="Aptos Narrow"/>
                <w:color w:val="000000"/>
              </w:rPr>
            </w:pPr>
            <w:r w:rsidRPr="003524F3">
              <w:rPr>
                <w:rFonts w:ascii="Aptos Narrow" w:hAnsi="Aptos Narrow"/>
                <w:color w:val="000000"/>
              </w:rPr>
              <w:lastRenderedPageBreak/>
              <w:t>(Leoni et al., 2022)</w:t>
            </w:r>
          </w:p>
        </w:tc>
        <w:tc>
          <w:tcPr>
            <w:tcW w:w="1549" w:type="dxa"/>
          </w:tcPr>
          <w:p w14:paraId="700B2BE5" w14:textId="49677D52" w:rsidR="003524F3" w:rsidRDefault="003524F3" w:rsidP="00373BB7">
            <w:pPr>
              <w:rPr>
                <w:rFonts w:ascii="Aptos Narrow" w:hAnsi="Aptos Narrow"/>
                <w:color w:val="000000"/>
              </w:rPr>
            </w:pPr>
            <w:r>
              <w:rPr>
                <w:rFonts w:ascii="Aptos Narrow" w:hAnsi="Aptos Narrow"/>
                <w:color w:val="000000"/>
              </w:rPr>
              <w:t xml:space="preserve">To demonstrate how an active learning loop can be an effective method to sample a new training dataset for a classification model given small validation data. </w:t>
            </w:r>
          </w:p>
        </w:tc>
        <w:tc>
          <w:tcPr>
            <w:tcW w:w="1541" w:type="dxa"/>
          </w:tcPr>
          <w:p w14:paraId="779FE2E7" w14:textId="3834746B" w:rsidR="003524F3" w:rsidRDefault="003524F3">
            <w:r>
              <w:t xml:space="preserve">A pipeline of filtering, feature extraction and then classification to create the sample that the true model will be retrained on. </w:t>
            </w:r>
          </w:p>
        </w:tc>
        <w:tc>
          <w:tcPr>
            <w:tcW w:w="1640" w:type="dxa"/>
          </w:tcPr>
          <w:p w14:paraId="4BD0BBB7" w14:textId="78FCE835" w:rsidR="003524F3" w:rsidRPr="006A4966" w:rsidRDefault="003524F3">
            <w:r>
              <w:t>That an active training regime using uncertainty sampling can be an effective method to create training datasets that can be used to retrain a classification model like that on Fink. This active learning regime achieved a purity of 89 per cent and an efficiency of 54 per cent using uncertainty sampling.</w:t>
            </w:r>
          </w:p>
        </w:tc>
        <w:tc>
          <w:tcPr>
            <w:tcW w:w="1635" w:type="dxa"/>
          </w:tcPr>
          <w:p w14:paraId="21BE48CE" w14:textId="6C1291D3" w:rsidR="003524F3" w:rsidRDefault="003524F3">
            <w:r>
              <w:t xml:space="preserve">Limitations are I think in the classification of other transients as the other classes were broad brushed such as AGN-like and </w:t>
            </w:r>
            <w:proofErr w:type="spellStart"/>
            <w:r>
              <w:t>other_SN</w:t>
            </w:r>
            <w:proofErr w:type="spellEnd"/>
            <w:r>
              <w:t xml:space="preserve"> as well as how this will be effectively implemented into the retraining of the Fink Supernova classification module.</w:t>
            </w:r>
          </w:p>
        </w:tc>
        <w:tc>
          <w:tcPr>
            <w:tcW w:w="1556" w:type="dxa"/>
          </w:tcPr>
          <w:p w14:paraId="1BFBBAD7" w14:textId="4FBDE07D" w:rsidR="003524F3" w:rsidRDefault="003524F3">
            <w:r>
              <w:t xml:space="preserve">This gives me more context to how Fink works when classifying the data that I will be using for my project. I need to be able to understand where the data comes from and how it is processed </w:t>
            </w:r>
            <w:r w:rsidR="006A79A3">
              <w:t>to</w:t>
            </w:r>
            <w:r>
              <w:t xml:space="preserve"> analyse it effectively. </w:t>
            </w:r>
          </w:p>
        </w:tc>
      </w:tr>
      <w:tr w:rsidR="004B0391" w14:paraId="76925C49" w14:textId="77777777" w:rsidTr="00AC0840">
        <w:tc>
          <w:tcPr>
            <w:tcW w:w="1095" w:type="dxa"/>
          </w:tcPr>
          <w:p w14:paraId="191873DA" w14:textId="311E20D0" w:rsidR="004B0391" w:rsidRPr="003524F3" w:rsidRDefault="00730E94" w:rsidP="00EA326B">
            <w:pPr>
              <w:rPr>
                <w:rFonts w:ascii="Aptos Narrow" w:hAnsi="Aptos Narrow"/>
                <w:color w:val="000000"/>
              </w:rPr>
            </w:pPr>
            <w:r w:rsidRPr="00730E94">
              <w:rPr>
                <w:rFonts w:ascii="Aptos Narrow" w:hAnsi="Aptos Narrow"/>
                <w:color w:val="000000"/>
              </w:rPr>
              <w:t>(Anderson et al., 2015)</w:t>
            </w:r>
          </w:p>
        </w:tc>
        <w:tc>
          <w:tcPr>
            <w:tcW w:w="1549" w:type="dxa"/>
          </w:tcPr>
          <w:p w14:paraId="5A212C0A" w14:textId="14BBF66A" w:rsidR="004B0391" w:rsidRDefault="00730E94" w:rsidP="00373BB7">
            <w:pPr>
              <w:rPr>
                <w:rFonts w:ascii="Aptos Narrow" w:hAnsi="Aptos Narrow"/>
                <w:color w:val="000000"/>
              </w:rPr>
            </w:pPr>
            <w:r>
              <w:rPr>
                <w:rFonts w:ascii="Aptos Narrow" w:hAnsi="Aptos Narrow"/>
                <w:color w:val="000000"/>
              </w:rPr>
              <w:t xml:space="preserve">Using different bands flux data for 102 star forming  host galaxies to trace out what </w:t>
            </w:r>
            <w:r>
              <w:rPr>
                <w:rFonts w:ascii="Aptos Narrow" w:hAnsi="Aptos Narrow"/>
                <w:color w:val="000000"/>
              </w:rPr>
              <w:lastRenderedPageBreak/>
              <w:t xml:space="preserve">band types of supernovae are appearing in. This leads to the constraints that can be placed on the time delay distribution between when the explosion happens and what the progenitor was. </w:t>
            </w:r>
          </w:p>
        </w:tc>
        <w:tc>
          <w:tcPr>
            <w:tcW w:w="1541" w:type="dxa"/>
          </w:tcPr>
          <w:p w14:paraId="45A35E2A" w14:textId="78C6EEFE" w:rsidR="004B0391" w:rsidRDefault="00730E94">
            <w:r>
              <w:lastRenderedPageBreak/>
              <w:t xml:space="preserve">Experimental: Fitting supernovas occurring in different bands of light </w:t>
            </w:r>
            <w:r>
              <w:lastRenderedPageBreak/>
              <w:t>from host galaxies using a pixel statistic NCR method. Host galaxies emit light from different parts of the galaxy so finding what band the supernovae are occurring in can find a spatial correlation with the host galaxy.</w:t>
            </w:r>
          </w:p>
        </w:tc>
        <w:tc>
          <w:tcPr>
            <w:tcW w:w="1640" w:type="dxa"/>
          </w:tcPr>
          <w:p w14:paraId="276045A1" w14:textId="60B675D5" w:rsidR="004B0391" w:rsidRDefault="00730E94">
            <w:r>
              <w:lastRenderedPageBreak/>
              <w:t xml:space="preserve">That SNe Ia are occurring in the blue band of these host galaxies which shows </w:t>
            </w:r>
            <w:r>
              <w:lastRenderedPageBreak/>
              <w:t xml:space="preserve">that </w:t>
            </w:r>
            <w:r w:rsidR="004D41E5">
              <w:t xml:space="preserve">the progenitor of the SNe Ia cannot have a </w:t>
            </w:r>
            <w:proofErr w:type="spellStart"/>
            <w:r w:rsidR="004D41E5">
              <w:t>tiem</w:t>
            </w:r>
            <w:proofErr w:type="spellEnd"/>
            <w:r w:rsidR="004D41E5">
              <w:t xml:space="preserve"> delay of less than 100 Myr. Because otherwise you would see the supernovae fitting to the cumulative distribution in the H alpha and UV bands. But they did not fit to these bands.</w:t>
            </w:r>
          </w:p>
        </w:tc>
        <w:tc>
          <w:tcPr>
            <w:tcW w:w="1635" w:type="dxa"/>
          </w:tcPr>
          <w:p w14:paraId="335BF932" w14:textId="0340AF87" w:rsidR="004B0391" w:rsidRDefault="004D41E5">
            <w:r>
              <w:lastRenderedPageBreak/>
              <w:t xml:space="preserve">No consideration of how dust affects results and limited conclusions </w:t>
            </w:r>
            <w:r>
              <w:lastRenderedPageBreak/>
              <w:t xml:space="preserve">on constraints placed on progenitor channels. </w:t>
            </w:r>
          </w:p>
        </w:tc>
        <w:tc>
          <w:tcPr>
            <w:tcW w:w="1556" w:type="dxa"/>
          </w:tcPr>
          <w:p w14:paraId="6A73C67B" w14:textId="20F0F56E" w:rsidR="004B0391" w:rsidRDefault="004D41E5">
            <w:r>
              <w:lastRenderedPageBreak/>
              <w:t xml:space="preserve">This shows how the type of SN that I am searching for is more likely to be </w:t>
            </w:r>
            <w:r>
              <w:lastRenderedPageBreak/>
              <w:t>found in the blue bands of host galaxies, this will be crucial in developing the sample of SNe that I will search for Early Excess SNe in as these Early Execess SNe only occur in type Ias</w:t>
            </w:r>
          </w:p>
        </w:tc>
      </w:tr>
      <w:tr w:rsidR="007718BE" w14:paraId="1EFF1560" w14:textId="77777777" w:rsidTr="00AC0840">
        <w:tc>
          <w:tcPr>
            <w:tcW w:w="1095" w:type="dxa"/>
          </w:tcPr>
          <w:p w14:paraId="706CF4BC" w14:textId="77777777" w:rsidR="007718BE" w:rsidRPr="007718BE" w:rsidRDefault="007718BE" w:rsidP="007718BE">
            <w:pPr>
              <w:rPr>
                <w:rFonts w:ascii="Aptos Narrow" w:hAnsi="Aptos Narrow"/>
                <w:color w:val="000000"/>
              </w:rPr>
            </w:pPr>
            <w:r w:rsidRPr="007718BE">
              <w:rPr>
                <w:rFonts w:ascii="Aptos Narrow" w:hAnsi="Aptos Narrow"/>
                <w:color w:val="000000"/>
              </w:rPr>
              <w:lastRenderedPageBreak/>
              <w:t>(</w:t>
            </w:r>
            <w:proofErr w:type="spellStart"/>
            <w:r w:rsidRPr="007718BE">
              <w:rPr>
                <w:rFonts w:ascii="Aptos Narrow" w:hAnsi="Aptos Narrow"/>
                <w:color w:val="000000"/>
              </w:rPr>
              <w:t>Rigault</w:t>
            </w:r>
            <w:proofErr w:type="spellEnd"/>
            <w:r w:rsidRPr="007718BE">
              <w:rPr>
                <w:rFonts w:ascii="Aptos Narrow" w:hAnsi="Aptos Narrow"/>
                <w:color w:val="000000"/>
              </w:rPr>
              <w:t xml:space="preserve"> et al., 2020)</w:t>
            </w:r>
          </w:p>
          <w:p w14:paraId="2BFAAF37" w14:textId="77777777" w:rsidR="007718BE" w:rsidRPr="00730E94" w:rsidRDefault="007718BE" w:rsidP="00EA326B">
            <w:pPr>
              <w:rPr>
                <w:rFonts w:ascii="Aptos Narrow" w:hAnsi="Aptos Narrow"/>
                <w:color w:val="000000"/>
              </w:rPr>
            </w:pPr>
          </w:p>
        </w:tc>
        <w:tc>
          <w:tcPr>
            <w:tcW w:w="1549" w:type="dxa"/>
          </w:tcPr>
          <w:p w14:paraId="4B208D39" w14:textId="500C0D68" w:rsidR="007718BE" w:rsidRDefault="007718BE" w:rsidP="00373BB7">
            <w:pPr>
              <w:rPr>
                <w:rFonts w:ascii="Aptos Narrow" w:hAnsi="Aptos Narrow"/>
                <w:color w:val="000000"/>
              </w:rPr>
            </w:pPr>
            <w:r>
              <w:rPr>
                <w:rFonts w:ascii="Aptos Narrow" w:hAnsi="Aptos Narrow"/>
                <w:color w:val="000000"/>
              </w:rPr>
              <w:t xml:space="preserve">To demonstrate how the local environment around a star and the age of the progenitor play a greater role in the standardisation of the brightness of the SNe. </w:t>
            </w:r>
          </w:p>
        </w:tc>
        <w:tc>
          <w:tcPr>
            <w:tcW w:w="1541" w:type="dxa"/>
          </w:tcPr>
          <w:p w14:paraId="3AD69F0C" w14:textId="6858986F" w:rsidR="007718BE" w:rsidRDefault="007718BE">
            <w:r>
              <w:t xml:space="preserve">Experimental: Using data from the SDSS and the nearby SN factory using 141 SNe Ia and then categorising the SNe by age and deriving the local specific star formation rate which is the new method used to probe the local environment of these supernovae. </w:t>
            </w:r>
          </w:p>
        </w:tc>
        <w:tc>
          <w:tcPr>
            <w:tcW w:w="1640" w:type="dxa"/>
          </w:tcPr>
          <w:p w14:paraId="56A052F2" w14:textId="6254E591" w:rsidR="007718BE" w:rsidRDefault="007718BE">
            <w:r>
              <w:t xml:space="preserve">The results show that fitting these SNe Ia on plots of colour, stretch and Hubble residuals as a function of the </w:t>
            </w:r>
            <w:proofErr w:type="spellStart"/>
            <w:r>
              <w:t>lsSFR</w:t>
            </w:r>
            <w:proofErr w:type="spellEnd"/>
            <w:r>
              <w:t xml:space="preserve"> shows a correlation with the stretch with a </w:t>
            </w:r>
            <w:proofErr w:type="spellStart"/>
            <w:r>
              <w:t>pearsons</w:t>
            </w:r>
            <w:proofErr w:type="spellEnd"/>
            <w:r>
              <w:t xml:space="preserve"> of -0.48 with a significance of 5 sigma, no correlation with colour </w:t>
            </w:r>
            <w:proofErr w:type="gramStart"/>
            <w:r>
              <w:t>and also</w:t>
            </w:r>
            <w:proofErr w:type="gramEnd"/>
            <w:r>
              <w:t xml:space="preserve"> finding that the mass step discrepancies </w:t>
            </w:r>
            <w:proofErr w:type="gramStart"/>
            <w:r>
              <w:t>appears</w:t>
            </w:r>
            <w:proofErr w:type="gramEnd"/>
            <w:r>
              <w:t xml:space="preserve"> when plotting Hubble residuals as a function of </w:t>
            </w:r>
            <w:proofErr w:type="spellStart"/>
            <w:r>
              <w:t>lsSFR</w:t>
            </w:r>
            <w:proofErr w:type="spellEnd"/>
            <w:r>
              <w:t xml:space="preserve">. Accounting for biases in the </w:t>
            </w:r>
            <w:proofErr w:type="spellStart"/>
            <w:r>
              <w:t>lsSFR</w:t>
            </w:r>
            <w:proofErr w:type="spellEnd"/>
            <w:r>
              <w:t xml:space="preserve"> and </w:t>
            </w:r>
            <w:r w:rsidR="0019663F">
              <w:lastRenderedPageBreak/>
              <w:t xml:space="preserve">global stellar mass biases reduces the mass step by 70 per cent of its original value. Showing that the </w:t>
            </w:r>
            <w:proofErr w:type="spellStart"/>
            <w:r w:rsidR="0019663F">
              <w:t>lsSFR</w:t>
            </w:r>
            <w:proofErr w:type="spellEnd"/>
            <w:r w:rsidR="0019663F">
              <w:t xml:space="preserve"> which points to that this mass step is related to an intrinsic property of the SNe Ia and not something unrelated like the stellar mass of the Host.</w:t>
            </w:r>
          </w:p>
        </w:tc>
        <w:tc>
          <w:tcPr>
            <w:tcW w:w="1635" w:type="dxa"/>
          </w:tcPr>
          <w:p w14:paraId="5F9AE19B" w14:textId="177654D9" w:rsidR="007718BE" w:rsidRDefault="0019663F">
            <w:r>
              <w:lastRenderedPageBreak/>
              <w:t xml:space="preserve">No ties to progenitors of the SNe Ia were mentioned and how the </w:t>
            </w:r>
            <w:proofErr w:type="spellStart"/>
            <w:r>
              <w:t>lsSFR</w:t>
            </w:r>
            <w:proofErr w:type="spellEnd"/>
            <w:r>
              <w:t xml:space="preserve"> could be used in that context, although this paper was determined to demonstrate the effectiveness of reducing the step in the Hubble residuals.</w:t>
            </w:r>
            <w:r w:rsidR="008C22A8">
              <w:t xml:space="preserve"> </w:t>
            </w:r>
            <w:r w:rsidR="008C22A8" w:rsidRPr="008C22A8">
              <w:t>(</w:t>
            </w:r>
            <w:proofErr w:type="spellStart"/>
            <w:r w:rsidR="008C22A8" w:rsidRPr="008C22A8">
              <w:t>Rigault</w:t>
            </w:r>
            <w:proofErr w:type="spellEnd"/>
            <w:r w:rsidR="008C22A8" w:rsidRPr="008C22A8">
              <w:t xml:space="preserve"> et al., 2020)</w:t>
            </w:r>
            <w:r w:rsidR="008C22A8">
              <w:t xml:space="preserve"> </w:t>
            </w:r>
            <w:proofErr w:type="spellStart"/>
            <w:r w:rsidR="008C22A8">
              <w:t>effecitvly</w:t>
            </w:r>
            <w:proofErr w:type="spellEnd"/>
            <w:r w:rsidR="008C22A8">
              <w:t xml:space="preserve"> establishes age as a physical driver that effects the observed mass </w:t>
            </w:r>
            <w:proofErr w:type="gramStart"/>
            <w:r w:rsidR="008C22A8">
              <w:t>step, but</w:t>
            </w:r>
            <w:proofErr w:type="gramEnd"/>
            <w:r w:rsidR="008C22A8">
              <w:t xml:space="preserve"> doesn’t touch on the physical explosion </w:t>
            </w:r>
            <w:r w:rsidR="008C22A8">
              <w:lastRenderedPageBreak/>
              <w:t xml:space="preserve">mechanisms or a physical interpretation. </w:t>
            </w:r>
          </w:p>
        </w:tc>
        <w:tc>
          <w:tcPr>
            <w:tcW w:w="1556" w:type="dxa"/>
          </w:tcPr>
          <w:p w14:paraId="53CDF364" w14:textId="5996896C" w:rsidR="007718BE" w:rsidRDefault="0019663F">
            <w:r>
              <w:lastRenderedPageBreak/>
              <w:t xml:space="preserve">This paper cleared up the calibration process that occurs when analysing the light curve of SNe Ia and how calibration for Ia depends more on the intrinsic properties of the SN and less on the extrinsic properties. Hence the importance to understand the explosion mechanisms despite what the author of the paper suggests. </w:t>
            </w:r>
            <w:proofErr w:type="gramStart"/>
            <w:r w:rsidR="008C22A8">
              <w:t>Specifically</w:t>
            </w:r>
            <w:proofErr w:type="gramEnd"/>
            <w:r w:rsidR="008C22A8">
              <w:t xml:space="preserve"> the use of </w:t>
            </w:r>
            <w:proofErr w:type="spellStart"/>
            <w:r w:rsidR="008C22A8">
              <w:t>lsSFR</w:t>
            </w:r>
            <w:proofErr w:type="spellEnd"/>
            <w:r w:rsidR="008C22A8">
              <w:t xml:space="preserve"> could be used to </w:t>
            </w:r>
            <w:r w:rsidR="008C22A8">
              <w:lastRenderedPageBreak/>
              <w:t xml:space="preserve">distinguish supernovae spatially in my research. </w:t>
            </w:r>
          </w:p>
        </w:tc>
      </w:tr>
      <w:tr w:rsidR="00AC0840" w14:paraId="3E319731" w14:textId="77777777" w:rsidTr="00AC0840">
        <w:tc>
          <w:tcPr>
            <w:tcW w:w="1095" w:type="dxa"/>
          </w:tcPr>
          <w:p w14:paraId="0CA2B8DF" w14:textId="77777777" w:rsidR="00AC0840" w:rsidRPr="00AC0840" w:rsidRDefault="00AC0840" w:rsidP="00AC0840">
            <w:pPr>
              <w:rPr>
                <w:rFonts w:ascii="Aptos Narrow" w:hAnsi="Aptos Narrow"/>
                <w:color w:val="000000"/>
              </w:rPr>
            </w:pPr>
            <w:r w:rsidRPr="00AC0840">
              <w:rPr>
                <w:rFonts w:ascii="Aptos Narrow" w:hAnsi="Aptos Narrow"/>
                <w:color w:val="000000"/>
              </w:rPr>
              <w:lastRenderedPageBreak/>
              <w:t> (Kelsey et al., 2022)</w:t>
            </w:r>
          </w:p>
          <w:p w14:paraId="42106772" w14:textId="77777777" w:rsidR="00AC0840" w:rsidRPr="007718BE" w:rsidRDefault="00AC0840" w:rsidP="007718BE">
            <w:pPr>
              <w:rPr>
                <w:rFonts w:ascii="Aptos Narrow" w:hAnsi="Aptos Narrow"/>
                <w:color w:val="000000"/>
              </w:rPr>
            </w:pPr>
          </w:p>
        </w:tc>
        <w:tc>
          <w:tcPr>
            <w:tcW w:w="1549" w:type="dxa"/>
          </w:tcPr>
          <w:p w14:paraId="0A5D456D" w14:textId="6DA2FF55" w:rsidR="00AC0840" w:rsidRDefault="00AC0840" w:rsidP="00373BB7">
            <w:pPr>
              <w:rPr>
                <w:rFonts w:ascii="Aptos Narrow" w:hAnsi="Aptos Narrow"/>
                <w:color w:val="000000"/>
              </w:rPr>
            </w:pPr>
            <w:r>
              <w:rPr>
                <w:rFonts w:ascii="Aptos Narrow" w:hAnsi="Aptos Narrow"/>
                <w:color w:val="000000"/>
              </w:rPr>
              <w:t xml:space="preserve">Does using the larger data set of 675 photometrically confirmed SNe Ia allow for further constraints placed on the mass step </w:t>
            </w:r>
            <w:proofErr w:type="spellStart"/>
            <w:r>
              <w:rPr>
                <w:rFonts w:ascii="Aptos Narrow" w:hAnsi="Aptos Narrow"/>
                <w:color w:val="000000"/>
              </w:rPr>
              <w:t>hubble</w:t>
            </w:r>
            <w:proofErr w:type="spellEnd"/>
            <w:r>
              <w:rPr>
                <w:rFonts w:ascii="Aptos Narrow" w:hAnsi="Aptos Narrow"/>
                <w:color w:val="000000"/>
              </w:rPr>
              <w:t xml:space="preserve"> residuals.</w:t>
            </w:r>
          </w:p>
        </w:tc>
        <w:tc>
          <w:tcPr>
            <w:tcW w:w="1541" w:type="dxa"/>
          </w:tcPr>
          <w:p w14:paraId="07B6BCF4" w14:textId="77777777" w:rsidR="00AC0840" w:rsidRDefault="00AC0840">
            <w:r>
              <w:t>Experimental:</w:t>
            </w:r>
          </w:p>
          <w:p w14:paraId="373D253D" w14:textId="513E3DD9" w:rsidR="00AC0840" w:rsidRDefault="00AC0840">
            <w:r>
              <w:t xml:space="preserve">Using the SALT2 supernova model and the 675 SNe Ia obtained from the DES SN </w:t>
            </w:r>
            <w:proofErr w:type="gramStart"/>
            <w:r>
              <w:t>5 year</w:t>
            </w:r>
            <w:proofErr w:type="gramEnd"/>
            <w:r>
              <w:t xml:space="preserve"> survey Kelsey et al obtained data and using an approximation of the dust extinction ratio </w:t>
            </w:r>
            <w:r w:rsidR="0083312E">
              <w:t>attempted to constrain the Hubble residual step</w:t>
            </w:r>
          </w:p>
        </w:tc>
        <w:tc>
          <w:tcPr>
            <w:tcW w:w="1640" w:type="dxa"/>
          </w:tcPr>
          <w:p w14:paraId="3FCA694E" w14:textId="3D51FE6A" w:rsidR="00AC0840" w:rsidRDefault="0083312E">
            <w:r>
              <w:t xml:space="preserve">The key results are the homogeneity of the blue Sne Ia that double down and confirm previous findings and correlations with low mass higher SFR locally and blue portions of the galaxies exhibiting more uniform Luminosities. The other results </w:t>
            </w:r>
            <w:proofErr w:type="gramStart"/>
            <w:r>
              <w:t>is</w:t>
            </w:r>
            <w:proofErr w:type="gramEnd"/>
            <w:r>
              <w:t xml:space="preserve"> the reduction of the </w:t>
            </w:r>
            <w:proofErr w:type="spellStart"/>
            <w:r>
              <w:t>hubble</w:t>
            </w:r>
            <w:proofErr w:type="spellEnd"/>
            <w:r>
              <w:t xml:space="preserve"> residual step by fitting for colour dependent relations with the stellar masses and approximating for dust.</w:t>
            </w:r>
          </w:p>
        </w:tc>
        <w:tc>
          <w:tcPr>
            <w:tcW w:w="1635" w:type="dxa"/>
          </w:tcPr>
          <w:p w14:paraId="5336AE80" w14:textId="3B58F0A9" w:rsidR="00AC0840" w:rsidRDefault="0083312E">
            <w:r>
              <w:t xml:space="preserve">The main </w:t>
            </w:r>
            <w:proofErr w:type="gramStart"/>
            <w:r>
              <w:t>limitations</w:t>
            </w:r>
            <w:proofErr w:type="gramEnd"/>
            <w:r>
              <w:t xml:space="preserve"> of this study is the potential contamination of the sample with core collapse supernova which Kelsey discusses and demonstrates that the </w:t>
            </w:r>
            <w:proofErr w:type="gramStart"/>
            <w:r>
              <w:t>affect</w:t>
            </w:r>
            <w:proofErr w:type="gramEnd"/>
            <w:r>
              <w:t xml:space="preserve"> is both negligible by citing the overall contamination rate from the survey and the effects on the residuals when removing outliers. Kelsey et al definition of the local environment of 4 kpc radially is large </w:t>
            </w:r>
            <w:r>
              <w:lastRenderedPageBreak/>
              <w:t>and leaves the local definition vulnerable to contamination from sources that are not representative of the local environment of the object being studied.</w:t>
            </w:r>
          </w:p>
        </w:tc>
        <w:tc>
          <w:tcPr>
            <w:tcW w:w="1556" w:type="dxa"/>
          </w:tcPr>
          <w:p w14:paraId="73D1442E" w14:textId="53F4649E" w:rsidR="00AC0840" w:rsidRDefault="0083312E">
            <w:r>
              <w:lastRenderedPageBreak/>
              <w:t xml:space="preserve">This further developed my understanding on how specific host galaxy properties are correlated to SNe Ia and how they are analysed. It also consolidated what I have learned so far and shows that the mass step doesn’t explain the dispersion and is consistent with other studies on how there is a broader homogeneity across colour despite host mass. </w:t>
            </w:r>
          </w:p>
        </w:tc>
      </w:tr>
      <w:tr w:rsidR="004D4247" w14:paraId="2079D6F3" w14:textId="77777777" w:rsidTr="00AC0840">
        <w:tc>
          <w:tcPr>
            <w:tcW w:w="1095" w:type="dxa"/>
          </w:tcPr>
          <w:p w14:paraId="4A1E62D2" w14:textId="77777777" w:rsidR="004D4247" w:rsidRPr="00AC0840" w:rsidRDefault="004D4247" w:rsidP="00AC0840">
            <w:pPr>
              <w:rPr>
                <w:rFonts w:ascii="Aptos Narrow" w:hAnsi="Aptos Narrow"/>
                <w:color w:val="000000"/>
              </w:rPr>
            </w:pPr>
          </w:p>
        </w:tc>
        <w:tc>
          <w:tcPr>
            <w:tcW w:w="1549" w:type="dxa"/>
          </w:tcPr>
          <w:p w14:paraId="0AC1F306" w14:textId="77777777" w:rsidR="004D4247" w:rsidRDefault="004D4247" w:rsidP="00373BB7">
            <w:pPr>
              <w:rPr>
                <w:rFonts w:ascii="Aptos Narrow" w:hAnsi="Aptos Narrow"/>
                <w:color w:val="000000"/>
              </w:rPr>
            </w:pPr>
          </w:p>
        </w:tc>
        <w:tc>
          <w:tcPr>
            <w:tcW w:w="1541" w:type="dxa"/>
          </w:tcPr>
          <w:p w14:paraId="4D94F3C3" w14:textId="77777777" w:rsidR="004D4247" w:rsidRDefault="004D4247"/>
        </w:tc>
        <w:tc>
          <w:tcPr>
            <w:tcW w:w="1640" w:type="dxa"/>
          </w:tcPr>
          <w:p w14:paraId="66585DB9" w14:textId="77777777" w:rsidR="004D4247" w:rsidRDefault="004D4247"/>
        </w:tc>
        <w:tc>
          <w:tcPr>
            <w:tcW w:w="1635" w:type="dxa"/>
          </w:tcPr>
          <w:p w14:paraId="671072E6" w14:textId="77777777" w:rsidR="004D4247" w:rsidRDefault="004D4247"/>
        </w:tc>
        <w:tc>
          <w:tcPr>
            <w:tcW w:w="1556" w:type="dxa"/>
          </w:tcPr>
          <w:p w14:paraId="7D14C295" w14:textId="77777777" w:rsidR="004D4247" w:rsidRDefault="004D4247"/>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19663F"/>
    <w:rsid w:val="00242CE0"/>
    <w:rsid w:val="002549A2"/>
    <w:rsid w:val="003524F3"/>
    <w:rsid w:val="00373BB7"/>
    <w:rsid w:val="003F5992"/>
    <w:rsid w:val="004074B3"/>
    <w:rsid w:val="004B0391"/>
    <w:rsid w:val="004C7144"/>
    <w:rsid w:val="004D41E5"/>
    <w:rsid w:val="004D4247"/>
    <w:rsid w:val="00665E25"/>
    <w:rsid w:val="006925D1"/>
    <w:rsid w:val="006A4966"/>
    <w:rsid w:val="006A79A3"/>
    <w:rsid w:val="00730E94"/>
    <w:rsid w:val="007718BE"/>
    <w:rsid w:val="0079260C"/>
    <w:rsid w:val="00814A90"/>
    <w:rsid w:val="0083312E"/>
    <w:rsid w:val="008946DA"/>
    <w:rsid w:val="008A1AA5"/>
    <w:rsid w:val="008C22A8"/>
    <w:rsid w:val="008F3FF0"/>
    <w:rsid w:val="00931753"/>
    <w:rsid w:val="009F1DD7"/>
    <w:rsid w:val="00A70273"/>
    <w:rsid w:val="00AA1E57"/>
    <w:rsid w:val="00AC0840"/>
    <w:rsid w:val="00B00F10"/>
    <w:rsid w:val="00C31913"/>
    <w:rsid w:val="00E039DE"/>
    <w:rsid w:val="00EA326B"/>
    <w:rsid w:val="00EB7677"/>
    <w:rsid w:val="00F46EF3"/>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6</Pages>
  <Words>1733</Words>
  <Characters>9879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15</cp:revision>
  <cp:lastPrinted>2026-03-11T05:30:00Z</cp:lastPrinted>
  <dcterms:created xsi:type="dcterms:W3CDTF">2026-02-25T02:25:00Z</dcterms:created>
  <dcterms:modified xsi:type="dcterms:W3CDTF">2026-03-13T07:43:00Z</dcterms:modified>
</cp:coreProperties>
</file>