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59"/>
        <w:gridCol w:w="1536"/>
        <w:gridCol w:w="1553"/>
        <w:gridCol w:w="1653"/>
        <w:gridCol w:w="1647"/>
        <w:gridCol w:w="1568"/>
      </w:tblGrid>
      <w:tr w:rsidR="00242CE0" w14:paraId="733A876F" w14:textId="77777777" w:rsidTr="006A4966">
        <w:tc>
          <w:tcPr>
            <w:tcW w:w="1005" w:type="dxa"/>
          </w:tcPr>
          <w:p w14:paraId="5B0AE078" w14:textId="537D840A" w:rsidR="00373BB7" w:rsidRPr="00373BB7" w:rsidRDefault="00373BB7" w:rsidP="00373BB7">
            <w:pPr>
              <w:jc w:val="center"/>
              <w:rPr>
                <w:rFonts w:ascii="Aptos Narrow" w:hAnsi="Aptos Narrow"/>
                <w:color w:val="000000"/>
              </w:rPr>
            </w:pPr>
            <w:r>
              <w:rPr>
                <w:rFonts w:ascii="Aptos Narrow" w:hAnsi="Aptos Narrow"/>
                <w:color w:val="000000"/>
              </w:rPr>
              <w:t>Citation (APA)</w:t>
            </w:r>
          </w:p>
        </w:tc>
        <w:tc>
          <w:tcPr>
            <w:tcW w:w="1557" w:type="dxa"/>
          </w:tcPr>
          <w:p w14:paraId="4B524684" w14:textId="514E8C77" w:rsidR="00373BB7" w:rsidRPr="00373BB7" w:rsidRDefault="00373BB7" w:rsidP="00373BB7">
            <w:pPr>
              <w:jc w:val="center"/>
              <w:rPr>
                <w:rFonts w:ascii="Aptos Narrow" w:hAnsi="Aptos Narrow"/>
                <w:color w:val="000000"/>
              </w:rPr>
            </w:pPr>
            <w:r>
              <w:rPr>
                <w:rFonts w:ascii="Aptos Narrow" w:hAnsi="Aptos Narrow"/>
                <w:color w:val="000000"/>
              </w:rPr>
              <w:t>Research Question</w:t>
            </w:r>
          </w:p>
        </w:tc>
        <w:tc>
          <w:tcPr>
            <w:tcW w:w="1534" w:type="dxa"/>
          </w:tcPr>
          <w:p w14:paraId="37A53E30" w14:textId="77777777" w:rsidR="00373BB7" w:rsidRDefault="00373BB7" w:rsidP="00373BB7">
            <w:pPr>
              <w:jc w:val="center"/>
              <w:rPr>
                <w:rFonts w:ascii="Aptos Narrow" w:hAnsi="Aptos Narrow"/>
                <w:color w:val="000000"/>
              </w:rPr>
            </w:pPr>
            <w:r>
              <w:rPr>
                <w:rFonts w:ascii="Aptos Narrow" w:hAnsi="Aptos Narrow"/>
                <w:color w:val="000000"/>
              </w:rPr>
              <w:t>Methodology</w:t>
            </w:r>
          </w:p>
          <w:p w14:paraId="2E681783" w14:textId="77777777" w:rsidR="00373BB7" w:rsidRDefault="00373BB7" w:rsidP="00373BB7">
            <w:pPr>
              <w:jc w:val="center"/>
            </w:pPr>
          </w:p>
        </w:tc>
        <w:tc>
          <w:tcPr>
            <w:tcW w:w="1676" w:type="dxa"/>
          </w:tcPr>
          <w:p w14:paraId="6A5AC318" w14:textId="0465376B" w:rsidR="00373BB7" w:rsidRDefault="00373BB7" w:rsidP="00373BB7">
            <w:pPr>
              <w:jc w:val="center"/>
            </w:pPr>
            <w:r>
              <w:t>Key findings</w:t>
            </w:r>
          </w:p>
        </w:tc>
        <w:tc>
          <w:tcPr>
            <w:tcW w:w="1670" w:type="dxa"/>
          </w:tcPr>
          <w:p w14:paraId="3AE2A632" w14:textId="77777777" w:rsidR="00373BB7" w:rsidRDefault="00373BB7" w:rsidP="00373BB7">
            <w:pPr>
              <w:jc w:val="center"/>
              <w:rPr>
                <w:rFonts w:ascii="Aptos Narrow" w:hAnsi="Aptos Narrow"/>
                <w:color w:val="000000"/>
              </w:rPr>
            </w:pPr>
            <w:r>
              <w:rPr>
                <w:rFonts w:ascii="Aptos Narrow" w:hAnsi="Aptos Narrow"/>
                <w:color w:val="000000"/>
              </w:rPr>
              <w:t>Gaps/limitations</w:t>
            </w:r>
          </w:p>
          <w:p w14:paraId="36FB6D00" w14:textId="77777777" w:rsidR="00373BB7" w:rsidRDefault="00373BB7" w:rsidP="00373BB7">
            <w:pPr>
              <w:jc w:val="center"/>
            </w:pPr>
          </w:p>
        </w:tc>
        <w:tc>
          <w:tcPr>
            <w:tcW w:w="1574" w:type="dxa"/>
          </w:tcPr>
          <w:p w14:paraId="56886F6B" w14:textId="77777777" w:rsidR="00373BB7" w:rsidRDefault="00373BB7" w:rsidP="00373BB7">
            <w:pPr>
              <w:jc w:val="center"/>
              <w:rPr>
                <w:rFonts w:ascii="Aptos Narrow" w:hAnsi="Aptos Narrow"/>
                <w:color w:val="000000"/>
              </w:rPr>
            </w:pPr>
            <w:r>
              <w:rPr>
                <w:rFonts w:ascii="Aptos Narrow" w:hAnsi="Aptos Narrow"/>
                <w:color w:val="000000"/>
              </w:rPr>
              <w:t>Relevance to my project</w:t>
            </w:r>
          </w:p>
          <w:p w14:paraId="66916773" w14:textId="77777777" w:rsidR="00373BB7" w:rsidRDefault="00373BB7" w:rsidP="00373BB7">
            <w:pPr>
              <w:jc w:val="center"/>
            </w:pPr>
          </w:p>
        </w:tc>
      </w:tr>
      <w:tr w:rsidR="00242CE0" w14:paraId="6F663746" w14:textId="77777777" w:rsidTr="006A4966">
        <w:tc>
          <w:tcPr>
            <w:tcW w:w="1005" w:type="dxa"/>
          </w:tcPr>
          <w:p w14:paraId="67C9FF89" w14:textId="77777777" w:rsidR="00373BB7" w:rsidRDefault="00373BB7" w:rsidP="00373BB7">
            <w:pPr>
              <w:rPr>
                <w:rFonts w:ascii="Aptos Narrow" w:hAnsi="Aptos Narrow"/>
                <w:color w:val="000000"/>
              </w:rPr>
            </w:pPr>
            <w:r>
              <w:rPr>
                <w:rFonts w:ascii="Aptos Narrow" w:hAnsi="Aptos Narrow"/>
                <w:color w:val="000000"/>
              </w:rPr>
              <w:t>(de Sá-Freitas et al., 2021)</w:t>
            </w:r>
          </w:p>
          <w:p w14:paraId="276A934E" w14:textId="77777777" w:rsidR="00373BB7" w:rsidRDefault="00373BB7"/>
        </w:tc>
        <w:tc>
          <w:tcPr>
            <w:tcW w:w="1557" w:type="dxa"/>
          </w:tcPr>
          <w:p w14:paraId="368E1EE2" w14:textId="77777777" w:rsidR="00373BB7" w:rsidRDefault="00373BB7" w:rsidP="00373BB7">
            <w:pPr>
              <w:rPr>
                <w:rFonts w:ascii="Aptos Narrow" w:hAnsi="Aptos Narrow"/>
                <w:color w:val="000000"/>
              </w:rPr>
            </w:pPr>
            <w:r>
              <w:rPr>
                <w:rFonts w:ascii="Aptos Narrow" w:hAnsi="Aptos Narrow"/>
                <w:color w:val="000000"/>
              </w:rPr>
              <w:t>To determine the correlation between star formation rates and galaxy morphology</w:t>
            </w:r>
          </w:p>
          <w:p w14:paraId="3EA1D30E" w14:textId="77777777" w:rsidR="00373BB7" w:rsidRDefault="00373BB7"/>
        </w:tc>
        <w:tc>
          <w:tcPr>
            <w:tcW w:w="1534" w:type="dxa"/>
          </w:tcPr>
          <w:p w14:paraId="612A9102" w14:textId="2B19A08B" w:rsidR="00373BB7" w:rsidRDefault="00373BB7">
            <w:r>
              <w:t>Experimental: Data and used a quantitative analysis using star formation acceleration (SFA)</w:t>
            </w:r>
          </w:p>
        </w:tc>
        <w:tc>
          <w:tcPr>
            <w:tcW w:w="1676" w:type="dxa"/>
          </w:tcPr>
          <w:p w14:paraId="3909DA29" w14:textId="6B2D9630" w:rsidR="00373BB7" w:rsidRDefault="00373BB7">
            <w:r>
              <w:t xml:space="preserve">That Elliptical galaxies quenched faster than spiral galaxies </w:t>
            </w:r>
          </w:p>
        </w:tc>
        <w:tc>
          <w:tcPr>
            <w:tcW w:w="1670" w:type="dxa"/>
          </w:tcPr>
          <w:p w14:paraId="4A0327F7" w14:textId="0F35A902" w:rsidR="00373BB7" w:rsidRDefault="00373BB7">
            <w:r>
              <w:t xml:space="preserve">Pointed to some likely contenders for mechanics behind the quenching star formation in elliptical galaxies but was not specific. </w:t>
            </w:r>
          </w:p>
        </w:tc>
        <w:tc>
          <w:tcPr>
            <w:tcW w:w="1574" w:type="dxa"/>
          </w:tcPr>
          <w:p w14:paraId="76211D19" w14:textId="18FF3625" w:rsidR="00373BB7" w:rsidRDefault="00373BB7">
            <w:r>
              <w:t>Could find a potential link between supernovas in elliptical host galaxies and location. Provide more evidence to the mechanics of galaxy evolution.</w:t>
            </w:r>
          </w:p>
        </w:tc>
      </w:tr>
      <w:tr w:rsidR="00373BB7" w14:paraId="04B26E6D" w14:textId="77777777" w:rsidTr="006A4966">
        <w:tc>
          <w:tcPr>
            <w:tcW w:w="1005" w:type="dxa"/>
          </w:tcPr>
          <w:p w14:paraId="1017029E" w14:textId="0432DD95" w:rsidR="00373BB7" w:rsidRDefault="00373BB7" w:rsidP="00373BB7">
            <w:pPr>
              <w:rPr>
                <w:rFonts w:ascii="Aptos Narrow" w:hAnsi="Aptos Narrow"/>
                <w:color w:val="000000"/>
              </w:rPr>
            </w:pPr>
            <w:r w:rsidRPr="00373BB7">
              <w:rPr>
                <w:rFonts w:ascii="Aptos Narrow" w:hAnsi="Aptos Narrow"/>
                <w:color w:val="000000"/>
              </w:rPr>
              <w:t>(Möller et al., 2021)</w:t>
            </w:r>
          </w:p>
        </w:tc>
        <w:tc>
          <w:tcPr>
            <w:tcW w:w="1557" w:type="dxa"/>
          </w:tcPr>
          <w:p w14:paraId="5DCC25F6" w14:textId="2CC42825" w:rsidR="00373BB7" w:rsidRDefault="00373BB7" w:rsidP="00373BB7">
            <w:pPr>
              <w:rPr>
                <w:rFonts w:ascii="Aptos Narrow" w:hAnsi="Aptos Narrow"/>
                <w:color w:val="000000"/>
              </w:rPr>
            </w:pPr>
            <w:r>
              <w:rPr>
                <w:rFonts w:ascii="Aptos Narrow" w:hAnsi="Aptos Narrow"/>
                <w:color w:val="000000"/>
              </w:rPr>
              <w:t>To develop a broker that can provide a steady access to ZTF and LSST data that has been pre-processed and classified, streamlining analysis.</w:t>
            </w:r>
          </w:p>
        </w:tc>
        <w:tc>
          <w:tcPr>
            <w:tcW w:w="1534" w:type="dxa"/>
          </w:tcPr>
          <w:p w14:paraId="7BD941E7" w14:textId="2F5049A1" w:rsidR="00373BB7" w:rsidRDefault="00373BB7">
            <w:r>
              <w:t xml:space="preserve">Experimental: Data is ingested from telescope streams and stored on machine disks, </w:t>
            </w:r>
            <w:r w:rsidR="00242CE0">
              <w:t xml:space="preserve">data is passed through science modules which do filtering and classification and matching. </w:t>
            </w:r>
          </w:p>
        </w:tc>
        <w:tc>
          <w:tcPr>
            <w:tcW w:w="1676" w:type="dxa"/>
          </w:tcPr>
          <w:p w14:paraId="58C23E91" w14:textId="4558A55F" w:rsidR="00373BB7" w:rsidRDefault="00242CE0">
            <w:r>
              <w:t xml:space="preserve">Fink allows for easier follow up on transient objects such as supernova, microlensing events and gamma ray burst due to its rapid processing and classification of data from other telescopes. </w:t>
            </w:r>
          </w:p>
        </w:tc>
        <w:tc>
          <w:tcPr>
            <w:tcW w:w="1670" w:type="dxa"/>
          </w:tcPr>
          <w:p w14:paraId="2EE72010" w14:textId="68036FED" w:rsidR="00373BB7" w:rsidRDefault="00242CE0">
            <w:r>
              <w:t>Technical paper, beyond my scope of understanding the technical proceedings. A gap and or limitation for Fink is the science modules and filters only working for certain objects and the machine learning models performing poorly.</w:t>
            </w:r>
          </w:p>
        </w:tc>
        <w:tc>
          <w:tcPr>
            <w:tcW w:w="1574" w:type="dxa"/>
          </w:tcPr>
          <w:p w14:paraId="73C5C20D" w14:textId="323507CD" w:rsidR="00373BB7" w:rsidRDefault="00242CE0">
            <w:r>
              <w:t>I will use this broker to access LSST data to find the correlation between the supernova position and the properties of the host galaxy. It is important that I understand some of the technical side and it help contextualise the main tool of my project.</w:t>
            </w:r>
          </w:p>
        </w:tc>
      </w:tr>
      <w:tr w:rsidR="003F5992" w14:paraId="1AE7D1D9" w14:textId="77777777" w:rsidTr="006A4966">
        <w:tc>
          <w:tcPr>
            <w:tcW w:w="1005" w:type="dxa"/>
          </w:tcPr>
          <w:p w14:paraId="3B7EAB32" w14:textId="09E6435F" w:rsidR="003F5992" w:rsidRPr="00373BB7" w:rsidRDefault="00FC1876" w:rsidP="00373BB7">
            <w:pPr>
              <w:rPr>
                <w:rFonts w:ascii="Aptos Narrow" w:hAnsi="Aptos Narrow"/>
                <w:color w:val="000000"/>
              </w:rPr>
            </w:pPr>
            <w:r w:rsidRPr="00FC1876">
              <w:rPr>
                <w:rFonts w:ascii="Aptos Narrow" w:hAnsi="Aptos Narrow"/>
                <w:color w:val="000000"/>
              </w:rPr>
              <w:t>(Deckers et al., 2022)</w:t>
            </w:r>
          </w:p>
        </w:tc>
        <w:tc>
          <w:tcPr>
            <w:tcW w:w="1557" w:type="dxa"/>
          </w:tcPr>
          <w:p w14:paraId="79E21AAB" w14:textId="77777777" w:rsidR="003F5992" w:rsidRDefault="00FC1876" w:rsidP="00373BB7">
            <w:pPr>
              <w:rPr>
                <w:rFonts w:ascii="Aptos Narrow" w:hAnsi="Aptos Narrow"/>
                <w:color w:val="000000"/>
              </w:rPr>
            </w:pPr>
            <w:r>
              <w:rPr>
                <w:rFonts w:ascii="Aptos Narrow" w:hAnsi="Aptos Narrow"/>
                <w:color w:val="000000"/>
              </w:rPr>
              <w:t>To fit light curves from 115 objects from the ZTF 2018 sample to a model grid that had various distributions of 56Ni shells with 67 % of them being explained as Chandrasekha</w:t>
            </w:r>
            <w:r>
              <w:rPr>
                <w:rFonts w:ascii="Aptos Narrow" w:hAnsi="Aptos Narrow"/>
                <w:color w:val="000000"/>
              </w:rPr>
              <w:lastRenderedPageBreak/>
              <w:t xml:space="preserve">r mass explosions. </w:t>
            </w:r>
          </w:p>
          <w:p w14:paraId="397A2D3F" w14:textId="77777777" w:rsidR="00FC1876" w:rsidRDefault="00FC1876" w:rsidP="00373BB7">
            <w:pPr>
              <w:rPr>
                <w:rFonts w:ascii="Aptos Narrow" w:hAnsi="Aptos Narrow"/>
                <w:color w:val="000000"/>
              </w:rPr>
            </w:pPr>
          </w:p>
          <w:p w14:paraId="057A6985" w14:textId="5BA236E2" w:rsidR="00FC1876" w:rsidRDefault="00FC1876" w:rsidP="00373BB7">
            <w:pPr>
              <w:rPr>
                <w:rFonts w:ascii="Aptos Narrow" w:hAnsi="Aptos Narrow"/>
                <w:color w:val="000000"/>
              </w:rPr>
            </w:pPr>
            <w:r>
              <w:rPr>
                <w:rFonts w:ascii="Aptos Narrow" w:hAnsi="Aptos Narrow"/>
                <w:color w:val="000000"/>
              </w:rPr>
              <w:t xml:space="preserve">Also attempted to explain the early excess fluxes appearing in 6 SNe  Ia by using the colours (g and r bands) and the lifetimes as explained by companion, CSM and 56Ni clump models.  </w:t>
            </w:r>
          </w:p>
        </w:tc>
        <w:tc>
          <w:tcPr>
            <w:tcW w:w="1534" w:type="dxa"/>
          </w:tcPr>
          <w:p w14:paraId="442ECA50" w14:textId="4B994222" w:rsidR="003F5992" w:rsidRDefault="00FC1876">
            <w:r>
              <w:lastRenderedPageBreak/>
              <w:t xml:space="preserve">Fitting experimental data from ZTF 2018 sample to the TURTLS model grid and attempting to constrain parameters to match light curves in the g and r band. </w:t>
            </w:r>
          </w:p>
        </w:tc>
        <w:tc>
          <w:tcPr>
            <w:tcW w:w="1676" w:type="dxa"/>
          </w:tcPr>
          <w:p w14:paraId="4A1F9385" w14:textId="77777777" w:rsidR="00FC1876" w:rsidRDefault="00FC1876">
            <w:r>
              <w:t xml:space="preserve">The supernovas fit to the TURTLS model grid of Chandrasekhar mass explosion with a range of 56 Ni distributions,  masses and explosion energies. With a preference </w:t>
            </w:r>
            <w:r>
              <w:lastRenderedPageBreak/>
              <w:t xml:space="preserve">for extended 56Ni distributions. </w:t>
            </w:r>
          </w:p>
          <w:p w14:paraId="00C69CAF" w14:textId="77777777" w:rsidR="00FC1876" w:rsidRDefault="00FC1876"/>
          <w:p w14:paraId="52144557" w14:textId="1DAA14D7" w:rsidR="003F5992" w:rsidRDefault="00FC1876">
            <w:r>
              <w:t xml:space="preserve">6 early flux excess SNe Ia are identified in the gr band data and they find with 18+-11 % </w:t>
            </w:r>
            <w:r w:rsidR="00B00F10">
              <w:t xml:space="preserve">of finding early flux excess SNe Ia at z &lt; 0.07 and a correlation with lower galaxy mass but this was not statistically significant due to a lack of data. </w:t>
            </w:r>
            <w:r>
              <w:t xml:space="preserve"> </w:t>
            </w:r>
          </w:p>
        </w:tc>
        <w:tc>
          <w:tcPr>
            <w:tcW w:w="1670" w:type="dxa"/>
          </w:tcPr>
          <w:p w14:paraId="08A00CA6" w14:textId="77777777" w:rsidR="00B00F10" w:rsidRDefault="00B00F10">
            <w:r>
              <w:lastRenderedPageBreak/>
              <w:t>Lacking data specifically for the early flux excess SNe Ia to make conclusions regarding correlations about detection efficiencies.</w:t>
            </w:r>
          </w:p>
          <w:p w14:paraId="6EB4F21F" w14:textId="182C7268" w:rsidR="003F5992" w:rsidRDefault="00B00F10">
            <w:r>
              <w:t xml:space="preserve">Encourages the use of rapid </w:t>
            </w:r>
            <w:r>
              <w:lastRenderedPageBreak/>
              <w:t xml:space="preserve">detection of these SNe so spectroscopic follow up can occur which enables for progenitor mechanics to be thought about. </w:t>
            </w:r>
          </w:p>
        </w:tc>
        <w:tc>
          <w:tcPr>
            <w:tcW w:w="1574" w:type="dxa"/>
          </w:tcPr>
          <w:p w14:paraId="2EB96F19" w14:textId="0D636ACA" w:rsidR="003F5992" w:rsidRDefault="00B00F10">
            <w:r>
              <w:lastRenderedPageBreak/>
              <w:t xml:space="preserve">I suspect Anais will ask me to focus on the early excess SNe Ia light curves as Rubin LSST will collect a lot of data with potentially more of these being found and </w:t>
            </w:r>
            <w:r>
              <w:lastRenderedPageBreak/>
              <w:t xml:space="preserve">supported by follow up spectroscopic observation. This will help greatly in the identification of the specific type of supernova and eventually I will investigate host properties of the galaxies with these supernovae. </w:t>
            </w:r>
          </w:p>
        </w:tc>
      </w:tr>
      <w:tr w:rsidR="00B00F10" w14:paraId="680364BB" w14:textId="77777777" w:rsidTr="006A4966">
        <w:tc>
          <w:tcPr>
            <w:tcW w:w="1005" w:type="dxa"/>
          </w:tcPr>
          <w:p w14:paraId="5B9476F4" w14:textId="77777777" w:rsidR="00EA326B" w:rsidRPr="00EA326B" w:rsidRDefault="00EA326B" w:rsidP="00EA326B">
            <w:pPr>
              <w:rPr>
                <w:rFonts w:ascii="Aptos Narrow" w:hAnsi="Aptos Narrow"/>
                <w:color w:val="000000"/>
              </w:rPr>
            </w:pPr>
            <w:r w:rsidRPr="00EA326B">
              <w:rPr>
                <w:rFonts w:ascii="Aptos Narrow" w:hAnsi="Aptos Narrow"/>
                <w:color w:val="000000"/>
              </w:rPr>
              <w:lastRenderedPageBreak/>
              <w:t>Ramaiya et al., 2025</w:t>
            </w:r>
          </w:p>
          <w:p w14:paraId="4E780637" w14:textId="77777777" w:rsidR="00B00F10" w:rsidRPr="00FC1876" w:rsidRDefault="00B00F10" w:rsidP="00373BB7">
            <w:pPr>
              <w:rPr>
                <w:rFonts w:ascii="Aptos Narrow" w:hAnsi="Aptos Narrow"/>
                <w:color w:val="000000"/>
              </w:rPr>
            </w:pPr>
          </w:p>
        </w:tc>
        <w:tc>
          <w:tcPr>
            <w:tcW w:w="1557" w:type="dxa"/>
          </w:tcPr>
          <w:p w14:paraId="6D9352B4" w14:textId="11C397F9" w:rsidR="00B00F10" w:rsidRDefault="00EA326B" w:rsidP="00373BB7">
            <w:pPr>
              <w:rPr>
                <w:rFonts w:ascii="Aptos Narrow" w:hAnsi="Aptos Narrow"/>
                <w:color w:val="000000"/>
              </w:rPr>
            </w:pPr>
            <w:r>
              <w:rPr>
                <w:rFonts w:ascii="Aptos Narrow" w:hAnsi="Aptos Narrow"/>
                <w:color w:val="000000"/>
              </w:rPr>
              <w:t xml:space="preserve">Finding possible explanations to the colour – luminosity relation of SNe Ia with host galaxy properties. </w:t>
            </w:r>
          </w:p>
        </w:tc>
        <w:tc>
          <w:tcPr>
            <w:tcW w:w="1534" w:type="dxa"/>
          </w:tcPr>
          <w:p w14:paraId="39C8112C" w14:textId="77777777" w:rsidR="00B00F10" w:rsidRDefault="00EA326B">
            <w:r>
              <w:t>Experimental:</w:t>
            </w:r>
          </w:p>
          <w:p w14:paraId="47D8C4B7" w14:textId="6CFA99AF" w:rsidR="00EA326B" w:rsidRDefault="00EA326B">
            <w:r>
              <w:t xml:space="preserve">Used data for SNe Ia from DES and host galaxy data from a variety of telescopes and then plotting the SFR against the stellar mass </w:t>
            </w:r>
            <w:r w:rsidR="00E039DE">
              <w:t xml:space="preserve">with the reddening of the host galaxy as well as splitting it into three regions of high mass bursting, low mass bursting and high mass passive galaxies. </w:t>
            </w:r>
          </w:p>
        </w:tc>
        <w:tc>
          <w:tcPr>
            <w:tcW w:w="1676" w:type="dxa"/>
          </w:tcPr>
          <w:p w14:paraId="61FF8E19" w14:textId="23FB62E6" w:rsidR="00B00F10" w:rsidRDefault="00E039DE">
            <w:r>
              <w:t xml:space="preserve">That the slope of the SN colour luminosity relation is dependent of the region of the SFR vs Stellar mass plot based on the galaxy properties. As well as that SNe Ia are 0.07 to 0.11 mag brighter in High mass passive galaxies. </w:t>
            </w:r>
          </w:p>
        </w:tc>
        <w:tc>
          <w:tcPr>
            <w:tcW w:w="1670" w:type="dxa"/>
          </w:tcPr>
          <w:p w14:paraId="23FB4B52" w14:textId="6609EC8C" w:rsidR="00B00F10" w:rsidRDefault="00E039DE">
            <w:r>
              <w:t xml:space="preserve">Small data issue seem to plague these studies as well as the methods used to determine the host galaxies of the SNe, although I didn’t read too deeply into methods. The paper specifically mentioned the relevance of the LSST using Rubin due to the large amounts of SNe that it’s expected to discover. </w:t>
            </w:r>
          </w:p>
        </w:tc>
        <w:tc>
          <w:tcPr>
            <w:tcW w:w="1574" w:type="dxa"/>
          </w:tcPr>
          <w:p w14:paraId="7A855463" w14:textId="3145532B" w:rsidR="00B00F10" w:rsidRDefault="00E039DE">
            <w:r>
              <w:t xml:space="preserve">Literally is a study that I can use numbers and values from to compare to my research to understand my own results and how it fits into the context of the current research and literature. I suspect this will be one I return to. </w:t>
            </w:r>
          </w:p>
        </w:tc>
      </w:tr>
      <w:tr w:rsidR="006A4966" w14:paraId="4A5B8CC7" w14:textId="77777777" w:rsidTr="006A4966">
        <w:tc>
          <w:tcPr>
            <w:tcW w:w="1005" w:type="dxa"/>
          </w:tcPr>
          <w:p w14:paraId="1207898B" w14:textId="0C434694" w:rsidR="006A4966" w:rsidRPr="00EA326B" w:rsidRDefault="006A4966" w:rsidP="00EA326B">
            <w:pPr>
              <w:rPr>
                <w:rFonts w:ascii="Aptos Narrow" w:hAnsi="Aptos Narrow"/>
                <w:color w:val="000000"/>
              </w:rPr>
            </w:pPr>
            <w:r w:rsidRPr="006A4966">
              <w:rPr>
                <w:rFonts w:ascii="Aptos Narrow" w:hAnsi="Aptos Narrow"/>
                <w:color w:val="000000"/>
              </w:rPr>
              <w:t>(Srivastav et al., 2023)</w:t>
            </w:r>
          </w:p>
        </w:tc>
        <w:tc>
          <w:tcPr>
            <w:tcW w:w="1557" w:type="dxa"/>
          </w:tcPr>
          <w:p w14:paraId="46346732" w14:textId="2437A450" w:rsidR="006A4966" w:rsidRDefault="006A4966" w:rsidP="00373BB7">
            <w:pPr>
              <w:rPr>
                <w:rFonts w:ascii="Aptos Narrow" w:hAnsi="Aptos Narrow"/>
                <w:color w:val="000000"/>
              </w:rPr>
            </w:pPr>
            <w:r>
              <w:rPr>
                <w:rFonts w:ascii="Aptos Narrow" w:hAnsi="Aptos Narrow"/>
                <w:color w:val="000000"/>
              </w:rPr>
              <w:t xml:space="preserve">Find appropriate constraints using a </w:t>
            </w:r>
            <w:proofErr w:type="spellStart"/>
            <w:r>
              <w:rPr>
                <w:rFonts w:ascii="Aptos Narrow" w:hAnsi="Aptos Narrow"/>
                <w:color w:val="000000"/>
              </w:rPr>
              <w:lastRenderedPageBreak/>
              <w:t>MOSFiT</w:t>
            </w:r>
            <w:proofErr w:type="spellEnd"/>
            <w:r>
              <w:rPr>
                <w:rFonts w:ascii="Aptos Narrow" w:hAnsi="Aptos Narrow"/>
                <w:color w:val="000000"/>
              </w:rPr>
              <w:t xml:space="preserve"> model of hybrid 02es-like type Ia supernova to rule out the mechanisms of the explosion. </w:t>
            </w:r>
          </w:p>
        </w:tc>
        <w:tc>
          <w:tcPr>
            <w:tcW w:w="1534" w:type="dxa"/>
          </w:tcPr>
          <w:p w14:paraId="71B2307E" w14:textId="77777777" w:rsidR="006A4966" w:rsidRDefault="006A4966">
            <w:r>
              <w:lastRenderedPageBreak/>
              <w:t>Experimental:</w:t>
            </w:r>
          </w:p>
          <w:p w14:paraId="6367D0DD" w14:textId="21B576D3" w:rsidR="006A4966" w:rsidRDefault="006A4966">
            <w:r>
              <w:t xml:space="preserve">Using photometric and </w:t>
            </w:r>
            <w:r>
              <w:lastRenderedPageBreak/>
              <w:t xml:space="preserve">spectroscopic data fit to a model for transient objects to classify the constraints for these curves to occur. </w:t>
            </w:r>
          </w:p>
        </w:tc>
        <w:tc>
          <w:tcPr>
            <w:tcW w:w="1676" w:type="dxa"/>
          </w:tcPr>
          <w:p w14:paraId="20C4971D" w14:textId="575AEDBB" w:rsidR="006A4966" w:rsidRDefault="006A4966">
            <w:r w:rsidRPr="006A4966">
              <w:lastRenderedPageBreak/>
              <w:t>(Srivastav et al., 2023)</w:t>
            </w:r>
            <w:r>
              <w:t xml:space="preserve"> ruled out ejecta companion </w:t>
            </w:r>
            <w:r>
              <w:lastRenderedPageBreak/>
              <w:t xml:space="preserve">interaction, massive helium shell detonation and 56Ni distribution being drivers of the explosion and emphasised that the most reasonable explanation was the interaction of the SNe with the circumstellar medium. </w:t>
            </w:r>
          </w:p>
        </w:tc>
        <w:tc>
          <w:tcPr>
            <w:tcW w:w="1670" w:type="dxa"/>
          </w:tcPr>
          <w:p w14:paraId="30E5EB6F" w14:textId="0552E0D8" w:rsidR="006A4966" w:rsidRDefault="006A4966">
            <w:r>
              <w:lastRenderedPageBreak/>
              <w:t xml:space="preserve">Limited access to follow up data limited the ability to </w:t>
            </w:r>
            <w:r>
              <w:lastRenderedPageBreak/>
              <w:t xml:space="preserve">place further constraints on the </w:t>
            </w:r>
            <w:proofErr w:type="spellStart"/>
            <w:r>
              <w:t>MOSFiT</w:t>
            </w:r>
            <w:proofErr w:type="spellEnd"/>
            <w:r>
              <w:t xml:space="preserve"> modelling to understand the cause of the circumstellar medium whether it was from tidal tails caused by WD merger event or disk originated matter caused by a disruption to the secondary white dwarf. </w:t>
            </w:r>
          </w:p>
        </w:tc>
        <w:tc>
          <w:tcPr>
            <w:tcW w:w="1574" w:type="dxa"/>
          </w:tcPr>
          <w:p w14:paraId="7F85C821" w14:textId="5F587C17" w:rsidR="006A4966" w:rsidRDefault="0079260C">
            <w:r>
              <w:lastRenderedPageBreak/>
              <w:t xml:space="preserve">As the scope of my project narrows I am looking for </w:t>
            </w:r>
            <w:r>
              <w:lastRenderedPageBreak/>
              <w:t xml:space="preserve">specific supernovae that are interesting to study, 02es types seem to have this early excess bump that I am interested in and this paper will help me in understanding the properties that lead to these early excess’s’. </w:t>
            </w:r>
          </w:p>
        </w:tc>
      </w:tr>
    </w:tbl>
    <w:p w14:paraId="7C2D5E5F" w14:textId="77777777" w:rsidR="00A70273" w:rsidRDefault="00A70273"/>
    <w:sectPr w:rsidR="00A70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A2"/>
    <w:rsid w:val="000E5ADF"/>
    <w:rsid w:val="00242CE0"/>
    <w:rsid w:val="002549A2"/>
    <w:rsid w:val="00373BB7"/>
    <w:rsid w:val="003F5992"/>
    <w:rsid w:val="004074B3"/>
    <w:rsid w:val="004C7144"/>
    <w:rsid w:val="00665E25"/>
    <w:rsid w:val="006A4966"/>
    <w:rsid w:val="0079260C"/>
    <w:rsid w:val="00814A90"/>
    <w:rsid w:val="008946DA"/>
    <w:rsid w:val="009F1DD7"/>
    <w:rsid w:val="00A70273"/>
    <w:rsid w:val="00AA1E57"/>
    <w:rsid w:val="00B00F10"/>
    <w:rsid w:val="00E039DE"/>
    <w:rsid w:val="00EA326B"/>
    <w:rsid w:val="00F46EF3"/>
    <w:rsid w:val="00FA3865"/>
    <w:rsid w:val="00FC18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3A59"/>
  <w15:chartTrackingRefBased/>
  <w15:docId w15:val="{1AB42DEC-A705-4E50-8011-34889185F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A2"/>
    <w:rPr>
      <w:rFonts w:eastAsiaTheme="majorEastAsia" w:cstheme="majorBidi"/>
      <w:color w:val="272727" w:themeColor="text1" w:themeTint="D8"/>
    </w:rPr>
  </w:style>
  <w:style w:type="paragraph" w:styleId="Title">
    <w:name w:val="Title"/>
    <w:basedOn w:val="Normal"/>
    <w:next w:val="Normal"/>
    <w:link w:val="TitleChar"/>
    <w:uiPriority w:val="10"/>
    <w:qFormat/>
    <w:rsid w:val="00254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A2"/>
    <w:pPr>
      <w:spacing w:before="160"/>
      <w:jc w:val="center"/>
    </w:pPr>
    <w:rPr>
      <w:i/>
      <w:iCs/>
      <w:color w:val="404040" w:themeColor="text1" w:themeTint="BF"/>
    </w:rPr>
  </w:style>
  <w:style w:type="character" w:customStyle="1" w:styleId="QuoteChar">
    <w:name w:val="Quote Char"/>
    <w:basedOn w:val="DefaultParagraphFont"/>
    <w:link w:val="Quote"/>
    <w:uiPriority w:val="29"/>
    <w:rsid w:val="002549A2"/>
    <w:rPr>
      <w:i/>
      <w:iCs/>
      <w:color w:val="404040" w:themeColor="text1" w:themeTint="BF"/>
    </w:rPr>
  </w:style>
  <w:style w:type="paragraph" w:styleId="ListParagraph">
    <w:name w:val="List Paragraph"/>
    <w:basedOn w:val="Normal"/>
    <w:uiPriority w:val="34"/>
    <w:qFormat/>
    <w:rsid w:val="002549A2"/>
    <w:pPr>
      <w:ind w:left="720"/>
      <w:contextualSpacing/>
    </w:pPr>
  </w:style>
  <w:style w:type="character" w:styleId="IntenseEmphasis">
    <w:name w:val="Intense Emphasis"/>
    <w:basedOn w:val="DefaultParagraphFont"/>
    <w:uiPriority w:val="21"/>
    <w:qFormat/>
    <w:rsid w:val="002549A2"/>
    <w:rPr>
      <w:i/>
      <w:iCs/>
      <w:color w:val="0F4761" w:themeColor="accent1" w:themeShade="BF"/>
    </w:rPr>
  </w:style>
  <w:style w:type="paragraph" w:styleId="IntenseQuote">
    <w:name w:val="Intense Quote"/>
    <w:basedOn w:val="Normal"/>
    <w:next w:val="Normal"/>
    <w:link w:val="IntenseQuoteChar"/>
    <w:uiPriority w:val="30"/>
    <w:qFormat/>
    <w:rsid w:val="00254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A2"/>
    <w:rPr>
      <w:i/>
      <w:iCs/>
      <w:color w:val="0F4761" w:themeColor="accent1" w:themeShade="BF"/>
    </w:rPr>
  </w:style>
  <w:style w:type="character" w:styleId="IntenseReference">
    <w:name w:val="Intense Reference"/>
    <w:basedOn w:val="DefaultParagraphFont"/>
    <w:uiPriority w:val="32"/>
    <w:qFormat/>
    <w:rsid w:val="002549A2"/>
    <w:rPr>
      <w:b/>
      <w:bCs/>
      <w:smallCaps/>
      <w:color w:val="0F4761" w:themeColor="accent1" w:themeShade="BF"/>
      <w:spacing w:val="5"/>
    </w:rPr>
  </w:style>
  <w:style w:type="table" w:styleId="TableGrid">
    <w:name w:val="Table Grid"/>
    <w:basedOn w:val="TableNormal"/>
    <w:uiPriority w:val="39"/>
    <w:rsid w:val="00373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Webster</dc:creator>
  <cp:keywords/>
  <dc:description/>
  <cp:lastModifiedBy>Riley Webster</cp:lastModifiedBy>
  <cp:revision>7</cp:revision>
  <dcterms:created xsi:type="dcterms:W3CDTF">2026-02-25T02:25:00Z</dcterms:created>
  <dcterms:modified xsi:type="dcterms:W3CDTF">2026-03-04T04:23:00Z</dcterms:modified>
</cp:coreProperties>
</file>