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59"/>
        <w:gridCol w:w="1536"/>
        <w:gridCol w:w="1553"/>
        <w:gridCol w:w="1653"/>
        <w:gridCol w:w="1647"/>
        <w:gridCol w:w="1568"/>
      </w:tblGrid>
      <w:tr w:rsidR="00242CE0" w14:paraId="733A876F" w14:textId="77777777" w:rsidTr="003524F3">
        <w:tc>
          <w:tcPr>
            <w:tcW w:w="1059"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536"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53"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653" w:type="dxa"/>
          </w:tcPr>
          <w:p w14:paraId="6A5AC318" w14:textId="0465376B" w:rsidR="00373BB7" w:rsidRDefault="00373BB7" w:rsidP="00373BB7">
            <w:pPr>
              <w:jc w:val="center"/>
            </w:pPr>
            <w:r>
              <w:t>Key findings</w:t>
            </w:r>
          </w:p>
        </w:tc>
        <w:tc>
          <w:tcPr>
            <w:tcW w:w="1647"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568"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3524F3">
        <w:tc>
          <w:tcPr>
            <w:tcW w:w="1059"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536"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53" w:type="dxa"/>
          </w:tcPr>
          <w:p w14:paraId="612A9102" w14:textId="2B19A08B" w:rsidR="00373BB7" w:rsidRDefault="00373BB7">
            <w:r>
              <w:t>Experimental: Data and used a quantitative analysis using star formation acceleration (SFA)</w:t>
            </w:r>
          </w:p>
        </w:tc>
        <w:tc>
          <w:tcPr>
            <w:tcW w:w="1653" w:type="dxa"/>
          </w:tcPr>
          <w:p w14:paraId="3909DA29" w14:textId="6B2D9630" w:rsidR="00373BB7" w:rsidRDefault="00373BB7">
            <w:r>
              <w:t xml:space="preserve">That Elliptical galaxies quenched faster than spiral galaxies </w:t>
            </w:r>
          </w:p>
        </w:tc>
        <w:tc>
          <w:tcPr>
            <w:tcW w:w="1647" w:type="dxa"/>
          </w:tcPr>
          <w:p w14:paraId="4A0327F7" w14:textId="0F35A902" w:rsidR="00373BB7" w:rsidRDefault="00373BB7">
            <w:r>
              <w:t xml:space="preserve">Pointed to some likely contenders for mechanics behind the quenching star formation in elliptical galaxies but was not specific. </w:t>
            </w:r>
          </w:p>
        </w:tc>
        <w:tc>
          <w:tcPr>
            <w:tcW w:w="1568"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3524F3">
        <w:tc>
          <w:tcPr>
            <w:tcW w:w="1059"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536"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53"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653"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47"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568"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3524F3">
        <w:tc>
          <w:tcPr>
            <w:tcW w:w="1059"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536" w:type="dxa"/>
          </w:tcPr>
          <w:p w14:paraId="79E21AAB" w14:textId="77777777" w:rsidR="003F5992" w:rsidRDefault="00FC1876" w:rsidP="00373BB7">
            <w:pPr>
              <w:rPr>
                <w:rFonts w:ascii="Aptos Narrow" w:hAnsi="Aptos Narrow"/>
                <w:color w:val="000000"/>
              </w:rPr>
            </w:pPr>
            <w:r>
              <w:rPr>
                <w:rFonts w:ascii="Aptos Narrow" w:hAnsi="Aptos Narrow"/>
                <w:color w:val="000000"/>
              </w:rPr>
              <w:t>To fit light curves from 115 objects from the ZTF 2018 sample to a model grid that had various distributions of 56Ni shells with 67 % of them being explained as Chandrasekha</w:t>
            </w:r>
            <w:r>
              <w:rPr>
                <w:rFonts w:ascii="Aptos Narrow" w:hAnsi="Aptos Narrow"/>
                <w:color w:val="000000"/>
              </w:rPr>
              <w:lastRenderedPageBreak/>
              <w:t xml:space="preserve">r 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53"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653" w:type="dxa"/>
          </w:tcPr>
          <w:p w14:paraId="4A1F9385" w14:textId="77777777" w:rsidR="00FC1876" w:rsidRDefault="00FC1876">
            <w:r>
              <w:t xml:space="preserve">The supernovas fit to the TURTLS model grid of Chandrasekhar mass explosion with a range of 56 Ni distributions,  masses and explosion energies. With a preference </w:t>
            </w:r>
            <w:r>
              <w:lastRenderedPageBreak/>
              <w:t xml:space="preserve">for extended 56Ni distributions. </w:t>
            </w:r>
          </w:p>
          <w:p w14:paraId="00C69CAF" w14:textId="77777777" w:rsidR="00FC1876" w:rsidRDefault="00FC1876"/>
          <w:p w14:paraId="52144557" w14:textId="1DAA14D7" w:rsidR="003F5992" w:rsidRDefault="00FC1876">
            <w:r>
              <w:t xml:space="preserve">6 early </w:t>
            </w:r>
            <w:proofErr w:type="gramStart"/>
            <w:r>
              <w:t>flux</w:t>
            </w:r>
            <w:proofErr w:type="gramEnd"/>
            <w:r>
              <w:t xml:space="preserve"> excess SNe Ia are identified in the gr band </w:t>
            </w:r>
            <w:proofErr w:type="gramStart"/>
            <w:r>
              <w:t>data</w:t>
            </w:r>
            <w:proofErr w:type="gramEnd"/>
            <w:r>
              <w:t xml:space="preserve">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47"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w:t>
            </w:r>
            <w:r>
              <w:lastRenderedPageBreak/>
              <w:t xml:space="preserve">detection of these SNe so spectroscopic follow up can occur which enables for progenitor mechanics to be thought about. </w:t>
            </w:r>
          </w:p>
        </w:tc>
        <w:tc>
          <w:tcPr>
            <w:tcW w:w="1568"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3524F3">
        <w:tc>
          <w:tcPr>
            <w:tcW w:w="1059"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536"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53"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653"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47" w:type="dxa"/>
          </w:tcPr>
          <w:p w14:paraId="23FB4B52" w14:textId="6609EC8C" w:rsidR="00B00F10" w:rsidRDefault="00E039DE">
            <w:r>
              <w:t xml:space="preserve">Small data issue </w:t>
            </w:r>
            <w:proofErr w:type="gramStart"/>
            <w:r>
              <w:t>seem</w:t>
            </w:r>
            <w:proofErr w:type="gramEnd"/>
            <w:r>
              <w:t xml:space="preserve">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568"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r w:rsidR="006A4966" w14:paraId="4A5B8CC7" w14:textId="77777777" w:rsidTr="003524F3">
        <w:tc>
          <w:tcPr>
            <w:tcW w:w="1059" w:type="dxa"/>
          </w:tcPr>
          <w:p w14:paraId="1207898B" w14:textId="0C434694" w:rsidR="006A4966" w:rsidRPr="00EA326B" w:rsidRDefault="006A4966" w:rsidP="00EA326B">
            <w:pPr>
              <w:rPr>
                <w:rFonts w:ascii="Aptos Narrow" w:hAnsi="Aptos Narrow"/>
                <w:color w:val="000000"/>
              </w:rPr>
            </w:pPr>
            <w:r w:rsidRPr="006A4966">
              <w:rPr>
                <w:rFonts w:ascii="Aptos Narrow" w:hAnsi="Aptos Narrow"/>
                <w:color w:val="000000"/>
              </w:rPr>
              <w:t>(Srivastav et al., 2023)</w:t>
            </w:r>
          </w:p>
        </w:tc>
        <w:tc>
          <w:tcPr>
            <w:tcW w:w="1536" w:type="dxa"/>
          </w:tcPr>
          <w:p w14:paraId="46346732" w14:textId="2437A450" w:rsidR="006A4966" w:rsidRDefault="006A4966" w:rsidP="00373BB7">
            <w:pPr>
              <w:rPr>
                <w:rFonts w:ascii="Aptos Narrow" w:hAnsi="Aptos Narrow"/>
                <w:color w:val="000000"/>
              </w:rPr>
            </w:pPr>
            <w:r>
              <w:rPr>
                <w:rFonts w:ascii="Aptos Narrow" w:hAnsi="Aptos Narrow"/>
                <w:color w:val="000000"/>
              </w:rPr>
              <w:t xml:space="preserve">Find appropriate constraints using a </w:t>
            </w:r>
            <w:proofErr w:type="spellStart"/>
            <w:r>
              <w:rPr>
                <w:rFonts w:ascii="Aptos Narrow" w:hAnsi="Aptos Narrow"/>
                <w:color w:val="000000"/>
              </w:rPr>
              <w:lastRenderedPageBreak/>
              <w:t>MOSFiT</w:t>
            </w:r>
            <w:proofErr w:type="spellEnd"/>
            <w:r>
              <w:rPr>
                <w:rFonts w:ascii="Aptos Narrow" w:hAnsi="Aptos Narrow"/>
                <w:color w:val="000000"/>
              </w:rPr>
              <w:t xml:space="preserve"> model of hybrid 02es-like type Ia supernova to rule out the mechanisms of the explosion. </w:t>
            </w:r>
          </w:p>
        </w:tc>
        <w:tc>
          <w:tcPr>
            <w:tcW w:w="1553" w:type="dxa"/>
          </w:tcPr>
          <w:p w14:paraId="71B2307E" w14:textId="77777777" w:rsidR="006A4966" w:rsidRDefault="006A4966">
            <w:r>
              <w:lastRenderedPageBreak/>
              <w:t>Experimental:</w:t>
            </w:r>
          </w:p>
          <w:p w14:paraId="6367D0DD" w14:textId="21B576D3" w:rsidR="006A4966" w:rsidRDefault="006A4966">
            <w:r>
              <w:t xml:space="preserve">Using photometric and </w:t>
            </w:r>
            <w:r>
              <w:lastRenderedPageBreak/>
              <w:t xml:space="preserve">spectroscopic data fit to a model for transient objects to classify the constraints for these curves to occur. </w:t>
            </w:r>
          </w:p>
        </w:tc>
        <w:tc>
          <w:tcPr>
            <w:tcW w:w="1653" w:type="dxa"/>
          </w:tcPr>
          <w:p w14:paraId="20C4971D" w14:textId="575AEDBB" w:rsidR="006A4966" w:rsidRDefault="006A4966">
            <w:r w:rsidRPr="006A4966">
              <w:lastRenderedPageBreak/>
              <w:t>(Srivastav et al., 2023)</w:t>
            </w:r>
            <w:r>
              <w:t xml:space="preserve"> ruled out ejecta companion </w:t>
            </w:r>
            <w:r>
              <w:lastRenderedPageBreak/>
              <w:t xml:space="preserve">interaction, massive helium shell detonation and 56Ni distribution being drivers of the explosion and emphasised that the most reasonable explanation was the interaction of the SNe with the circumstellar medium. </w:t>
            </w:r>
          </w:p>
        </w:tc>
        <w:tc>
          <w:tcPr>
            <w:tcW w:w="1647" w:type="dxa"/>
          </w:tcPr>
          <w:p w14:paraId="30E5EB6F" w14:textId="0552E0D8" w:rsidR="006A4966" w:rsidRDefault="006A4966">
            <w:r>
              <w:lastRenderedPageBreak/>
              <w:t xml:space="preserve">Limited access to follow up data limited the ability to </w:t>
            </w:r>
            <w:r>
              <w:lastRenderedPageBreak/>
              <w:t xml:space="preserve">place further constraints on the </w:t>
            </w:r>
            <w:proofErr w:type="spellStart"/>
            <w:r>
              <w:t>MOSFiT</w:t>
            </w:r>
            <w:proofErr w:type="spellEnd"/>
            <w:r>
              <w:t xml:space="preserve"> modelling to understand the cause of the circumstellar medium whether it was from tidal tails caused by WD merger event or disk originated matter caused by a disruption to the secondary white dwarf. </w:t>
            </w:r>
          </w:p>
        </w:tc>
        <w:tc>
          <w:tcPr>
            <w:tcW w:w="1568" w:type="dxa"/>
          </w:tcPr>
          <w:p w14:paraId="7F85C821" w14:textId="5F587C17" w:rsidR="006A4966" w:rsidRDefault="0079260C">
            <w:r>
              <w:lastRenderedPageBreak/>
              <w:t xml:space="preserve">As the scope of my project narrows I am looking for </w:t>
            </w:r>
            <w:r>
              <w:lastRenderedPageBreak/>
              <w:t xml:space="preserve">specific supernovae that are interesting to study, 02es types seem to have this early excess bump that I am interested in and this paper will help me in understanding the properties that lead to these early excess’s’. </w:t>
            </w:r>
          </w:p>
        </w:tc>
      </w:tr>
      <w:tr w:rsidR="003524F3" w14:paraId="233B7FD5" w14:textId="77777777" w:rsidTr="003524F3">
        <w:tc>
          <w:tcPr>
            <w:tcW w:w="1059" w:type="dxa"/>
          </w:tcPr>
          <w:p w14:paraId="788DB950" w14:textId="14384C32" w:rsidR="003524F3" w:rsidRPr="006A4966" w:rsidRDefault="003524F3" w:rsidP="00EA326B">
            <w:pPr>
              <w:rPr>
                <w:rFonts w:ascii="Aptos Narrow" w:hAnsi="Aptos Narrow"/>
                <w:color w:val="000000"/>
              </w:rPr>
            </w:pPr>
            <w:r w:rsidRPr="003524F3">
              <w:rPr>
                <w:rFonts w:ascii="Aptos Narrow" w:hAnsi="Aptos Narrow"/>
                <w:color w:val="000000"/>
              </w:rPr>
              <w:lastRenderedPageBreak/>
              <w:t>(Leoni et al., 2022)</w:t>
            </w:r>
          </w:p>
        </w:tc>
        <w:tc>
          <w:tcPr>
            <w:tcW w:w="1536" w:type="dxa"/>
          </w:tcPr>
          <w:p w14:paraId="700B2BE5" w14:textId="49677D52" w:rsidR="003524F3" w:rsidRDefault="003524F3" w:rsidP="00373BB7">
            <w:pPr>
              <w:rPr>
                <w:rFonts w:ascii="Aptos Narrow" w:hAnsi="Aptos Narrow"/>
                <w:color w:val="000000"/>
              </w:rPr>
            </w:pPr>
            <w:r>
              <w:rPr>
                <w:rFonts w:ascii="Aptos Narrow" w:hAnsi="Aptos Narrow"/>
                <w:color w:val="000000"/>
              </w:rPr>
              <w:t xml:space="preserve">To demonstrate how an active learning loop can be an effective method to sample a new training dataset for a classification model given small validation data. </w:t>
            </w:r>
          </w:p>
        </w:tc>
        <w:tc>
          <w:tcPr>
            <w:tcW w:w="1553" w:type="dxa"/>
          </w:tcPr>
          <w:p w14:paraId="779FE2E7" w14:textId="3834746B" w:rsidR="003524F3" w:rsidRDefault="003524F3">
            <w:r>
              <w:t xml:space="preserve">A pipeline of filtering, feature extraction and then classification to create the sample that the true model will be retrained on. </w:t>
            </w:r>
          </w:p>
        </w:tc>
        <w:tc>
          <w:tcPr>
            <w:tcW w:w="1653" w:type="dxa"/>
          </w:tcPr>
          <w:p w14:paraId="4BD0BBB7" w14:textId="78FCE835" w:rsidR="003524F3" w:rsidRPr="006A4966" w:rsidRDefault="003524F3">
            <w:r>
              <w:t>That an active training regime using uncertainty sampling can be an effective method to create training datasets that can be used to retrain a classification model like that on Fink. This active learning regime achieved a purity of 89 per cent and an efficiency of 54 per cent using uncertainty sampling.</w:t>
            </w:r>
          </w:p>
        </w:tc>
        <w:tc>
          <w:tcPr>
            <w:tcW w:w="1647" w:type="dxa"/>
          </w:tcPr>
          <w:p w14:paraId="21BE48CE" w14:textId="6C1291D3" w:rsidR="003524F3" w:rsidRDefault="003524F3">
            <w:r>
              <w:t xml:space="preserve">Limitations are I think in the classification of other transients as the other classes were broad brushed such as AGN-like and </w:t>
            </w:r>
            <w:proofErr w:type="spellStart"/>
            <w:r>
              <w:t>other_SN</w:t>
            </w:r>
            <w:proofErr w:type="spellEnd"/>
            <w:r>
              <w:t xml:space="preserve"> as well as how this will be effectively implemented into the retraining of the Fink Supernova classification module.</w:t>
            </w:r>
          </w:p>
        </w:tc>
        <w:tc>
          <w:tcPr>
            <w:tcW w:w="1568" w:type="dxa"/>
          </w:tcPr>
          <w:p w14:paraId="1BFBBAD7" w14:textId="4FBDE07D" w:rsidR="003524F3" w:rsidRDefault="003524F3">
            <w:r>
              <w:t xml:space="preserve">This gives me more context to how Fink works when classifying the data that I will be using for my project. I need to be able to understand where the data comes from and how it is processed </w:t>
            </w:r>
            <w:r w:rsidR="006A79A3">
              <w:t>to</w:t>
            </w:r>
            <w:r>
              <w:t xml:space="preserve"> analyse it effectively. </w:t>
            </w:r>
          </w:p>
        </w:tc>
      </w:tr>
      <w:tr w:rsidR="004B0391" w14:paraId="76925C49" w14:textId="77777777" w:rsidTr="003524F3">
        <w:tc>
          <w:tcPr>
            <w:tcW w:w="1059" w:type="dxa"/>
          </w:tcPr>
          <w:p w14:paraId="191873DA" w14:textId="77777777" w:rsidR="004B0391" w:rsidRPr="003524F3" w:rsidRDefault="004B0391" w:rsidP="00EA326B">
            <w:pPr>
              <w:rPr>
                <w:rFonts w:ascii="Aptos Narrow" w:hAnsi="Aptos Narrow"/>
                <w:color w:val="000000"/>
              </w:rPr>
            </w:pPr>
          </w:p>
        </w:tc>
        <w:tc>
          <w:tcPr>
            <w:tcW w:w="1536" w:type="dxa"/>
          </w:tcPr>
          <w:p w14:paraId="5A212C0A" w14:textId="77777777" w:rsidR="004B0391" w:rsidRDefault="004B0391" w:rsidP="00373BB7">
            <w:pPr>
              <w:rPr>
                <w:rFonts w:ascii="Aptos Narrow" w:hAnsi="Aptos Narrow"/>
                <w:color w:val="000000"/>
              </w:rPr>
            </w:pPr>
          </w:p>
        </w:tc>
        <w:tc>
          <w:tcPr>
            <w:tcW w:w="1553" w:type="dxa"/>
          </w:tcPr>
          <w:p w14:paraId="45A35E2A" w14:textId="77777777" w:rsidR="004B0391" w:rsidRDefault="004B0391"/>
        </w:tc>
        <w:tc>
          <w:tcPr>
            <w:tcW w:w="1653" w:type="dxa"/>
          </w:tcPr>
          <w:p w14:paraId="276045A1" w14:textId="77777777" w:rsidR="004B0391" w:rsidRDefault="004B0391"/>
        </w:tc>
        <w:tc>
          <w:tcPr>
            <w:tcW w:w="1647" w:type="dxa"/>
          </w:tcPr>
          <w:p w14:paraId="335BF932" w14:textId="77777777" w:rsidR="004B0391" w:rsidRDefault="004B0391"/>
        </w:tc>
        <w:tc>
          <w:tcPr>
            <w:tcW w:w="1568" w:type="dxa"/>
          </w:tcPr>
          <w:p w14:paraId="6A73C67B" w14:textId="77777777" w:rsidR="004B0391" w:rsidRDefault="004B0391"/>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242CE0"/>
    <w:rsid w:val="002549A2"/>
    <w:rsid w:val="003524F3"/>
    <w:rsid w:val="00373BB7"/>
    <w:rsid w:val="003F5992"/>
    <w:rsid w:val="004074B3"/>
    <w:rsid w:val="004B0391"/>
    <w:rsid w:val="004C7144"/>
    <w:rsid w:val="00665E25"/>
    <w:rsid w:val="006A4966"/>
    <w:rsid w:val="006A79A3"/>
    <w:rsid w:val="0079260C"/>
    <w:rsid w:val="00814A90"/>
    <w:rsid w:val="008946DA"/>
    <w:rsid w:val="009F1DD7"/>
    <w:rsid w:val="00A70273"/>
    <w:rsid w:val="00AA1E57"/>
    <w:rsid w:val="00B00F10"/>
    <w:rsid w:val="00C31913"/>
    <w:rsid w:val="00E039DE"/>
    <w:rsid w:val="00EA326B"/>
    <w:rsid w:val="00EB7677"/>
    <w:rsid w:val="00F46EF3"/>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3</Pages>
  <Words>1008</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10</cp:revision>
  <dcterms:created xsi:type="dcterms:W3CDTF">2026-02-25T02:25:00Z</dcterms:created>
  <dcterms:modified xsi:type="dcterms:W3CDTF">2026-03-06T06:03:00Z</dcterms:modified>
</cp:coreProperties>
</file>