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0D1B3E"/>
          <w:sz w:val="46"/>
          <w:szCs w:val="46"/>
        </w:rPr>
        <w:t xml:space="preserve">FUTURE LINK CONSULTANTS</w:t>
      </w:r>
    </w:p>
    <w:p>
      <w:pPr>
        <w:spacing w:after="60"/>
        <w:jc w:val="center"/>
      </w:pPr>
      <w:r>
        <w:rPr>
          <w:i/>
          <w:iCs/>
          <w:color w:val="C8202F"/>
          <w:sz w:val="20"/>
          <w:szCs w:val="20"/>
        </w:rPr>
        <w:t xml:space="preserve">A way to career abroad</w:t>
      </w:r>
    </w:p>
    <w:p>
      <w:pPr>
        <w:spacing w:after="400"/>
        <w:jc w:val="center"/>
      </w:pPr>
      <w:r>
        <w:rPr>
          <w:color w:val="1F3A66"/>
          <w:sz w:val="18"/>
          <w:szCs w:val="18"/>
        </w:rPr>
        <w:t xml:space="preserve">Offers, Discounts &amp; Counsellor Wallet Module</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0D1B3E" w:val="clear"/>
            <w:tcMar>
              <w:top w:type="dxa" w:w="280"/>
              <w:left w:type="dxa" w:w="200"/>
              <w:bottom w:type="dxa" w:w="280"/>
              <w:right w:type="dxa" w:w="200"/>
            </w:tcMar>
          </w:tcPr>
          <w:p>
            <w:pPr>
              <w:spacing w:after="60"/>
              <w:jc w:val="center"/>
            </w:pPr>
            <w:r>
              <w:rPr>
                <w:color w:val="D5E8F0"/>
                <w:sz w:val="18"/>
                <w:szCs w:val="18"/>
              </w:rPr>
              <w:t xml:space="preserve">DOCUMENT 6 OF 5</w:t>
            </w:r>
          </w:p>
          <w:p>
            <w:pPr>
              <w:spacing w:after="40"/>
              <w:jc w:val="center"/>
            </w:pPr>
            <w:r>
              <w:rPr>
                <w:b/>
                <w:bCs/>
                <w:color w:val="FFFFFF"/>
                <w:sz w:val="34"/>
                <w:szCs w:val="34"/>
              </w:rPr>
              <w:t xml:space="preserve">BUSINESS RULES &amp;</w:t>
            </w:r>
          </w:p>
          <w:p>
            <w:pPr>
              <w:spacing w:after="0"/>
              <w:jc w:val="center"/>
            </w:pPr>
            <w:r>
              <w:rPr>
                <w:b/>
                <w:bCs/>
                <w:color w:val="FFFFFF"/>
                <w:sz w:val="34"/>
                <w:szCs w:val="34"/>
              </w:rPr>
              <w:t xml:space="preserve">CONFIGURATION</w:t>
            </w:r>
          </w:p>
        </w:tc>
      </w:tr>
    </w:tbl>
    <w:p>
      <w:pPr>
        <w:spacing w:after="40" w:before="500"/>
        <w:jc w:val="center"/>
      </w:pPr>
      <w:r>
        <w:rPr>
          <w:color w:val="1F3A66"/>
          <w:sz w:val="20"/>
          <w:szCs w:val="20"/>
        </w:rPr>
        <w:t xml:space="preserve">The numbers Finance &amp; Ops must sign off</w:t>
      </w:r>
    </w:p>
    <w:p>
      <w:pPr>
        <w:spacing w:after="40" w:before="900"/>
        <w:jc w:val="center"/>
      </w:pPr>
      <w:r>
        <w:rPr>
          <w:color w:val="777777"/>
          <w:sz w:val="17"/>
          <w:szCs w:val="17"/>
        </w:rPr>
        <w:t xml:space="preserve">Stack: React 18 + Vite + TypeScript + Supabase (PostgreSQL)</w:t>
      </w:r>
    </w:p>
    <w:p>
      <w:pPr>
        <w:jc w:val="center"/>
      </w:pPr>
      <w:r>
        <w:rPr>
          <w:color w:val="777777"/>
          <w:sz w:val="17"/>
          <w:szCs w:val="17"/>
        </w:rPr>
        <w:t xml:space="preserve">Version 1.0  •  Confidential  •  Verified against the current codebase</w:t>
      </w:r>
    </w:p>
    <w:p>
      <w:pPr>
        <w:spacing w:before="40"/>
        <w:jc w:val="center"/>
      </w:pPr>
      <w:r>
        <w:rPr>
          <w:i/>
          <w:iCs/>
          <w:color w:val="999999"/>
          <w:sz w:val="16"/>
          <w:szCs w:val="16"/>
        </w:rPr>
        <w:t xml:space="preserve">Amber boxes flag inferences not verifiable from the provided code.</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pPr>
      <w:r>
        <w:t xml:space="preserve">Most build defects in a module like this are wrong math, not wrong UI. This sheet pins down the actual numbers and policies that drive wallet sizing, unlocking, discount limits, funding, refunds and rollover. Every value here must be confirmed by Finance and Operations before development relies on it. Defaults are provided to start the conversation, not to pre-empt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E8F4EA" w:val="clear"/>
            <w:tcMar>
              <w:top w:type="dxa" w:w="120"/>
              <w:left w:type="dxa" w:w="180"/>
              <w:bottom w:type="dxa" w:w="120"/>
              <w:right w:type="dxa" w:w="160"/>
            </w:tcMar>
          </w:tcPr>
          <w:p>
            <w:pPr>
              <w:spacing w:after="60"/>
            </w:pPr>
            <w:r>
              <w:rPr>
                <w:b/>
                <w:bCs/>
                <w:color w:val="0D1B3E"/>
                <w:sz w:val="21"/>
                <w:szCs w:val="21"/>
              </w:rPr>
              <w:t xml:space="preserve">How to read this sheet</w:t>
            </w:r>
          </w:p>
          <w:p>
            <w:pPr>
              <w:spacing w:after="40"/>
            </w:pPr>
            <w:r>
              <w:t xml:space="preserve">Values shown are PROPOSED DEFAULTS for discussion. Each table has a 'Confirmed?' column for sign-off. Where a value already exists in the system, it is marked VERIFIED. All configurable values should live in config tables (not hard-coded) so Finance can tune them per service line without a code change.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20A" w:sz="18"/>
              <w:bottom w:val="single" w:color="CCCCCC" w:sz="1"/>
              <w:right w:val="single" w:color="CCCCCC" w:sz="1"/>
            </w:tcBorders>
            <w:shd w:fill="FFF4D6" w:val="clear"/>
            <w:tcMar>
              <w:top w:type="dxa" w:w="100"/>
              <w:left w:type="dxa" w:w="180"/>
              <w:bottom w:type="dxa" w:w="100"/>
              <w:right w:type="dxa" w:w="160"/>
            </w:tcMar>
          </w:tcPr>
          <w:p>
            <w:r>
              <w:rPr>
                <w:b/>
                <w:bCs/>
                <w:color w:val="8A6300"/>
                <w:sz w:val="19"/>
                <w:szCs w:val="19"/>
              </w:rPr>
              <w:t xml:space="preserve">⚠ INFERENCE / TO CONFIRM: </w:t>
            </w:r>
            <w:r>
              <w:t xml:space="preserve">All currency figures, percentages and bands below are proposals. They are NOT read from the codebase (they are business decisions). Finance/Ops must set the real values. Items marked VERIFIED reflect schema defaults found in the code.</w:t>
            </w:r>
          </w:p>
        </w:tc>
      </w:tr>
    </w:tbl>
    <w:p>
      <w:pPr>
        <w:pStyle w:val="Heading1"/>
      </w:pPr>
      <w:r>
        <w:t xml:space="preserve">2. Wallet Sizing</w:t>
      </w:r>
    </w:p>
    <w:p>
      <w:pPr>
        <w:pStyle w:val="Heading2"/>
      </w:pPr>
      <w:r>
        <w:t xml:space="preserve">2.1 Base wallet (per role / service line)</w:t>
      </w:r>
    </w:p>
    <w:p>
      <w:pPr>
        <w:spacing w:after="120" w:line="276"/>
      </w:pPr>
      <w:r>
        <w:t xml:space="preserve">Wallet = Base Wallet × Performance Multiplier. The base is set against the assigned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tblHeader/>
        </w:trPr>
        <w:tc>
          <w:tcPr>
            <w:tcW w:type="dxa" w:w="36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Role / Service line</w:t>
            </w:r>
          </w:p>
        </w:tc>
        <w:tc>
          <w:tcPr>
            <w:tcW w:type="dxa" w:w="33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Proposed Base Wallet</w:t>
            </w:r>
          </w:p>
        </w:tc>
        <w:tc>
          <w:tcPr>
            <w:tcW w:type="dxa" w:w="2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Confirmed?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Counsellor — Study Abroad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₹10,000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r>
        <w:tc>
          <w:tcPr>
            <w:tcW w:type="dxa" w:w="3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Counsellor — Coaching</w:t>
            </w:r>
          </w:p>
        </w:tc>
        <w:tc>
          <w:tcPr>
            <w:tcW w:type="dxa" w:w="33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₹6,000</w:t>
            </w:r>
          </w:p>
        </w:tc>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Counsellor — Language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₹5,000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r>
        <w:tc>
          <w:tcPr>
            <w:tcW w:type="dxa" w:w="3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Counsellor — Visa &amp; Immigration</w:t>
            </w:r>
          </w:p>
        </w:tc>
        <w:tc>
          <w:tcPr>
            <w:tcW w:type="dxa" w:w="33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₹8,000</w:t>
            </w:r>
          </w:p>
        </w:tc>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Branch Manager (pooled 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₹20,000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bl>
    <w:p>
      <w:pPr>
        <w:pStyle w:val="Heading2"/>
      </w:pPr>
      <w:r>
        <w:t xml:space="preserve">2.2 Performance Multiplier bands</w:t>
      </w:r>
    </w:p>
    <w:p>
      <w:pPr>
        <w:spacing w:after="120" w:line="276"/>
      </w:pPr>
      <w:r>
        <w:t xml:space="preserve">From last period's achievement / Performance Score. (Scope §16.2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2860"/>
        <w:gridCol w:w="2000"/>
      </w:tblGrid>
      <w:tr>
        <w:trPr>
          <w:tblHeader/>
        </w:trPr>
        <w:tc>
          <w:tcPr>
            <w:tcW w:type="dxa" w:w="28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Last-period achievement</w:t>
            </w:r>
          </w:p>
        </w:tc>
        <w:tc>
          <w:tcPr>
            <w:tcW w:type="dxa" w:w="17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Multiplier</w:t>
            </w:r>
          </w:p>
        </w:tc>
        <w:tc>
          <w:tcPr>
            <w:tcW w:type="dxa" w:w="28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Wallet on ₹10k base</w:t>
            </w:r>
          </w:p>
        </w:tc>
        <w:tc>
          <w:tcPr>
            <w:tcW w:type="dxa" w:w="20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Confirmed?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Below 70%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50%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₹5,000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r>
        <w:tc>
          <w:tcPr>
            <w:tcW w:type="dxa" w:w="2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70 – 90%</w:t>
            </w:r>
          </w:p>
        </w:tc>
        <w:tc>
          <w:tcPr>
            <w:tcW w:type="dxa" w:w="17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100%</w:t>
            </w:r>
          </w:p>
        </w:tc>
        <w:tc>
          <w:tcPr>
            <w:tcW w:type="dxa" w:w="28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₹10,000</w:t>
            </w:r>
          </w:p>
        </w:tc>
        <w:tc>
          <w:tcPr>
            <w:tcW w:type="dxa" w:w="2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100%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120%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₹12,000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r>
        <w:tc>
          <w:tcPr>
            <w:tcW w:type="dxa" w:w="2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120%</w:t>
            </w:r>
          </w:p>
        </w:tc>
        <w:tc>
          <w:tcPr>
            <w:tcW w:type="dxa" w:w="17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150%</w:t>
            </w:r>
          </w:p>
        </w:tc>
        <w:tc>
          <w:tcPr>
            <w:tcW w:type="dxa" w:w="28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₹15,000</w:t>
            </w:r>
          </w:p>
        </w:tc>
        <w:tc>
          <w:tcPr>
            <w:tcW w:type="dxa" w:w="2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150%+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200%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₹20,000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bl>
    <w:p>
      <w:pPr>
        <w:spacing w:after="120" w:line="276"/>
      </w:pPr>
      <w:r>
        <w:t xml:space="preserve">Stored in </w:t>
      </w:r>
      <w:r>
        <w:rPr>
          <w:rFonts w:ascii="Consolas" w:cs="Consolas" w:eastAsia="Consolas" w:hAnsi="Consolas"/>
          <w:color w:val="B5179E"/>
          <w:sz w:val="18"/>
          <w:szCs w:val="18"/>
        </w:rPr>
        <w:t xml:space="preserve">wallet_multiplier_bands</w:t>
      </w:r>
      <w:r>
        <w:t xml:space="preserve">. Bands may differ per service line / role.</w:t>
      </w:r>
    </w:p>
    <w:p>
      <w:pPr>
        <w:pStyle w:val="Heading1"/>
      </w:pPr>
      <w:r>
        <w:t xml:space="preserve">3. Unlock Model</w:t>
      </w:r>
    </w:p>
    <w:p>
      <w:pPr>
        <w:spacing w:after="120" w:line="276"/>
      </w:pPr>
      <w:r>
        <w:t xml:space="preserve">How much of the sized wallet is spendable as the period progresses.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rPr>
          <w:tblHeader/>
        </w:trPr>
        <w:tc>
          <w:tcPr>
            <w:tcW w:type="dxa" w:w="32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Parameter</w:t>
            </w:r>
          </w:p>
        </w:tc>
        <w:tc>
          <w:tcPr>
            <w:tcW w:type="dxa" w:w="37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Proposed default</w:t>
            </w:r>
          </w:p>
        </w:tc>
        <w:tc>
          <w:tcPr>
            <w:tcW w:type="dxa" w:w="2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Confirmed?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Unlock model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Linear (unlock % = achievement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r>
        <w:tc>
          <w:tcPr>
            <w:tcW w:type="dxa" w:w="3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Minimum unlock floor</w:t>
            </w:r>
          </w:p>
        </w:tc>
        <w:tc>
          <w:tcPr>
            <w:tcW w:type="dxa" w:w="37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Nothing unlocks below 20% achievement</w:t>
            </w:r>
          </w:p>
        </w:tc>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Stepped bands (if not linear)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25% / 50% / 75% / 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r>
        <w:tc>
          <w:tcPr>
            <w:tcW w:type="dxa" w:w="3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“Close to threshold” tolerance</w:t>
            </w:r>
          </w:p>
        </w:tc>
        <w:tc>
          <w:tcPr>
            <w:tcW w:type="dxa" w:w="37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Release next band at 95% of it</w:t>
            </w:r>
          </w:p>
        </w:tc>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No-full-burn rule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Spend cannot exceed unlocked amount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bl>
    <w:p>
      <w:pPr>
        <w:spacing w:after="120" w:line="276"/>
      </w:pPr>
      <w:r>
        <w:t xml:space="preserve">Stored in </w:t>
      </w:r>
      <w:r>
        <w:rPr>
          <w:rFonts w:ascii="Consolas" w:cs="Consolas" w:eastAsia="Consolas" w:hAnsi="Consolas"/>
          <w:color w:val="B5179E"/>
          <w:sz w:val="18"/>
          <w:szCs w:val="18"/>
        </w:rPr>
        <w:t xml:space="preserve">wallet_unlock_rules</w:t>
      </w:r>
      <w:r>
        <w:t xml:space="preserve"> (model, floor, tolerance) per service line /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E8F4EA" w:val="clear"/>
            <w:tcMar>
              <w:top w:type="dxa" w:w="120"/>
              <w:left w:type="dxa" w:w="180"/>
              <w:bottom w:type="dxa" w:w="120"/>
              <w:right w:type="dxa" w:w="160"/>
            </w:tcMar>
          </w:tcPr>
          <w:p>
            <w:pPr>
              <w:spacing w:after="60"/>
            </w:pPr>
            <w:r>
              <w:rPr>
                <w:b/>
                <w:bCs/>
                <w:color w:val="0D1B3E"/>
                <w:sz w:val="21"/>
                <w:szCs w:val="21"/>
              </w:rPr>
              <w:t xml:space="preserve">Worked example (for sign-off)</w:t>
            </w:r>
          </w:p>
          <w:p>
            <w:pPr>
              <w:spacing w:after="40"/>
            </w:pPr>
            <w:r>
              <w:t xml:space="preserve">Target ₹3,00,000, wallet ₹15,000, linear unlock: at ₹1,00,000 achieved (33%) ≈ ₹5,000 unlocked; at ₹1,50,000 (50%) ≈ ₹7,500; at ₹3,00,000 (100%) full ₹15,000. Finance confirms whether linear or stepped and the floor.</w:t>
            </w:r>
          </w:p>
        </w:tc>
      </w:tr>
    </w:tbl>
    <w:p>
      <w:pPr>
        <w:pStyle w:val="Heading1"/>
      </w:pPr>
      <w:r>
        <w:t xml:space="preserve">4. Discount Limits &amp; Depth Authority</w:t>
      </w:r>
    </w:p>
    <w:p>
      <w:pPr>
        <w:pStyle w:val="Heading2"/>
      </w:pPr>
      <w:r>
        <w:t xml:space="preserve">4.1 Per-client caps (VERIFIED defaults in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Parameter</w:t>
            </w:r>
          </w:p>
        </w:tc>
        <w:tc>
          <w:tcPr>
            <w:tcW w:type="dxa" w:w="33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Value</w:t>
            </w:r>
          </w:p>
        </w:tc>
        <w:tc>
          <w:tcPr>
            <w:tcW w:type="dxa" w:w="30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Source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color w:val="B5179E"/>
                <w:sz w:val="18"/>
                <w:szCs w:val="18"/>
              </w:rPr>
              <w:t xml:space="preserve">max_percent_per_client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10 (default)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VERIFIED — discount_wallets default</w:t>
            </w:r>
          </w:p>
        </w:tc>
      </w:tr>
      <w:tr>
        <w:tc>
          <w:tcPr>
            <w:tcW w:type="dxa" w:w="3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rPr>
                <w:rFonts w:ascii="Consolas" w:cs="Consolas" w:eastAsia="Consolas" w:hAnsi="Consolas"/>
                <w:color w:val="B5179E"/>
                <w:sz w:val="18"/>
                <w:szCs w:val="18"/>
              </w:rPr>
              <w:t xml:space="preserve">max_amount_per_client</w:t>
            </w:r>
          </w:p>
        </w:tc>
        <w:tc>
          <w:tcPr>
            <w:tcW w:type="dxa" w:w="33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null (no amount cap unless set)</w:t>
            </w:r>
          </w:p>
        </w:tc>
        <w:tc>
          <w:tcPr>
            <w:tcW w:type="dxa" w:w="3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VERIFIED — nullable column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color w:val="B5179E"/>
                <w:sz w:val="18"/>
                <w:szCs w:val="18"/>
              </w:rPr>
              <w:t xml:space="preserve">allow_negative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false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VERIFIED — column default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20A" w:sz="18"/>
              <w:bottom w:val="single" w:color="CCCCCC" w:sz="1"/>
              <w:right w:val="single" w:color="CCCCCC" w:sz="1"/>
            </w:tcBorders>
            <w:shd w:fill="FFF4D6" w:val="clear"/>
            <w:tcMar>
              <w:top w:type="dxa" w:w="100"/>
              <w:left w:type="dxa" w:w="180"/>
              <w:bottom w:type="dxa" w:w="100"/>
              <w:right w:type="dxa" w:w="160"/>
            </w:tcMar>
          </w:tcPr>
          <w:p>
            <w:r>
              <w:rPr>
                <w:b/>
                <w:bCs/>
                <w:color w:val="8A6300"/>
                <w:sz w:val="19"/>
                <w:szCs w:val="19"/>
              </w:rPr>
              <w:t xml:space="preserve">⚠ INFERENCE / TO CONFIRM: </w:t>
            </w:r>
            <w:r>
              <w:t xml:space="preserve">The 10% per-client default is the schema default; confirm it is the intended business value per service line (Finance may want different caps for high-fee services).</w:t>
            </w:r>
          </w:p>
        </w:tc>
      </w:tr>
    </w:tbl>
    <w:p>
      <w:pPr>
        <w:pStyle w:val="Heading2"/>
      </w:pPr>
      <w:r>
        <w:t xml:space="preserve">4.2 Discount depth authority (Scope §13.3)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560"/>
        <w:gridCol w:w="2400"/>
      </w:tblGrid>
      <w:tr>
        <w:trPr>
          <w:tblHeader/>
        </w:trPr>
        <w:tc>
          <w:tcPr>
            <w:tcW w:type="dxa" w:w="3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Discount depth</w:t>
            </w:r>
          </w:p>
        </w:tc>
        <w:tc>
          <w:tcPr>
            <w:tcW w:type="dxa" w:w="35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Approver</w:t>
            </w:r>
          </w:p>
        </w:tc>
        <w:tc>
          <w:tcPr>
            <w:tcW w:type="dxa" w:w="2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Confirmed?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 10% or ≤ ₹5,000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Counsellor (within unlocked wallet)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r>
        <w:tc>
          <w:tcPr>
            <w:tcW w:type="dxa" w:w="3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11 – 20%</w:t>
            </w:r>
          </w:p>
        </w:tc>
        <w:tc>
          <w:tcPr>
            <w:tcW w:type="dxa" w:w="35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Branch manager</w:t>
            </w:r>
          </w:p>
        </w:tc>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&gt; 20% or below floor price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Admin / director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r>
        <w:tc>
          <w:tcPr>
            <w:tcW w:type="dxa" w:w="3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Scholarship / full fee waiver</w:t>
            </w:r>
          </w:p>
        </w:tc>
        <w:tc>
          <w:tcPr>
            <w:tcW w:type="dxa" w:w="35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Admin only</w:t>
            </w:r>
          </w:p>
        </w:tc>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bl>
    <w:p>
      <w:pPr>
        <w:pStyle w:val="Heading2"/>
      </w:pPr>
      <w:r>
        <w:t xml:space="preserve">4.3 Floor price &amp; stacking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rPr>
          <w:tblHeader/>
        </w:trPr>
        <w:tc>
          <w:tcPr>
            <w:tcW w:type="dxa" w:w="32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Parameter</w:t>
            </w:r>
          </w:p>
        </w:tc>
        <w:tc>
          <w:tcPr>
            <w:tcW w:type="dxa" w:w="37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Proposed default</w:t>
            </w:r>
          </w:p>
        </w:tc>
        <w:tc>
          <w:tcPr>
            <w:tcW w:type="dxa" w:w="2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Confirmed?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Floor price (min net fee)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No fee may drop below X% of list (set per 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r>
        <w:tc>
          <w:tcPr>
            <w:tcW w:type="dxa" w:w="3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Stacking allowed?</w:t>
            </w:r>
          </w:p>
        </w:tc>
        <w:tc>
          <w:tcPr>
            <w:tcW w:type="dxa" w:w="37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No stacking by default</w:t>
            </w:r>
          </w:p>
        </w:tc>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Max total discount per transaction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20% (configurable)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20A" w:sz="18"/>
              <w:bottom w:val="single" w:color="CCCCCC" w:sz="1"/>
              <w:right w:val="single" w:color="CCCCCC" w:sz="1"/>
            </w:tcBorders>
            <w:shd w:fill="FFF4D6" w:val="clear"/>
            <w:tcMar>
              <w:top w:type="dxa" w:w="100"/>
              <w:left w:type="dxa" w:w="180"/>
              <w:bottom w:type="dxa" w:w="100"/>
              <w:right w:type="dxa" w:w="160"/>
            </w:tcMar>
          </w:tcPr>
          <w:p>
            <w:r>
              <w:rPr>
                <w:b/>
                <w:bCs/>
                <w:color w:val="8A6300"/>
                <w:sz w:val="19"/>
                <w:szCs w:val="19"/>
              </w:rPr>
              <w:t xml:space="preserve">⚠ INFERENCE / TO CONFIRM: </w:t>
            </w:r>
            <w:r>
              <w:t xml:space="preserve">Floor price is the most important margin guard and is NOT in the schema yet. Finance must define the minimum net fee per service line; the deduction function enforces it.</w:t>
            </w:r>
          </w:p>
        </w:tc>
      </w:tr>
    </w:tbl>
    <w:p>
      <w:pPr>
        <w:pStyle w:val="Heading1"/>
      </w:pPr>
      <w:r>
        <w:t xml:space="preserve">5. Funding Source Rules</w:t>
      </w:r>
    </w:p>
    <w:p>
      <w:pPr>
        <w:spacing w:after="120" w:line="276"/>
      </w:pPr>
      <w:r>
        <w:t xml:space="preserve">Determines whether a discount deducts the counsellor wallet (Scope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3360"/>
        <w:gridCol w:w="1400"/>
      </w:tblGrid>
      <w:tr>
        <w:trPr>
          <w:tblHeader/>
        </w:trPr>
        <w:tc>
          <w:tcPr>
            <w:tcW w:type="dxa" w:w="26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Funding source</w:t>
            </w:r>
          </w:p>
        </w:tc>
        <w:tc>
          <w:tcPr>
            <w:tcW w:type="dxa" w:w="20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Who pays</w:t>
            </w:r>
          </w:p>
        </w:tc>
        <w:tc>
          <w:tcPr>
            <w:tcW w:type="dxa" w:w="33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Wallet deduction</w:t>
            </w:r>
          </w:p>
        </w:tc>
        <w:tc>
          <w:tcPr>
            <w:tcW w:type="dxa" w:w="1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Confirmed?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Future Link funded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Future Link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Full discount debits counsellor wallet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University funded</w:t>
            </w:r>
          </w:p>
        </w:tc>
        <w:tc>
          <w:tcPr>
            <w:tcW w:type="dxa" w:w="2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Partner university</w:t>
            </w:r>
          </w:p>
        </w:tc>
        <w:tc>
          <w:tcPr>
            <w:tcW w:type="dxa" w:w="33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No wallet deduction</w:t>
            </w:r>
          </w:p>
        </w:tc>
        <w:tc>
          <w:tcPr>
            <w:tcW w:type="dxa" w:w="1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Joint funded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Shared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Only </w:t>
            </w:r>
            <w:r>
              <w:rPr>
                <w:rFonts w:ascii="Consolas" w:cs="Consolas" w:eastAsia="Consolas" w:hAnsi="Consolas"/>
                <w:color w:val="B5179E"/>
                <w:sz w:val="18"/>
                <w:szCs w:val="18"/>
              </w:rPr>
              <w:t xml:space="preserve">future_link_contribution</w:t>
            </w:r>
            <w:r>
              <w:t xml:space="preserve"> debits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E8F4EA" w:val="clear"/>
            <w:tcMar>
              <w:top w:type="dxa" w:w="120"/>
              <w:left w:type="dxa" w:w="180"/>
              <w:bottom w:type="dxa" w:w="120"/>
              <w:right w:type="dxa" w:w="160"/>
            </w:tcMar>
          </w:tcPr>
          <w:p>
            <w:pPr>
              <w:spacing w:after="60"/>
            </w:pPr>
            <w:r>
              <w:rPr>
                <w:b/>
                <w:bCs/>
                <w:color w:val="0D1B3E"/>
                <w:sz w:val="21"/>
                <w:szCs w:val="21"/>
              </w:rPr>
              <w:t xml:space="preserve">Default for legacy offers</w:t>
            </w:r>
          </w:p>
          <w:p>
            <w:pPr>
              <w:spacing w:after="40"/>
            </w:pPr>
            <w:r>
              <w:t xml:space="preserve">Existing offers have no </w:t>
            </w:r>
            <w:r>
              <w:rPr>
                <w:rFonts w:ascii="Consolas" w:cs="Consolas" w:eastAsia="Consolas" w:hAnsi="Consolas"/>
                <w:color w:val="B5179E"/>
                <w:sz w:val="18"/>
                <w:szCs w:val="18"/>
              </w:rPr>
              <w:t xml:space="preserve">funding_source</w:t>
            </w:r>
            <w:r>
              <w:t xml:space="preserve">. Default them to </w:t>
            </w:r>
            <w:r>
              <w:rPr>
                <w:rFonts w:ascii="Consolas" w:cs="Consolas" w:eastAsia="Consolas" w:hAnsi="Consolas"/>
                <w:color w:val="B5179E"/>
                <w:sz w:val="18"/>
                <w:szCs w:val="18"/>
              </w:rPr>
              <w:t xml:space="preserve">future_link</w:t>
            </w:r>
            <w:r>
              <w:t xml:space="preserve"> on migration (safest: assumes FL pays). Finance to confirm whether any existing offers were actually university-funded and should be reclassified.</w:t>
            </w:r>
          </w:p>
        </w:tc>
      </w:tr>
    </w:tbl>
    <w:p>
      <w:pPr>
        <w:pStyle w:val="Heading1"/>
      </w:pPr>
      <w:r>
        <w:t xml:space="preserve">6. Refund / Clawback Policy</w:t>
      </w:r>
    </w:p>
    <w:p>
      <w:pPr>
        <w:spacing w:after="120" w:line="276"/>
      </w:pPr>
      <w:r>
        <w:t xml:space="preserve">When an invoice carrying an offer is refunded, what reverses?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Scenario</w:t>
            </w:r>
          </w:p>
        </w:tc>
        <w:tc>
          <w:tcPr>
            <w:tcW w:type="dxa" w:w="41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Proposed rule</w:t>
            </w:r>
          </w:p>
        </w:tc>
        <w:tc>
          <w:tcPr>
            <w:tcW w:type="dxa" w:w="2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Confirmed?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Full refund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Reverse allocation; credit wallet back fully; decrement redemption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r>
        <w:tc>
          <w:tcPr>
            <w:tcW w:type="dxa" w:w="2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Partial refund</w:t>
            </w:r>
          </w:p>
        </w:tc>
        <w:tc>
          <w:tcPr>
            <w:tcW w:type="dxa" w:w="41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Reverse pro-rata wallet amount</w:t>
            </w:r>
          </w:p>
        </w:tc>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University-funded refund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No wallet credit-back (nothing was debited)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r>
        <w:tc>
          <w:tcPr>
            <w:tcW w:type="dxa" w:w="2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Refund after period close</w:t>
            </w:r>
          </w:p>
        </w:tc>
        <w:tc>
          <w:tcPr>
            <w:tcW w:type="dxa" w:w="41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Adjust current period (not the closed one)</w:t>
            </w:r>
          </w:p>
        </w:tc>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Who approves clawback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Admin / Finance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r>
        <w:tc>
          <w:tcPr>
            <w:tcW w:type="dxa" w:w="2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Effect on achievement / score</w:t>
            </w:r>
          </w:p>
        </w:tc>
        <w:tc>
          <w:tcPr>
            <w:tcW w:type="dxa" w:w="41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Recalculate achievement % after reversal</w:t>
            </w:r>
          </w:p>
        </w:tc>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20A" w:sz="18"/>
              <w:bottom w:val="single" w:color="CCCCCC" w:sz="1"/>
              <w:right w:val="single" w:color="CCCCCC" w:sz="1"/>
            </w:tcBorders>
            <w:shd w:fill="FFF4D6" w:val="clear"/>
            <w:tcMar>
              <w:top w:type="dxa" w:w="100"/>
              <w:left w:type="dxa" w:w="180"/>
              <w:bottom w:type="dxa" w:w="100"/>
              <w:right w:type="dxa" w:w="160"/>
            </w:tcMar>
          </w:tcPr>
          <w:p>
            <w:r>
              <w:rPr>
                <w:b/>
                <w:bCs/>
                <w:color w:val="8A6300"/>
                <w:sz w:val="19"/>
                <w:szCs w:val="19"/>
              </w:rPr>
              <w:t xml:space="preserve">⚠ INFERENCE / TO CONFIRM: </w:t>
            </w:r>
            <w:r>
              <w:t xml:space="preserve">Refund-after-close handling (adjust current vs reopen closed period) has accounting implications. Finance must decide; it affects how </w:t>
            </w:r>
            <w:r>
              <w:rPr>
                <w:rFonts w:ascii="Consolas" w:cs="Consolas" w:eastAsia="Consolas" w:hAnsi="Consolas"/>
                <w:color w:val="B5179E"/>
                <w:sz w:val="18"/>
                <w:szCs w:val="18"/>
              </w:rPr>
              <w:t xml:space="preserve">fn_close_due_wallets</w:t>
            </w:r>
            <w:r>
              <w:t xml:space="preserve"> and incentive runs treat reversals.</w:t>
            </w:r>
          </w:p>
        </w:tc>
      </w:tr>
    </w:tbl>
    <w:p>
      <w:pPr>
        <w:pStyle w:val="Heading1"/>
      </w:pPr>
      <w:r>
        <w:t xml:space="preserve">7. Rollover Policy</w:t>
      </w:r>
    </w:p>
    <w:p>
      <w:pPr>
        <w:spacing w:after="120" w:line="276"/>
      </w:pPr>
      <w:r>
        <w:t xml:space="preserve">What happens to unspent wallet at period end (VERIFIED enum: expire | partial |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960"/>
        <w:gridCol w:w="1400"/>
      </w:tblGrid>
      <w:tr>
        <w:trPr>
          <w:tblHeader/>
        </w:trPr>
        <w:tc>
          <w:tcPr>
            <w:tcW w:type="dxa" w:w="16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Policy</w:t>
            </w:r>
          </w:p>
        </w:tc>
        <w:tc>
          <w:tcPr>
            <w:tcW w:type="dxa" w:w="3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Meaning</w:t>
            </w:r>
          </w:p>
        </w:tc>
        <w:tc>
          <w:tcPr>
            <w:tcW w:type="dxa" w:w="29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Proposed default</w:t>
            </w:r>
          </w:p>
        </w:tc>
        <w:tc>
          <w:tcPr>
            <w:tcW w:type="dxa" w:w="1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Confirmed?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expire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Unspent balance lost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Default for month-to-month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r>
        <w:tc>
          <w:tcPr>
            <w:tcW w:type="dxa" w:w="1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partial</w:t>
            </w:r>
          </w:p>
        </w:tc>
        <w:tc>
          <w:tcPr>
            <w:tcW w:type="dxa" w:w="3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Carry forward up to </w:t>
            </w:r>
            <w:r>
              <w:rPr>
                <w:rFonts w:ascii="Consolas" w:cs="Consolas" w:eastAsia="Consolas" w:hAnsi="Consolas"/>
                <w:color w:val="B5179E"/>
                <w:sz w:val="18"/>
                <w:szCs w:val="18"/>
              </w:rPr>
              <w:t xml:space="preserve">rollover_cap</w:t>
            </w:r>
          </w:p>
        </w:tc>
        <w:tc>
          <w:tcPr>
            <w:tcW w:type="dxa" w:w="29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For festive/scoped</w:t>
            </w:r>
          </w:p>
        </w:tc>
        <w:tc>
          <w:tcPr>
            <w:tcW w:type="dxa" w:w="1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full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Carry all unspent forward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Rarely; admin discretion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bl>
    <w:p>
      <w:pPr>
        <w:spacing w:after="120" w:line="276"/>
      </w:pPr>
      <w:r>
        <w:t xml:space="preserve">Rollover policy and </w:t>
      </w:r>
      <w:r>
        <w:rPr>
          <w:rFonts w:ascii="Consolas" w:cs="Consolas" w:eastAsia="Consolas" w:hAnsi="Consolas"/>
          <w:color w:val="B5179E"/>
          <w:sz w:val="18"/>
          <w:szCs w:val="18"/>
        </w:rPr>
        <w:t xml:space="preserve">rollover_cap</w:t>
      </w:r>
      <w:r>
        <w:t xml:space="preserve"> are per-wallet (VERIFIED columns). Grace window for reinstatement is in </w:t>
      </w:r>
      <w:r>
        <w:rPr>
          <w:rFonts w:ascii="Consolas" w:cs="Consolas" w:eastAsia="Consolas" w:hAnsi="Consolas"/>
          <w:color w:val="B5179E"/>
          <w:sz w:val="18"/>
          <w:szCs w:val="18"/>
        </w:rPr>
        <w:t xml:space="preserve">wallet_settings</w:t>
      </w:r>
      <w:r>
        <w:t xml:space="preserve"> (VERIFIED).</w:t>
      </w:r>
    </w:p>
    <w:p>
      <w:pPr>
        <w:pStyle w:val="Heading1"/>
      </w:pPr>
      <w:r>
        <w:t xml:space="preserve">8. Performance Score Weights</w:t>
      </w:r>
    </w:p>
    <w:p>
      <w:pPr>
        <w:spacing w:after="120" w:line="276"/>
      </w:pPr>
      <w:r>
        <w:t xml:space="preserve">Drives the multiplier (Scope §16.3). Must sum to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160"/>
        <w:gridCol w:w="2400"/>
      </w:tblGrid>
      <w:tr>
        <w:trPr>
          <w:tblHeader/>
        </w:trPr>
        <w:tc>
          <w:tcPr>
            <w:tcW w:type="dxa" w:w="38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Metric</w:t>
            </w:r>
          </w:p>
        </w:tc>
        <w:tc>
          <w:tcPr>
            <w:tcW w:type="dxa" w:w="31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Proposed weight</w:t>
            </w:r>
          </w:p>
        </w:tc>
        <w:tc>
          <w:tcPr>
            <w:tcW w:type="dxa" w:w="2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Confirmed?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Revenue achievement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40%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r>
        <w:tc>
          <w:tcPr>
            <w:tcW w:type="dxa" w:w="3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Conversion rate</w:t>
            </w:r>
          </w:p>
        </w:tc>
        <w:tc>
          <w:tcPr>
            <w:tcW w:type="dxa" w:w="31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20%</w:t>
            </w:r>
          </w:p>
        </w:tc>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Wallet ROI (revenue ÷ wallet used)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r>
        <w:tc>
          <w:tcPr>
            <w:tcW w:type="dxa" w:w="3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Collections received</w:t>
            </w:r>
          </w:p>
        </w:tc>
        <w:tc>
          <w:tcPr>
            <w:tcW w:type="dxa" w:w="31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10%</w:t>
            </w:r>
          </w:p>
        </w:tc>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Client satisfaction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E8F4EA" w:val="clear"/>
            <w:tcMar>
              <w:top w:type="dxa" w:w="120"/>
              <w:left w:type="dxa" w:w="180"/>
              <w:bottom w:type="dxa" w:w="120"/>
              <w:right w:type="dxa" w:w="160"/>
            </w:tcMar>
          </w:tcPr>
          <w:p>
            <w:pPr>
              <w:spacing w:after="60"/>
            </w:pPr>
            <w:r>
              <w:rPr>
                <w:b/>
                <w:bCs/>
                <w:color w:val="0D1B3E"/>
                <w:sz w:val="21"/>
                <w:szCs w:val="21"/>
              </w:rPr>
              <w:t xml:space="preserve">Guard (Scope §16.3)</w:t>
            </w:r>
          </w:p>
          <w:p>
            <w:pPr>
              <w:spacing w:after="40"/>
            </w:pPr>
            <w:r>
              <w:t xml:space="preserve">Bigger discounts alone must never earn a bigger wallet. Wallet ROI and conversion in the score ensure efficient closers are rewarded over heavy discounters. Finance confirms weights; the guard principle is non-negotiable.</w:t>
            </w:r>
          </w:p>
        </w:tc>
      </w:tr>
    </w:tbl>
    <w:p>
      <w:pPr>
        <w:pStyle w:val="Heading1"/>
      </w:pPr>
      <w:r>
        <w:t xml:space="preserve">9. Strategic Wallet Spend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2600"/>
        <w:gridCol w:w="1400"/>
      </w:tblGrid>
      <w:tr>
        <w:trPr>
          <w:tblHeader/>
        </w:trPr>
        <w:tc>
          <w:tcPr>
            <w:tcW w:type="dxa" w:w="22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Parameter</w:t>
            </w:r>
          </w:p>
        </w:tc>
        <w:tc>
          <w:tcPr>
            <w:tcW w:type="dxa" w:w="31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Options</w:t>
            </w:r>
          </w:p>
        </w:tc>
        <w:tc>
          <w:tcPr>
            <w:tcW w:type="dxa" w:w="26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Proposed default</w:t>
            </w:r>
          </w:p>
        </w:tc>
        <w:tc>
          <w:tcPr>
            <w:tcW w:type="dxa" w:w="1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Confirmed?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Spend order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strategic_first / personal_first / parallel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strategic_first (use management budget first)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r>
        <w:tc>
          <w:tcPr>
            <w:tcW w:type="dxa" w:w="2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Scope enforcement</w:t>
            </w:r>
          </w:p>
        </w:tc>
        <w:tc>
          <w:tcPr>
            <w:tcW w:type="dxa" w:w="31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country / service / category</w:t>
            </w:r>
          </w:p>
        </w:tc>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All three available via existing tags</w:t>
            </w:r>
          </w:p>
        </w:tc>
        <w:tc>
          <w:tcPr>
            <w:tcW w:type="dxa" w:w="1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 (VERIFIED tags)</w:t>
            </w:r>
          </w:p>
        </w:tc>
      </w:tr>
    </w:tbl>
    <w:p>
      <w:pPr>
        <w:pStyle w:val="Heading1"/>
      </w:pPr>
      <w:r>
        <w:t xml:space="preserve">10. Configuration Storage</w:t>
      </w:r>
    </w:p>
    <w:p>
      <w:pPr>
        <w:spacing w:after="120" w:line="276"/>
      </w:pPr>
      <w:r>
        <w:t xml:space="preserve">So Finance can tune without code changes, these values live in config tables, not constants:</w:t>
      </w:r>
    </w:p>
    <w:p>
      <w:pPr>
        <w:pStyle w:val="ListParagraph"/>
        <w:numPr>
          <w:ilvl w:val="0"/>
          <w:numId w:val="2"/>
        </w:numPr>
        <w:spacing w:after="60" w:line="264"/>
      </w:pPr>
      <w:r>
        <w:rPr>
          <w:rFonts w:ascii="Consolas" w:cs="Consolas" w:eastAsia="Consolas" w:hAnsi="Consolas"/>
          <w:color w:val="B5179E"/>
          <w:sz w:val="18"/>
          <w:szCs w:val="18"/>
        </w:rPr>
        <w:t xml:space="preserve">wallet_multiplier_bands</w:t>
      </w:r>
      <w:r>
        <w:t xml:space="preserve"> — base/band/multiplier per role &amp; service.</w:t>
      </w:r>
    </w:p>
    <w:p>
      <w:pPr>
        <w:pStyle w:val="ListParagraph"/>
        <w:numPr>
          <w:ilvl w:val="0"/>
          <w:numId w:val="2"/>
        </w:numPr>
        <w:spacing w:after="60" w:line="264"/>
      </w:pPr>
      <w:r>
        <w:rPr>
          <w:rFonts w:ascii="Consolas" w:cs="Consolas" w:eastAsia="Consolas" w:hAnsi="Consolas"/>
          <w:color w:val="B5179E"/>
          <w:sz w:val="18"/>
          <w:szCs w:val="18"/>
        </w:rPr>
        <w:t xml:space="preserve">wallet_unlock_rules</w:t>
      </w:r>
      <w:r>
        <w:t xml:space="preserve"> — model, floor, tolerance.</w:t>
      </w:r>
    </w:p>
    <w:p>
      <w:pPr>
        <w:pStyle w:val="ListParagraph"/>
        <w:numPr>
          <w:ilvl w:val="0"/>
          <w:numId w:val="2"/>
        </w:numPr>
        <w:spacing w:after="60" w:line="264"/>
      </w:pPr>
      <w:r>
        <w:rPr>
          <w:rFonts w:ascii="Consolas" w:cs="Consolas" w:eastAsia="Consolas" w:hAnsi="Consolas"/>
          <w:color w:val="B5179E"/>
          <w:sz w:val="18"/>
          <w:szCs w:val="18"/>
        </w:rPr>
        <w:t xml:space="preserve">wallet_topup_rules</w:t>
      </w:r>
      <w:r>
        <w:t xml:space="preserve"> — achievement-banded top-up amounts (VERIFIED, exists).</w:t>
      </w:r>
    </w:p>
    <w:p>
      <w:pPr>
        <w:pStyle w:val="ListParagraph"/>
        <w:numPr>
          <w:ilvl w:val="0"/>
          <w:numId w:val="2"/>
        </w:numPr>
        <w:spacing w:after="60" w:line="264"/>
      </w:pPr>
      <w:r>
        <w:rPr>
          <w:rFonts w:ascii="Consolas" w:cs="Consolas" w:eastAsia="Consolas" w:hAnsi="Consolas"/>
          <w:color w:val="B5179E"/>
          <w:sz w:val="18"/>
          <w:szCs w:val="18"/>
        </w:rPr>
        <w:t xml:space="preserve">approved_offer_types</w:t>
      </w:r>
      <w:r>
        <w:t xml:space="preserve"> — self-serve vs approval-required.</w:t>
      </w:r>
    </w:p>
    <w:p>
      <w:pPr>
        <w:pStyle w:val="ListParagraph"/>
        <w:numPr>
          <w:ilvl w:val="0"/>
          <w:numId w:val="2"/>
        </w:numPr>
        <w:spacing w:after="60" w:line="264"/>
      </w:pPr>
      <w:r>
        <w:t xml:space="preserve">A small </w:t>
      </w:r>
      <w:r>
        <w:rPr>
          <w:rFonts w:ascii="Consolas" w:cs="Consolas" w:eastAsia="Consolas" w:hAnsi="Consolas"/>
          <w:color w:val="B5179E"/>
          <w:sz w:val="18"/>
          <w:szCs w:val="18"/>
        </w:rPr>
        <w:t xml:space="preserve">business_rules_config</w:t>
      </w:r>
      <w:r>
        <w:t xml:space="preserve"> key-value table for floor price %, stacking flag, score weights, spend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20A" w:sz="18"/>
              <w:bottom w:val="single" w:color="CCCCCC" w:sz="1"/>
              <w:right w:val="single" w:color="CCCCCC" w:sz="1"/>
            </w:tcBorders>
            <w:shd w:fill="FFF4D6" w:val="clear"/>
            <w:tcMar>
              <w:top w:type="dxa" w:w="100"/>
              <w:left w:type="dxa" w:w="180"/>
              <w:bottom w:type="dxa" w:w="100"/>
              <w:right w:type="dxa" w:w="160"/>
            </w:tcMar>
          </w:tcPr>
          <w:p>
            <w:r>
              <w:rPr>
                <w:b/>
                <w:bCs/>
                <w:color w:val="8A6300"/>
                <w:sz w:val="19"/>
                <w:szCs w:val="19"/>
              </w:rPr>
              <w:t xml:space="preserve">⚠ INFERENCE / TO CONFIRM: </w:t>
            </w:r>
            <w:r>
              <w:rPr>
                <w:rFonts w:ascii="Consolas" w:cs="Consolas" w:eastAsia="Consolas" w:hAnsi="Consolas"/>
                <w:color w:val="B5179E"/>
                <w:sz w:val="18"/>
                <w:szCs w:val="18"/>
              </w:rPr>
              <w:t xml:space="preserve">business_rules_config</w:t>
            </w:r>
            <w:r>
              <w:t xml:space="preserve"> does not exist yet. Recommend adding it so floor price, score weights and stacking are editable by admins. Confirm whether Finance wants a UI to edit these or whether admin-only DB edits are acceptable initially.</w:t>
            </w:r>
          </w:p>
        </w:tc>
      </w:tr>
    </w:tbl>
    <w:p>
      <w:pPr>
        <w:pStyle w:val="Heading1"/>
      </w:pPr>
      <w:r>
        <w:t xml:space="preserve">11. Sign-off</w:t>
      </w:r>
    </w:p>
    <w:p>
      <w:pPr>
        <w:spacing w:after="120" w:line="276"/>
      </w:pPr>
      <w:r>
        <w:t xml:space="preserve">This sheet is not complete until every 'Confirmed?' box is ticked by the accountable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1800"/>
        <w:gridCol w:w="1200"/>
      </w:tblGrid>
      <w:tr>
        <w:trPr>
          <w:tblHeader/>
        </w:trPr>
        <w:tc>
          <w:tcPr>
            <w:tcW w:type="dxa" w:w="30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Section</w:t>
            </w:r>
          </w:p>
        </w:tc>
        <w:tc>
          <w:tcPr>
            <w:tcW w:type="dxa" w:w="33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Owner</w:t>
            </w:r>
          </w:p>
        </w:tc>
        <w:tc>
          <w:tcPr>
            <w:tcW w:type="dxa" w:w="18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Date</w:t>
            </w:r>
          </w:p>
        </w:tc>
        <w:tc>
          <w:tcPr>
            <w:tcW w:type="dxa" w:w="12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Approved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Wallet sizing &amp; multiplier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Finance + Ops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r>
        <w:tc>
          <w:tcPr>
            <w:tcW w:type="dxa" w:w="3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Unlock model</w:t>
            </w:r>
          </w:p>
        </w:tc>
        <w:tc>
          <w:tcPr>
            <w:tcW w:type="dxa" w:w="33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Ops</w:t>
            </w:r>
          </w:p>
        </w:tc>
        <w:tc>
          <w:tcPr>
            <w:tcW w:type="dxa" w:w="1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tc>
        <w:tc>
          <w:tcPr>
            <w:tcW w:type="dxa" w:w="1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Discount limits &amp; depth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Finance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r>
        <w:tc>
          <w:tcPr>
            <w:tcW w:type="dxa" w:w="3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Funding source rules</w:t>
            </w:r>
          </w:p>
        </w:tc>
        <w:tc>
          <w:tcPr>
            <w:tcW w:type="dxa" w:w="33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Finance + Partnerships</w:t>
            </w:r>
          </w:p>
        </w:tc>
        <w:tc>
          <w:tcPr>
            <w:tcW w:type="dxa" w:w="1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tc>
        <w:tc>
          <w:tcPr>
            <w:tcW w:type="dxa" w:w="1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Refund / clawback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Finance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r>
        <w:tc>
          <w:tcPr>
            <w:tcW w:type="dxa" w:w="3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Rollover</w:t>
            </w:r>
          </w:p>
        </w:tc>
        <w:tc>
          <w:tcPr>
            <w:tcW w:type="dxa" w:w="33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Finance</w:t>
            </w:r>
          </w:p>
        </w:tc>
        <w:tc>
          <w:tcPr>
            <w:tcW w:type="dxa" w:w="1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tc>
        <w:tc>
          <w:tcPr>
            <w:tcW w:type="dxa" w:w="1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Score weights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Ops + Leadership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360"/>
      </w:tabs>
    </w:pPr>
    <w:r>
      <w:rPr>
        <w:color w:val="888888"/>
        <w:sz w:val="16"/>
        <w:szCs w:val="16"/>
      </w:rPr>
      <w:t xml:space="preserve">Confidential</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360"/>
      </w:tabs>
    </w:pPr>
    <w:r>
      <w:rPr>
        <w:b/>
        <w:bCs/>
        <w:color w:val="0D1B3E"/>
        <w:sz w:val="16"/>
        <w:szCs w:val="16"/>
      </w:rPr>
      <w:t xml:space="preserve">Future Link Consultants</w:t>
    </w:r>
    <w:r>
      <w:rPr>
        <w:color w:val="888888"/>
        <w:sz w:val="16"/>
        <w:szCs w:val="16"/>
      </w:rPr>
      <w:t xml:space="preserve">	Business Rules &amp; Configuration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202F" w:sz="12" w:space="4"/>
      </w:pBdr>
      <w:spacing w:after="160" w:before="320"/>
      <w:outlineLvl w:val="0"/>
    </w:pPr>
    <w:rPr>
      <w:rFonts w:ascii="Arial" w:cs="Arial" w:eastAsia="Arial" w:hAnsi="Arial"/>
      <w:b/>
      <w:bCs/>
      <w:color w:val="0D1B3E"/>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3A6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Rules &amp; Configuration</dc:title>
  <dc:creator>Future Link Consultants</dc:creator>
  <cp:lastModifiedBy>Un-named</cp:lastModifiedBy>
  <cp:revision>1</cp:revision>
  <dcterms:created xsi:type="dcterms:W3CDTF">2026-06-10T00:23:29.701Z</dcterms:created>
  <dcterms:modified xsi:type="dcterms:W3CDTF">2026-06-10T00:23:29.701Z</dcterms:modified>
</cp:coreProperties>
</file>

<file path=docProps/custom.xml><?xml version="1.0" encoding="utf-8"?>
<Properties xmlns="http://schemas.openxmlformats.org/officeDocument/2006/custom-properties" xmlns:vt="http://schemas.openxmlformats.org/officeDocument/2006/docPropsVTypes"/>
</file>