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b/>
          <w:bCs/>
          <w:color w:val="0D1B3E"/>
          <w:sz w:val="46"/>
          <w:szCs w:val="46"/>
        </w:rPr>
        <w:t xml:space="preserve">FUTURE LINK CONSULTANTS</w:t>
      </w:r>
    </w:p>
    <w:p>
      <w:pPr>
        <w:spacing w:after="60"/>
        <w:jc w:val="center"/>
      </w:pPr>
      <w:r>
        <w:rPr>
          <w:i/>
          <w:iCs/>
          <w:color w:val="C8202F"/>
          <w:sz w:val="20"/>
          <w:szCs w:val="20"/>
        </w:rPr>
        <w:t xml:space="preserve">A way to career abroad</w:t>
      </w:r>
    </w:p>
    <w:p>
      <w:pPr>
        <w:spacing w:after="400"/>
        <w:jc w:val="center"/>
      </w:pPr>
      <w:r>
        <w:rPr>
          <w:color w:val="1F3A66"/>
          <w:sz w:val="18"/>
          <w:szCs w:val="18"/>
        </w:rPr>
        <w:t xml:space="preserve">Offers, Discounts &amp; Counsellor Wallet Module</w:t>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0D1B3E" w:val="clear"/>
            <w:tcMar>
              <w:top w:type="dxa" w:w="280"/>
              <w:left w:type="dxa" w:w="200"/>
              <w:bottom w:type="dxa" w:w="280"/>
              <w:right w:type="dxa" w:w="200"/>
            </w:tcMar>
          </w:tcPr>
          <w:p>
            <w:pPr>
              <w:spacing w:after="60"/>
              <w:jc w:val="center"/>
            </w:pPr>
            <w:r>
              <w:rPr>
                <w:color w:val="D5E8F0"/>
                <w:sz w:val="18"/>
                <w:szCs w:val="18"/>
              </w:rPr>
              <w:t xml:space="preserve">DOCUMENT 8 OF 5</w:t>
            </w:r>
          </w:p>
          <w:p>
            <w:pPr>
              <w:spacing w:after="40"/>
              <w:jc w:val="center"/>
            </w:pPr>
            <w:r>
              <w:rPr>
                <w:b/>
                <w:bCs/>
                <w:color w:val="FFFFFF"/>
                <w:sz w:val="34"/>
                <w:szCs w:val="34"/>
              </w:rPr>
              <w:t xml:space="preserve">MIGRATION &amp;</w:t>
            </w:r>
          </w:p>
          <w:p>
            <w:pPr>
              <w:spacing w:after="0"/>
              <w:jc w:val="center"/>
            </w:pPr>
            <w:r>
              <w:rPr>
                <w:b/>
                <w:bCs/>
                <w:color w:val="FFFFFF"/>
                <w:sz w:val="34"/>
                <w:szCs w:val="34"/>
              </w:rPr>
              <w:t xml:space="preserve">ROLLOUT PLAN</w:t>
            </w:r>
          </w:p>
        </w:tc>
      </w:tr>
    </w:tbl>
    <w:p>
      <w:pPr>
        <w:spacing w:after="40" w:before="500"/>
        <w:jc w:val="center"/>
      </w:pPr>
      <w:r>
        <w:rPr>
          <w:color w:val="1F3A66"/>
          <w:sz w:val="20"/>
          <w:szCs w:val="20"/>
        </w:rPr>
        <w:t xml:space="preserve">Migrate live data, flag features, pilot safely</w:t>
      </w:r>
    </w:p>
    <w:p>
      <w:pPr>
        <w:spacing w:after="40" w:before="900"/>
        <w:jc w:val="center"/>
      </w:pPr>
      <w:r>
        <w:rPr>
          <w:color w:val="777777"/>
          <w:sz w:val="17"/>
          <w:szCs w:val="17"/>
        </w:rPr>
        <w:t xml:space="preserve">Stack: React 18 + Vite + TypeScript + Supabase (PostgreSQL)</w:t>
      </w:r>
    </w:p>
    <w:p>
      <w:pPr>
        <w:jc w:val="center"/>
      </w:pPr>
      <w:r>
        <w:rPr>
          <w:color w:val="777777"/>
          <w:sz w:val="17"/>
          <w:szCs w:val="17"/>
        </w:rPr>
        <w:t xml:space="preserve">Version 1.0  •  Confidential  •  Verified against the current codebase</w:t>
      </w:r>
    </w:p>
    <w:p>
      <w:pPr>
        <w:spacing w:before="40"/>
        <w:jc w:val="center"/>
      </w:pPr>
      <w:r>
        <w:rPr>
          <w:i/>
          <w:iCs/>
          <w:color w:val="999999"/>
          <w:sz w:val="16"/>
          <w:szCs w:val="16"/>
        </w:rPr>
        <w:t xml:space="preserve">Amber boxes flag inferences not verifiable from the provided code.</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w:t>
      </w:r>
    </w:p>
    <w:p>
      <w:pPr>
        <w:spacing w:after="120" w:line="276"/>
      </w:pPr>
      <w:r>
        <w:t xml:space="preserve">The system is already live: there are existing offers, counsellor wallets (some at ₹0), and an active campaign. This plan covers how to introduce the new schema and behaviour without disrupting current operations — what to migrate vs grandfather, which features to flag off initially, backward compatibility, rollback, and a pilot-before-all-branches rollout.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E8F4EA" w:val="clear"/>
            <w:tcMar>
              <w:top w:type="dxa" w:w="120"/>
              <w:left w:type="dxa" w:w="180"/>
              <w:bottom w:type="dxa" w:w="120"/>
              <w:right w:type="dxa" w:w="160"/>
            </w:tcMar>
          </w:tcPr>
          <w:p>
            <w:pPr>
              <w:spacing w:after="60"/>
            </w:pPr>
            <w:r>
              <w:rPr>
                <w:b/>
                <w:bCs/>
                <w:color w:val="0D1B3E"/>
                <w:sz w:val="21"/>
                <w:szCs w:val="21"/>
              </w:rPr>
              <w:t xml:space="preserve">Guiding rule</w:t>
            </w:r>
          </w:p>
          <w:p>
            <w:pPr>
              <w:spacing w:after="40"/>
            </w:pPr>
            <w:r>
              <w:t xml:space="preserve">Add, don't disrupt. Every change is additive or behind a flag until verified on a pilot branch. Existing screens (Offers Admin, Give Discount, Wallet Top-ups, Period Close) must keep working at every step.</w:t>
            </w:r>
          </w:p>
        </w:tc>
      </w:tr>
    </w:tbl>
    <w:p>
      <w:pPr>
        <w:pStyle w:val="Heading1"/>
      </w:pPr>
      <w:r>
        <w:t xml:space="preserve">2. Existing Data — Migrate vs Grandfather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60"/>
        <w:gridCol w:w="4400"/>
      </w:tblGrid>
      <w:tr>
        <w:trPr>
          <w:tblHeader/>
        </w:trPr>
        <w:tc>
          <w:tcPr>
            <w:tcW w:type="dxa" w:w="26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Existing data</w:t>
            </w:r>
          </w:p>
        </w:tc>
        <w:tc>
          <w:tcPr>
            <w:tcW w:type="dxa" w:w="236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Action</w:t>
            </w:r>
          </w:p>
        </w:tc>
        <w:tc>
          <w:tcPr>
            <w:tcW w:type="dxa" w:w="44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Current offers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Grandfather + backfill</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Default new columns; keep </w:t>
            </w:r>
            <w:r>
              <w:rPr>
                <w:rFonts w:ascii="Consolas" w:cs="Consolas" w:eastAsia="Consolas" w:hAnsi="Consolas"/>
                <w:color w:val="B5179E"/>
                <w:sz w:val="18"/>
                <w:szCs w:val="18"/>
              </w:rPr>
              <w:t xml:space="preserve">is_active</w:t>
            </w:r>
            <w:r>
              <w:t xml:space="preserve"> working</w:t>
            </w:r>
          </w:p>
        </w:tc>
      </w:tr>
      <w:tr>
        <w:tc>
          <w:tcPr>
            <w:tcW w:type="dxa" w:w="2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rPr>
                <w:rFonts w:ascii="Consolas" w:cs="Consolas" w:eastAsia="Consolas" w:hAnsi="Consolas"/>
                <w:color w:val="B5179E"/>
                <w:sz w:val="18"/>
                <w:szCs w:val="18"/>
              </w:rPr>
              <w:t xml:space="preserve">discount_wallets</w:t>
            </w:r>
            <w:r>
              <w:t xml:space="preserve"> (incl. ₹0)</w:t>
            </w:r>
          </w:p>
        </w:tc>
        <w:tc>
          <w:tcPr>
            <w:tcW w:type="dxa" w:w="23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Keep as-is</w:t>
            </w:r>
          </w:p>
        </w:tc>
        <w:tc>
          <w:tcPr>
            <w:tcW w:type="dxa" w:w="44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New sizing applies from next period close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nsolas" w:cs="Consolas" w:eastAsia="Consolas" w:hAnsi="Consolas"/>
                <w:color w:val="B5179E"/>
                <w:sz w:val="18"/>
                <w:szCs w:val="18"/>
              </w:rPr>
              <w:t xml:space="preserve">wallet_allocations</w:t>
            </w:r>
            <w:r>
              <w:t xml:space="preserve"> / </w:t>
            </w:r>
            <w:r>
              <w:rPr>
                <w:rFonts w:ascii="Consolas" w:cs="Consolas" w:eastAsia="Consolas" w:hAnsi="Consolas"/>
                <w:color w:val="B5179E"/>
                <w:sz w:val="18"/>
                <w:szCs w:val="18"/>
              </w:rPr>
              <w:t xml:space="preserve">wallet_ledger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Keep</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History preserved; no reprocessing</w:t>
            </w:r>
          </w:p>
        </w:tc>
      </w:tr>
      <w:tr>
        <w:tc>
          <w:tcPr>
            <w:tcW w:type="dxa" w:w="2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rPr>
                <w:rFonts w:ascii="Consolas" w:cs="Consolas" w:eastAsia="Consolas" w:hAnsi="Consolas"/>
                <w:color w:val="B5179E"/>
                <w:sz w:val="18"/>
                <w:szCs w:val="18"/>
              </w:rPr>
              <w:t xml:space="preserve">incentive_targets</w:t>
            </w:r>
            <w:r>
              <w:t xml:space="preserve"> / </w:t>
            </w:r>
            <w:r>
              <w:rPr>
                <w:rFonts w:ascii="Consolas" w:cs="Consolas" w:eastAsia="Consolas" w:hAnsi="Consolas"/>
                <w:color w:val="B5179E"/>
                <w:sz w:val="18"/>
                <w:szCs w:val="18"/>
              </w:rPr>
              <w:t xml:space="preserve">incentive_runs</w:t>
            </w:r>
          </w:p>
        </w:tc>
        <w:tc>
          <w:tcPr>
            <w:tcW w:type="dxa" w:w="23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Reuse</w:t>
            </w:r>
          </w:p>
        </w:tc>
        <w:tc>
          <w:tcPr>
            <w:tcW w:type="dxa" w:w="44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Feed achievement % going forward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Active campaign (Summer Bonus etc.)</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Do not interrupt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Let it run on current logic; migrate at its period boundary</w:t>
            </w:r>
          </w:p>
        </w:tc>
      </w:tr>
      <w:tr>
        <w:tc>
          <w:tcPr>
            <w:tcW w:type="dxa" w:w="2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rPr>
                <w:rFonts w:ascii="Consolas" w:cs="Consolas" w:eastAsia="Consolas" w:hAnsi="Consolas"/>
                <w:color w:val="B5179E"/>
                <w:sz w:val="18"/>
                <w:szCs w:val="18"/>
              </w:rPr>
              <w:t xml:space="preserve">upi_promotions</w:t>
            </w:r>
          </w:p>
        </w:tc>
        <w:tc>
          <w:tcPr>
            <w:tcW w:type="dxa" w:w="23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Keep</w:t>
            </w:r>
          </w:p>
        </w:tc>
        <w:tc>
          <w:tcPr>
            <w:tcW w:type="dxa" w:w="44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Source for university-funded mapping</w:t>
            </w:r>
          </w:p>
        </w:tc>
      </w:tr>
    </w:tbl>
    <w:p>
      <w:pPr>
        <w:pStyle w:val="Heading2"/>
      </w:pPr>
      <w:r>
        <w:t xml:space="preserve">2.1 Backfill defaults for existing offers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40"/>
              <w:left w:type="dxa" w:w="160"/>
              <w:bottom w:type="dxa" w:w="140"/>
              <w:right w:type="dxa" w:w="160"/>
            </w:tcMar>
          </w:tcPr>
          <w:p>
            <w:pPr>
              <w:spacing w:after="0" w:line="240"/>
            </w:pPr>
            <w:r>
              <w:rPr>
                <w:rFonts w:ascii="Consolas" w:cs="Consolas" w:eastAsia="Consolas" w:hAnsi="Consolas"/>
                <w:color w:val="E6E6E6"/>
                <w:sz w:val="16"/>
                <w:szCs w:val="16"/>
              </w:rPr>
              <w:t xml:space="preserve">-- Run AFTER adding the new columns (Sprint 1 migration)</w:t>
            </w:r>
          </w:p>
          <w:p>
            <w:pPr>
              <w:spacing w:after="0" w:line="240"/>
            </w:pPr>
            <w:r>
              <w:rPr>
                <w:rFonts w:ascii="Consolas" w:cs="Consolas" w:eastAsia="Consolas" w:hAnsi="Consolas"/>
                <w:color w:val="E6E6E6"/>
                <w:sz w:val="16"/>
                <w:szCs w:val="16"/>
              </w:rPr>
              <w:t xml:space="preserve">UPDATE public.offers SET</w:t>
            </w:r>
          </w:p>
          <w:p>
            <w:pPr>
              <w:spacing w:after="0" w:line="240"/>
            </w:pPr>
            <w:r>
              <w:rPr>
                <w:rFonts w:ascii="Consolas" w:cs="Consolas" w:eastAsia="Consolas" w:hAnsi="Consolas"/>
                <w:color w:val="E6E6E6"/>
                <w:sz w:val="16"/>
                <w:szCs w:val="16"/>
              </w:rPr>
              <w:t xml:space="preserve">  status = CASE WHEN is_active THEN 'active' ELSE 'archived' END,</w:t>
            </w:r>
          </w:p>
          <w:p>
            <w:pPr>
              <w:spacing w:after="0" w:line="240"/>
            </w:pPr>
            <w:r>
              <w:rPr>
                <w:rFonts w:ascii="Consolas" w:cs="Consolas" w:eastAsia="Consolas" w:hAnsi="Consolas"/>
                <w:color w:val="E6E6E6"/>
                <w:sz w:val="16"/>
                <w:szCs w:val="16"/>
              </w:rPr>
              <w:t xml:space="preserve">  funding_source = 'future_link',     -- safest default; FL assumed to pay</w:t>
            </w:r>
          </w:p>
          <w:p>
            <w:pPr>
              <w:spacing w:after="0" w:line="240"/>
            </w:pPr>
            <w:r>
              <w:rPr>
                <w:rFonts w:ascii="Consolas" w:cs="Consolas" w:eastAsia="Consolas" w:hAnsi="Consolas"/>
                <w:color w:val="E6E6E6"/>
                <w:sz w:val="16"/>
                <w:szCs w:val="16"/>
              </w:rPr>
              <w:t xml:space="preserve">  version = 1</w:t>
            </w:r>
          </w:p>
          <w:p>
            <w:pPr>
              <w:spacing w:after="0" w:line="240"/>
            </w:pPr>
            <w:r>
              <w:rPr>
                <w:rFonts w:ascii="Consolas" w:cs="Consolas" w:eastAsia="Consolas" w:hAnsi="Consolas"/>
                <w:color w:val="E6E6E6"/>
                <w:sz w:val="16"/>
                <w:szCs w:val="16"/>
              </w:rPr>
              <w:t xml:space="preserve">WHERE status IS NULL;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8920A" w:sz="18"/>
              <w:bottom w:val="single" w:color="CCCCCC" w:sz="1"/>
              <w:right w:val="single" w:color="CCCCCC" w:sz="1"/>
            </w:tcBorders>
            <w:shd w:fill="FFF4D6" w:val="clear"/>
            <w:tcMar>
              <w:top w:type="dxa" w:w="100"/>
              <w:left w:type="dxa" w:w="180"/>
              <w:bottom w:type="dxa" w:w="100"/>
              <w:right w:type="dxa" w:w="160"/>
            </w:tcMar>
          </w:tcPr>
          <w:p>
            <w:r>
              <w:rPr>
                <w:b/>
                <w:bCs/>
                <w:color w:val="8A6300"/>
                <w:sz w:val="19"/>
                <w:szCs w:val="19"/>
              </w:rPr>
              <w:t xml:space="preserve">⚠ INFERENCE / TO CONFIRM: </w:t>
            </w:r>
            <w:r>
              <w:t xml:space="preserve">Defaulting all existing offers to funding_source='future_link' assumes Future Link funded them. If any current offers were university/joint funded, Finance must reclassify those rows before wallet deduction goes live, or counsellor wallets could be wrongly charged historically. (Historic allocations are not reprocessed, but new redemptions on old offers would use the default.)</w:t>
            </w:r>
          </w:p>
        </w:tc>
      </w:tr>
    </w:tbl>
    <w:p>
      <w:pPr>
        <w:pStyle w:val="Heading1"/>
      </w:pPr>
      <w:r>
        <w:t xml:space="preserve">3. Feature Flags</w:t>
      </w:r>
    </w:p>
    <w:p>
      <w:pPr>
        <w:spacing w:after="120" w:line="276"/>
      </w:pPr>
      <w:r>
        <w:t xml:space="preserve">New behaviour is gated so it can be enabled per environment/branch and rolled back instantly.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860"/>
        <w:gridCol w:w="2600"/>
      </w:tblGrid>
      <w:tr>
        <w:trPr>
          <w:tblHeader/>
        </w:trPr>
        <w:tc>
          <w:tcPr>
            <w:tcW w:type="dxa" w:w="29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Flag</w:t>
            </w:r>
          </w:p>
        </w:tc>
        <w:tc>
          <w:tcPr>
            <w:tcW w:type="dxa" w:w="386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Controls</w:t>
            </w:r>
          </w:p>
        </w:tc>
        <w:tc>
          <w:tcPr>
            <w:tcW w:type="dxa" w:w="26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Initial state</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nsolas" w:cs="Consolas" w:eastAsia="Consolas" w:hAnsi="Consolas"/>
                <w:color w:val="B5179E"/>
                <w:sz w:val="18"/>
                <w:szCs w:val="18"/>
              </w:rPr>
              <w:t xml:space="preserve">offers_lifecycle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Status workflow &amp; widgets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ON (additive, safe)</w:t>
            </w:r>
          </w:p>
        </w:tc>
      </w:tr>
      <w:tr>
        <w:tc>
          <w:tcPr>
            <w:tcW w:type="dxa" w:w="29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rPr>
                <w:rFonts w:ascii="Consolas" w:cs="Consolas" w:eastAsia="Consolas" w:hAnsi="Consolas"/>
                <w:color w:val="B5179E"/>
                <w:sz w:val="18"/>
                <w:szCs w:val="18"/>
              </w:rPr>
              <w:t xml:space="preserve">wallet_sizing</w:t>
            </w:r>
          </w:p>
        </w:tc>
        <w:tc>
          <w:tcPr>
            <w:tcW w:type="dxa" w:w="38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Auto base×multiplier sizing</w:t>
            </w:r>
          </w:p>
        </w:tc>
        <w:tc>
          <w:tcPr>
            <w:tcW w:type="dxa" w:w="2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OFF until pilot</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nsolas" w:cs="Consolas" w:eastAsia="Consolas" w:hAnsi="Consolas"/>
                <w:color w:val="B5179E"/>
                <w:sz w:val="18"/>
                <w:szCs w:val="18"/>
              </w:rPr>
              <w:t xml:space="preserve">wallet_unlock_gating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Block spend beyond unlocked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OFF until Sprint 3 verified</w:t>
            </w:r>
          </w:p>
        </w:tc>
      </w:tr>
      <w:tr>
        <w:tc>
          <w:tcPr>
            <w:tcW w:type="dxa" w:w="29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rPr>
                <w:rFonts w:ascii="Consolas" w:cs="Consolas" w:eastAsia="Consolas" w:hAnsi="Consolas"/>
                <w:color w:val="B5179E"/>
                <w:sz w:val="18"/>
                <w:szCs w:val="18"/>
              </w:rPr>
              <w:t xml:space="preserve">funding_aware_deduction</w:t>
            </w:r>
          </w:p>
        </w:tc>
        <w:tc>
          <w:tcPr>
            <w:tcW w:type="dxa" w:w="38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University/Joint no-deduct logic</w:t>
            </w:r>
          </w:p>
        </w:tc>
        <w:tc>
          <w:tcPr>
            <w:tcW w:type="dxa" w:w="2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OFF until funding data clean</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nsolas" w:cs="Consolas" w:eastAsia="Consolas" w:hAnsi="Consolas"/>
                <w:color w:val="B5179E"/>
                <w:sz w:val="18"/>
                <w:szCs w:val="18"/>
              </w:rPr>
              <w:t xml:space="preserve">strategic_wallet_enforcement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Ring-fence scope tags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OFF until pilot</w:t>
            </w:r>
          </w:p>
        </w:tc>
      </w:tr>
      <w:tr>
        <w:tc>
          <w:tcPr>
            <w:tcW w:type="dxa" w:w="29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rPr>
                <w:rFonts w:ascii="Consolas" w:cs="Consolas" w:eastAsia="Consolas" w:hAnsi="Consolas"/>
                <w:color w:val="B5179E"/>
                <w:sz w:val="18"/>
                <w:szCs w:val="18"/>
              </w:rPr>
              <w:t xml:space="preserve">promotion_requests</w:t>
            </w:r>
          </w:p>
        </w:tc>
        <w:tc>
          <w:tcPr>
            <w:tcW w:type="dxa" w:w="38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Field request workflow</w:t>
            </w:r>
          </w:p>
        </w:tc>
        <w:tc>
          <w:tcPr>
            <w:tcW w:type="dxa" w:w="2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ON when shipped</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nsolas" w:cs="Consolas" w:eastAsia="Consolas" w:hAnsi="Consolas"/>
                <w:color w:val="B5179E"/>
                <w:sz w:val="18"/>
                <w:szCs w:val="18"/>
              </w:rPr>
              <w:t xml:space="preserve">ai_suggestions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On-screen suggestions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OFF until catalogue ready</w:t>
            </w:r>
          </w:p>
        </w:tc>
      </w:tr>
      <w:tr>
        <w:tc>
          <w:tcPr>
            <w:tcW w:type="dxa" w:w="29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rPr>
                <w:rFonts w:ascii="Consolas" w:cs="Consolas" w:eastAsia="Consolas" w:hAnsi="Consolas"/>
                <w:color w:val="B5179E"/>
                <w:sz w:val="18"/>
                <w:szCs w:val="18"/>
              </w:rPr>
              <w:t xml:space="preserve">ai_auto_send</w:t>
            </w:r>
          </w:p>
        </w:tc>
        <w:tc>
          <w:tcPr>
            <w:tcW w:type="dxa" w:w="38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Safe auto-send (L2)</w:t>
            </w:r>
          </w:p>
        </w:tc>
        <w:tc>
          <w:tcPr>
            <w:tcW w:type="dxa" w:w="2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OFF until L1 trusted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E8F4EA" w:val="clear"/>
            <w:tcMar>
              <w:top w:type="dxa" w:w="120"/>
              <w:left w:type="dxa" w:w="180"/>
              <w:bottom w:type="dxa" w:w="120"/>
              <w:right w:type="dxa" w:w="160"/>
            </w:tcMar>
          </w:tcPr>
          <w:p>
            <w:pPr>
              <w:spacing w:after="60"/>
            </w:pPr>
            <w:r>
              <w:rPr>
                <w:b/>
                <w:bCs/>
                <w:color w:val="0D1B3E"/>
                <w:sz w:val="21"/>
                <w:szCs w:val="21"/>
              </w:rPr>
              <w:t xml:space="preserve">Why gate unlock gating</w:t>
            </w:r>
          </w:p>
          <w:p>
            <w:pPr>
              <w:spacing w:after="40"/>
            </w:pPr>
            <w:r>
              <w:t xml:space="preserve">Turning on unlock gating changes what counsellors can spend TODAY. If switched on globally before pilot, a counsellor mid-period could suddenly be blocked. Enable per pilot branch, observe a full period, then expand.</w:t>
            </w:r>
          </w:p>
        </w:tc>
      </w:tr>
    </w:tbl>
    <w:p>
      <w:pPr>
        <w:pStyle w:val="Heading1"/>
      </w:pPr>
      <w:r>
        <w:t xml:space="preserve">4. Backward Compatibility</w:t>
      </w:r>
    </w:p>
    <w:p>
      <w:pPr>
        <w:pStyle w:val="ListParagraph"/>
        <w:numPr>
          <w:ilvl w:val="0"/>
          <w:numId w:val="2"/>
        </w:numPr>
        <w:spacing w:after="60" w:line="264"/>
      </w:pPr>
      <w:r>
        <w:rPr>
          <w:b/>
          <w:bCs/>
        </w:rPr>
        <w:t xml:space="preserve">`is_active` kept in sync with `status`</w:t>
      </w:r>
      <w:r>
        <w:t xml:space="preserve"> via trigger so OffersAdmin and PortalOffers keep functioning until they migrate to </w:t>
      </w:r>
      <w:r>
        <w:rPr>
          <w:rFonts w:ascii="Consolas" w:cs="Consolas" w:eastAsia="Consolas" w:hAnsi="Consolas"/>
          <w:color w:val="B5179E"/>
          <w:sz w:val="18"/>
          <w:szCs w:val="18"/>
        </w:rPr>
        <w:t xml:space="preserve">status</w:t>
      </w:r>
      <w:r>
        <w:t xml:space="preserve">.</w:t>
      </w:r>
    </w:p>
    <w:p>
      <w:pPr>
        <w:pStyle w:val="ListParagraph"/>
        <w:numPr>
          <w:ilvl w:val="0"/>
          <w:numId w:val="2"/>
        </w:numPr>
        <w:spacing w:after="60" w:line="264"/>
      </w:pPr>
      <w:r>
        <w:rPr>
          <w:b/>
          <w:bCs/>
        </w:rPr>
        <w:t xml:space="preserve">Existing Give Discount path preserved</w:t>
      </w:r>
      <w:r>
        <w:t xml:space="preserve"> — </w:t>
      </w:r>
      <w:r>
        <w:rPr>
          <w:rFonts w:ascii="Consolas" w:cs="Consolas" w:eastAsia="Consolas" w:hAnsi="Consolas"/>
          <w:color w:val="B5179E"/>
          <w:sz w:val="18"/>
          <w:szCs w:val="18"/>
        </w:rPr>
        <w:t xml:space="preserve">fn_apply_offer_discount</w:t>
      </w:r>
      <w:r>
        <w:t xml:space="preserve"> wraps the current allocation insert + trigger; with </w:t>
      </w:r>
      <w:r>
        <w:rPr>
          <w:rFonts w:ascii="Consolas" w:cs="Consolas" w:eastAsia="Consolas" w:hAnsi="Consolas"/>
          <w:color w:val="B5179E"/>
          <w:sz w:val="18"/>
          <w:szCs w:val="18"/>
        </w:rPr>
        <w:t xml:space="preserve">wallet_unlock_gating</w:t>
      </w:r>
      <w:r>
        <w:t xml:space="preserve"> OFF it behaves exactly as today.</w:t>
      </w:r>
    </w:p>
    <w:p>
      <w:pPr>
        <w:pStyle w:val="ListParagraph"/>
        <w:numPr>
          <w:ilvl w:val="0"/>
          <w:numId w:val="2"/>
        </w:numPr>
        <w:spacing w:after="60" w:line="264"/>
      </w:pPr>
      <w:r>
        <w:rPr>
          <w:b/>
          <w:bCs/>
        </w:rPr>
        <w:t xml:space="preserve">Default `funding_source='future_link'`</w:t>
      </w:r>
      <w:r>
        <w:t xml:space="preserve"> so any code not yet funding-aware behaves as before (full deduction).</w:t>
      </w:r>
    </w:p>
    <w:p>
      <w:pPr>
        <w:pStyle w:val="ListParagraph"/>
        <w:numPr>
          <w:ilvl w:val="0"/>
          <w:numId w:val="2"/>
        </w:numPr>
        <w:spacing w:after="60" w:line="264"/>
      </w:pPr>
      <w:r>
        <w:rPr>
          <w:b/>
          <w:bCs/>
        </w:rPr>
        <w:t xml:space="preserve">No reprocessing of historical allocations / ledger</w:t>
      </w:r>
      <w:r>
        <w:t xml:space="preserve"> — new logic applies forward only.</w:t>
      </w:r>
    </w:p>
    <w:p>
      <w:pPr>
        <w:pStyle w:val="ListParagraph"/>
        <w:numPr>
          <w:ilvl w:val="0"/>
          <w:numId w:val="2"/>
        </w:numPr>
        <w:spacing w:after="60" w:line="264"/>
      </w:pPr>
      <w:r>
        <w:rPr>
          <w:b/>
          <w:bCs/>
        </w:rPr>
        <w:t xml:space="preserve">`credit_wallet` untouched</w:t>
      </w:r>
      <w:r>
        <w:t xml:space="preserve"> — strictly separate from </w:t>
      </w:r>
      <w:r>
        <w:rPr>
          <w:rFonts w:ascii="Consolas" w:cs="Consolas" w:eastAsia="Consolas" w:hAnsi="Consolas"/>
          <w:color w:val="B5179E"/>
          <w:sz w:val="18"/>
          <w:szCs w:val="18"/>
        </w:rPr>
        <w:t xml:space="preserve">discount_wallets</w:t>
      </w:r>
      <w:r>
        <w:t xml:space="preserve">.</w:t>
      </w:r>
    </w:p>
    <w:p>
      <w:pPr>
        <w:pStyle w:val="Heading1"/>
      </w:pPr>
      <w:r>
        <w:t xml:space="preserve">5. Migration Sequence</w:t>
      </w:r>
    </w:p>
    <w:p>
      <w:pPr>
        <w:spacing w:after="120" w:line="276"/>
      </w:pPr>
      <w:r>
        <w:t xml:space="preserve">Each migration is reversible and timestamped to match the existing 251. Order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660"/>
        <w:gridCol w:w="2000"/>
      </w:tblGrid>
      <w:tr>
        <w:trPr>
          <w:tblHeader/>
        </w:trPr>
        <w:tc>
          <w:tcPr>
            <w:tcW w:type="dxa" w:w="7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w:t>
            </w:r>
          </w:p>
        </w:tc>
        <w:tc>
          <w:tcPr>
            <w:tcW w:type="dxa" w:w="666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Migration</w:t>
            </w:r>
          </w:p>
        </w:tc>
        <w:tc>
          <w:tcPr>
            <w:tcW w:type="dxa" w:w="20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Reversible?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M1</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Add offers lifecycle/funding columns + is_active sync trigger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Yes</w:t>
            </w:r>
          </w:p>
        </w:tc>
      </w:tr>
      <w:tr>
        <w:tc>
          <w:tcPr>
            <w:tcW w:type="dxa" w:w="7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M2</w:t>
            </w:r>
          </w:p>
        </w:tc>
        <w:tc>
          <w:tcPr>
            <w:tcW w:type="dxa" w:w="66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Backfill existing offers (status, funding_source)</w:t>
            </w:r>
          </w:p>
        </w:tc>
        <w:tc>
          <w:tcPr>
            <w:tcW w:type="dxa" w:w="20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Data-only; re-runnable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M3</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offer_status_history, offer_versions + RLS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Yes</w:t>
            </w:r>
          </w:p>
        </w:tc>
      </w:tr>
      <w:tr>
        <w:tc>
          <w:tcPr>
            <w:tcW w:type="dxa" w:w="7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M4</w:t>
            </w:r>
          </w:p>
        </w:tc>
        <w:tc>
          <w:tcPr>
            <w:tcW w:type="dxa" w:w="66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discount_wallets sizing columns + multiplier_bands + unlock_rules</w:t>
            </w:r>
          </w:p>
        </w:tc>
        <w:tc>
          <w:tcPr>
            <w:tcW w:type="dxa" w:w="20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Yes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M5</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fn_size_wallet, fn_unlocked_wallet, fn_apply_offer_discount (wrap)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Yes (drop fns)</w:t>
            </w:r>
          </w:p>
        </w:tc>
      </w:tr>
      <w:tr>
        <w:tc>
          <w:tcPr>
            <w:tcW w:type="dxa" w:w="7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M6</w:t>
            </w:r>
          </w:p>
        </w:tc>
        <w:tc>
          <w:tcPr>
            <w:tcW w:type="dxa" w:w="66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promotion_requests, approved_offer_types, promotion_calendar + RLS</w:t>
            </w:r>
          </w:p>
        </w:tc>
        <w:tc>
          <w:tcPr>
            <w:tcW w:type="dxa" w:w="20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Yes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M7</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offer_influence, ai_offer_suggestions + RLS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Yes</w:t>
            </w:r>
          </w:p>
        </w:tc>
      </w:tr>
      <w:tr>
        <w:tc>
          <w:tcPr>
            <w:tcW w:type="dxa" w:w="7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M8</w:t>
            </w:r>
          </w:p>
        </w:tc>
        <w:tc>
          <w:tcPr>
            <w:tcW w:type="dxa" w:w="66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counselor_performance_scores / score view + business_rules_config</w:t>
            </w:r>
          </w:p>
        </w:tc>
        <w:tc>
          <w:tcPr>
            <w:tcW w:type="dxa" w:w="20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Yes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8920A" w:sz="18"/>
              <w:bottom w:val="single" w:color="CCCCCC" w:sz="1"/>
              <w:right w:val="single" w:color="CCCCCC" w:sz="1"/>
            </w:tcBorders>
            <w:shd w:fill="FFF4D6" w:val="clear"/>
            <w:tcMar>
              <w:top w:type="dxa" w:w="100"/>
              <w:left w:type="dxa" w:w="180"/>
              <w:bottom w:type="dxa" w:w="100"/>
              <w:right w:type="dxa" w:w="160"/>
            </w:tcMar>
          </w:tcPr>
          <w:p>
            <w:r>
              <w:rPr>
                <w:b/>
                <w:bCs/>
                <w:color w:val="8A6300"/>
                <w:sz w:val="19"/>
                <w:szCs w:val="19"/>
              </w:rPr>
              <w:t xml:space="preserve">⚠ INFERENCE / TO CONFIRM: </w:t>
            </w:r>
            <w:r>
              <w:t xml:space="preserve">After each migration, regenerate </w:t>
            </w:r>
            <w:r>
              <w:rPr>
                <w:rFonts w:ascii="Consolas" w:cs="Consolas" w:eastAsia="Consolas" w:hAnsi="Consolas"/>
                <w:color w:val="B5179E"/>
                <w:sz w:val="18"/>
                <w:szCs w:val="18"/>
              </w:rPr>
              <w:t xml:space="preserve">src/integrations/supabase/types.ts</w:t>
            </w:r>
            <w:r>
              <w:t xml:space="preserve"> and run the build. A migration that changes a column read by a live page must ship together with the page update or the is_active sync trigger.</w:t>
            </w:r>
          </w:p>
        </w:tc>
      </w:tr>
    </w:tbl>
    <w:p>
      <w:pPr>
        <w:pStyle w:val="Heading1"/>
      </w:pPr>
      <w:r>
        <w:t xml:space="preserve">6. Rollback Strategy</w:t>
      </w:r>
    </w:p>
    <w:p>
      <w:pPr>
        <w:pStyle w:val="ListParagraph"/>
        <w:numPr>
          <w:ilvl w:val="0"/>
          <w:numId w:val="2"/>
        </w:numPr>
        <w:spacing w:after="60" w:line="264"/>
      </w:pPr>
      <w:r>
        <w:rPr>
          <w:b/>
          <w:bCs/>
        </w:rPr>
        <w:t xml:space="preserve">Flags first</w:t>
      </w:r>
      <w:r>
        <w:t xml:space="preserve">: most issues are resolved by switching a feature flag OFF — no migration rollback needed.</w:t>
      </w:r>
    </w:p>
    <w:p>
      <w:pPr>
        <w:pStyle w:val="ListParagraph"/>
        <w:numPr>
          <w:ilvl w:val="0"/>
          <w:numId w:val="2"/>
        </w:numPr>
        <w:spacing w:after="60" w:line="264"/>
      </w:pPr>
      <w:r>
        <w:rPr>
          <w:b/>
          <w:bCs/>
        </w:rPr>
        <w:t xml:space="preserve">Reversible migrations</w:t>
      </w:r>
      <w:r>
        <w:t xml:space="preserve">: each migration has a down-path (drop column/table/function). New columns are nullable/defaulted so dropping is clean.</w:t>
      </w:r>
    </w:p>
    <w:p>
      <w:pPr>
        <w:pStyle w:val="ListParagraph"/>
        <w:numPr>
          <w:ilvl w:val="0"/>
          <w:numId w:val="2"/>
        </w:numPr>
        <w:spacing w:after="60" w:line="264"/>
      </w:pPr>
      <w:r>
        <w:rPr>
          <w:b/>
          <w:bCs/>
        </w:rPr>
        <w:t xml:space="preserve">Data safety</w:t>
      </w:r>
      <w:r>
        <w:t xml:space="preserve">: backfill (M2) is idempotent and only sets NULL fields, so re-running or reverting does not corrupt data.</w:t>
      </w:r>
    </w:p>
    <w:p>
      <w:pPr>
        <w:pStyle w:val="ListParagraph"/>
        <w:numPr>
          <w:ilvl w:val="0"/>
          <w:numId w:val="2"/>
        </w:numPr>
        <w:spacing w:after="60" w:line="264"/>
      </w:pPr>
      <w:r>
        <w:rPr>
          <w:b/>
          <w:bCs/>
        </w:rPr>
        <w:t xml:space="preserve">Functions wrap, not replace</w:t>
      </w:r>
      <w:r>
        <w:t xml:space="preserve">: dropping </w:t>
      </w:r>
      <w:r>
        <w:rPr>
          <w:rFonts w:ascii="Consolas" w:cs="Consolas" w:eastAsia="Consolas" w:hAnsi="Consolas"/>
          <w:color w:val="B5179E"/>
          <w:sz w:val="18"/>
          <w:szCs w:val="18"/>
        </w:rPr>
        <w:t xml:space="preserve">fn_apply_offer_discount</w:t>
      </w:r>
      <w:r>
        <w:t xml:space="preserve"> reverts to the existing direct-insert + trigger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8920A" w:sz="18"/>
              <w:bottom w:val="single" w:color="CCCCCC" w:sz="1"/>
              <w:right w:val="single" w:color="CCCCCC" w:sz="1"/>
            </w:tcBorders>
            <w:shd w:fill="FFF4D6" w:val="clear"/>
            <w:tcMar>
              <w:top w:type="dxa" w:w="100"/>
              <w:left w:type="dxa" w:w="180"/>
              <w:bottom w:type="dxa" w:w="100"/>
              <w:right w:type="dxa" w:w="160"/>
            </w:tcMar>
          </w:tcPr>
          <w:p>
            <w:r>
              <w:rPr>
                <w:b/>
                <w:bCs/>
                <w:color w:val="8A6300"/>
                <w:sz w:val="19"/>
                <w:szCs w:val="19"/>
              </w:rPr>
              <w:t xml:space="preserve">⚠ INFERENCE / TO CONFIRM: </w:t>
            </w:r>
            <w:r>
              <w:rPr>
                <w:rFonts w:ascii="Consolas" w:cs="Consolas" w:eastAsia="Consolas" w:hAnsi="Consolas"/>
                <w:color w:val="B5179E"/>
                <w:sz w:val="18"/>
                <w:szCs w:val="18"/>
              </w:rPr>
              <w:t xml:space="preserve">wallet_ledger</w:t>
            </w:r>
            <w:r>
              <w:t xml:space="preserve"> and </w:t>
            </w:r>
            <w:r>
              <w:rPr>
                <w:rFonts w:ascii="Consolas" w:cs="Consolas" w:eastAsia="Consolas" w:hAnsi="Consolas"/>
                <w:color w:val="B5179E"/>
                <w:sz w:val="18"/>
                <w:szCs w:val="18"/>
              </w:rPr>
              <w:t xml:space="preserve">wallet_allocations</w:t>
            </w:r>
            <w:r>
              <w:t xml:space="preserve"> are financial history — never roll back by deleting rows. Rollback means disabling new write paths, not removing recorded movements.</w:t>
            </w:r>
          </w:p>
        </w:tc>
      </w:tr>
    </w:tbl>
    <w:p>
      <w:pPr>
        <w:pStyle w:val="Heading1"/>
      </w:pPr>
      <w:r>
        <w:t xml:space="preserve">7. Pilot Rollout</w:t>
      </w:r>
    </w:p>
    <w:p>
      <w:pPr>
        <w:spacing w:after="120" w:line="276"/>
      </w:pPr>
      <w:r>
        <w:t xml:space="preserve">Prove the wallet behaviour on one branch for a full period before all-branch rollout.</w:t>
      </w:r>
    </w:p>
    <w:p>
      <w:pPr>
        <w:pStyle w:val="ListParagraph"/>
        <w:numPr>
          <w:ilvl w:val="0"/>
          <w:numId w:val="3"/>
        </w:numPr>
        <w:spacing w:after="60" w:line="264"/>
      </w:pPr>
      <w:r>
        <w:rPr>
          <w:b/>
          <w:bCs/>
        </w:rPr>
        <w:t xml:space="preserve">Select a pilot branch</w:t>
      </w:r>
      <w:r>
        <w:t xml:space="preserve"> with an engaged manager and a manageable counsellor count.</w:t>
      </w:r>
    </w:p>
    <w:p>
      <w:pPr>
        <w:pStyle w:val="ListParagraph"/>
        <w:numPr>
          <w:ilvl w:val="0"/>
          <w:numId w:val="3"/>
        </w:numPr>
        <w:spacing w:after="60" w:line="264"/>
      </w:pPr>
      <w:r>
        <w:rPr>
          <w:b/>
          <w:bCs/>
        </w:rPr>
        <w:t xml:space="preserve">Enable flags incrementally</w:t>
      </w:r>
      <w:r>
        <w:t xml:space="preserve"> on the pilot: lifecycle → sizing → unlock gating → funding-aware → strategic.</w:t>
      </w:r>
    </w:p>
    <w:p>
      <w:pPr>
        <w:pStyle w:val="ListParagraph"/>
        <w:numPr>
          <w:ilvl w:val="0"/>
          <w:numId w:val="3"/>
        </w:numPr>
        <w:spacing w:after="60" w:line="264"/>
      </w:pPr>
      <w:r>
        <w:rPr>
          <w:b/>
          <w:bCs/>
        </w:rPr>
        <w:t xml:space="preserve">Run one full monthly cycle</w:t>
      </w:r>
      <w:r>
        <w:t xml:space="preserve">: allocate → give discounts → achieve → unlock → period close → next-period sizing.</w:t>
      </w:r>
    </w:p>
    <w:p>
      <w:pPr>
        <w:pStyle w:val="ListParagraph"/>
        <w:numPr>
          <w:ilvl w:val="0"/>
          <w:numId w:val="3"/>
        </w:numPr>
        <w:spacing w:after="60" w:line="264"/>
      </w:pPr>
      <w:r>
        <w:rPr>
          <w:b/>
          <w:bCs/>
        </w:rPr>
        <w:t xml:space="preserve">Reconcile</w:t>
      </w:r>
      <w:r>
        <w:t xml:space="preserve">: wallet ledger vs invoices vs incentive runs; confirm no double-counting and floor price held.</w:t>
      </w:r>
    </w:p>
    <w:p>
      <w:pPr>
        <w:pStyle w:val="ListParagraph"/>
        <w:numPr>
          <w:ilvl w:val="0"/>
          <w:numId w:val="3"/>
        </w:numPr>
        <w:spacing w:after="60" w:line="264"/>
      </w:pPr>
      <w:r>
        <w:rPr>
          <w:b/>
          <w:bCs/>
        </w:rPr>
        <w:t xml:space="preserve">UAT sign-off</w:t>
      </w:r>
      <w:r>
        <w:t xml:space="preserve"> (Sprint Plan §6) on pilot data.</w:t>
      </w:r>
    </w:p>
    <w:p>
      <w:pPr>
        <w:pStyle w:val="ListParagraph"/>
        <w:numPr>
          <w:ilvl w:val="0"/>
          <w:numId w:val="3"/>
        </w:numPr>
        <w:spacing w:after="60" w:line="264"/>
      </w:pPr>
      <w:r>
        <w:rPr>
          <w:b/>
          <w:bCs/>
        </w:rPr>
        <w:t xml:space="preserve">Expand branch by branch</w:t>
      </w:r>
      <w:r>
        <w:t xml:space="preserve">, watching the same reconciliation each time.</w:t>
      </w:r>
    </w:p>
    <w:p>
      <w:pPr>
        <w:pStyle w:val="Heading1"/>
      </w:pPr>
      <w:r>
        <w:t xml:space="preserve">8. Cron / Job Schedule</w:t>
      </w:r>
    </w:p>
    <w:p>
      <w:pPr>
        <w:spacing w:after="120" w:line="276"/>
      </w:pPr>
      <w:r>
        <w:t xml:space="preserve">Scheduled jobs that keep the module current (reuse existing tick functions where 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4000"/>
      </w:tblGrid>
      <w:tr>
        <w:trPr>
          <w:tblHeader/>
        </w:trPr>
        <w:tc>
          <w:tcPr>
            <w:tcW w:type="dxa" w:w="30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Job</w:t>
            </w:r>
          </w:p>
        </w:tc>
        <w:tc>
          <w:tcPr>
            <w:tcW w:type="dxa" w:w="236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Frequency</w:t>
            </w:r>
          </w:p>
        </w:tc>
        <w:tc>
          <w:tcPr>
            <w:tcW w:type="dxa" w:w="40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Function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Offer expiry / lifecycle tick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Daily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nsolas" w:cs="Consolas" w:eastAsia="Consolas" w:hAnsi="Consolas"/>
                <w:color w:val="B5179E"/>
                <w:sz w:val="18"/>
                <w:szCs w:val="18"/>
              </w:rPr>
              <w:t xml:space="preserve">offers-lifecycle-tick</w:t>
            </w:r>
            <w:r>
              <w:t xml:space="preserve"> (extend)</w:t>
            </w:r>
          </w:p>
        </w:tc>
      </w:tr>
      <w:tr>
        <w:tc>
          <w:tcPr>
            <w:tcW w:type="dxa" w:w="30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Birthday auto-offers</w:t>
            </w:r>
          </w:p>
        </w:tc>
        <w:tc>
          <w:tcPr>
            <w:tcW w:type="dxa" w:w="23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Daily</w:t>
            </w:r>
          </w:p>
        </w:tc>
        <w:tc>
          <w:tcPr>
            <w:tcW w:type="dxa" w:w="40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rPr>
                <w:rFonts w:ascii="Consolas" w:cs="Consolas" w:eastAsia="Consolas" w:hAnsi="Consolas"/>
                <w:color w:val="B5179E"/>
                <w:sz w:val="18"/>
                <w:szCs w:val="18"/>
              </w:rPr>
              <w:t xml:space="preserve">offers-lifecycle-tick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Achievement refresh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On payment + nightly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reads </w:t>
            </w:r>
            <w:r>
              <w:rPr>
                <w:rFonts w:ascii="Consolas" w:cs="Consolas" w:eastAsia="Consolas" w:hAnsi="Consolas"/>
                <w:color w:val="B5179E"/>
                <w:sz w:val="18"/>
                <w:szCs w:val="18"/>
              </w:rPr>
              <w:t xml:space="preserve">incentive_runs</w:t>
            </w:r>
          </w:p>
        </w:tc>
      </w:tr>
      <w:tr>
        <w:tc>
          <w:tcPr>
            <w:tcW w:type="dxa" w:w="30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Period funding (auto-fund)</w:t>
            </w:r>
          </w:p>
        </w:tc>
        <w:tc>
          <w:tcPr>
            <w:tcW w:type="dxa" w:w="23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Period start</w:t>
            </w:r>
          </w:p>
        </w:tc>
        <w:tc>
          <w:tcPr>
            <w:tcW w:type="dxa" w:w="40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rPr>
                <w:rFonts w:ascii="Consolas" w:cs="Consolas" w:eastAsia="Consolas" w:hAnsi="Consolas"/>
                <w:color w:val="B5179E"/>
                <w:sz w:val="18"/>
                <w:szCs w:val="18"/>
              </w:rPr>
              <w:t xml:space="preserve">fn_autofund_wallets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Period close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Period end + grace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nsolas" w:cs="Consolas" w:eastAsia="Consolas" w:hAnsi="Consolas"/>
                <w:color w:val="B5179E"/>
                <w:sz w:val="18"/>
                <w:szCs w:val="18"/>
              </w:rPr>
              <w:t xml:space="preserve">fn_close_due_wallets</w:t>
            </w:r>
          </w:p>
        </w:tc>
      </w:tr>
      <w:tr>
        <w:tc>
          <w:tcPr>
            <w:tcW w:type="dxa" w:w="30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Reminders / digests</w:t>
            </w:r>
          </w:p>
        </w:tc>
        <w:tc>
          <w:tcPr>
            <w:tcW w:type="dxa" w:w="23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Per existing schedule</w:t>
            </w:r>
          </w:p>
        </w:tc>
        <w:tc>
          <w:tcPr>
            <w:tcW w:type="dxa" w:w="40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rPr>
                <w:rFonts w:ascii="Consolas" w:cs="Consolas" w:eastAsia="Consolas" w:hAnsi="Consolas"/>
                <w:color w:val="B5179E"/>
                <w:sz w:val="18"/>
                <w:szCs w:val="18"/>
              </w:rPr>
              <w:t xml:space="preserve">notifications-*-tick</w:t>
            </w:r>
          </w:p>
        </w:tc>
      </w:tr>
    </w:tbl>
    <w:p>
      <w:pPr>
        <w:pStyle w:val="Heading1"/>
      </w:pPr>
      <w:r>
        <w:t xml:space="preserve">9. Pre-Launch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2400"/>
      </w:tblGrid>
      <w:tr>
        <w:trPr>
          <w:tblHeader/>
        </w:trPr>
        <w:tc>
          <w:tcPr>
            <w:tcW w:type="dxa" w:w="36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Item</w:t>
            </w:r>
          </w:p>
        </w:tc>
        <w:tc>
          <w:tcPr>
            <w:tcW w:type="dxa" w:w="336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Owner</w:t>
            </w:r>
          </w:p>
        </w:tc>
        <w:tc>
          <w:tcPr>
            <w:tcW w:type="dxa" w:w="24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Done?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Business Rules sheet signed (all values)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Finance/Ops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r>
      <w:tr>
        <w:tc>
          <w:tcPr>
            <w:tcW w:type="dxa" w:w="3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Code dictionary completed from live DB</w:t>
            </w:r>
          </w:p>
        </w:tc>
        <w:tc>
          <w:tcPr>
            <w:tcW w:type="dxa" w:w="33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Tech</w:t>
            </w:r>
          </w:p>
        </w:tc>
        <w:tc>
          <w:tcPr>
            <w:tcW w:type="dxa" w:w="24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Existing offers reclassified for funding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Finance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r>
      <w:tr>
        <w:tc>
          <w:tcPr>
            <w:tcW w:type="dxa" w:w="3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RLS verified for counsellor (own wallet only)</w:t>
            </w:r>
          </w:p>
        </w:tc>
        <w:tc>
          <w:tcPr>
            <w:tcW w:type="dxa" w:w="33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Tech</w:t>
            </w:r>
          </w:p>
        </w:tc>
        <w:tc>
          <w:tcPr>
            <w:tcW w:type="dxa" w:w="24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Safety rules (R1 etc.) reconciled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Tech lead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r>
      <w:tr>
        <w:tc>
          <w:tcPr>
            <w:tcW w:type="dxa" w:w="3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Pilot branch selected</w:t>
            </w:r>
          </w:p>
        </w:tc>
        <w:tc>
          <w:tcPr>
            <w:tcW w:type="dxa" w:w="33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Ops</w:t>
            </w:r>
          </w:p>
        </w:tc>
        <w:tc>
          <w:tcPr>
            <w:tcW w:type="dxa" w:w="24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Feature flags configured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Tech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r>
      <w:tr>
        <w:tc>
          <w:tcPr>
            <w:tcW w:type="dxa" w:w="3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Types regenerated; build green</w:t>
            </w:r>
          </w:p>
        </w:tc>
        <w:tc>
          <w:tcPr>
            <w:tcW w:type="dxa" w:w="33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Tech</w:t>
            </w:r>
          </w:p>
        </w:tc>
        <w:tc>
          <w:tcPr>
            <w:tcW w:type="dxa" w:w="24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UAT scenarios passed on pilot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QA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r>
    </w:tbl>
    <w:p>
      <w:pPr>
        <w:pStyle w:val="Heading1"/>
      </w:pPr>
      <w:r>
        <w:t xml:space="preserve">10. Summary</w:t>
      </w:r>
    </w:p>
    <w:p>
      <w:pPr>
        <w:spacing w:after="120" w:line="276"/>
      </w:pPr>
      <w:r>
        <w:t xml:space="preserve">Because the foundation is live, the safest path is additive migrations behind feature flags, with </w:t>
      </w:r>
      <w:r>
        <w:rPr>
          <w:rFonts w:ascii="Consolas" w:cs="Consolas" w:eastAsia="Consolas" w:hAnsi="Consolas"/>
          <w:color w:val="B5179E"/>
          <w:sz w:val="18"/>
          <w:szCs w:val="18"/>
        </w:rPr>
        <w:t xml:space="preserve">is_active</w:t>
      </w:r>
      <w:r>
        <w:t xml:space="preserve">/</w:t>
      </w:r>
      <w:r>
        <w:rPr>
          <w:rFonts w:ascii="Consolas" w:cs="Consolas" w:eastAsia="Consolas" w:hAnsi="Consolas"/>
          <w:color w:val="B5179E"/>
          <w:sz w:val="18"/>
          <w:szCs w:val="18"/>
        </w:rPr>
        <w:t xml:space="preserve">status</w:t>
      </w:r>
      <w:r>
        <w:t xml:space="preserve"> kept in sync, funding defaulted conservatively, financial history never deleted, and a single pilot branch running a full period before expansion. The biggest data-integrity risk is mis-classifying funding on legacy offers — resolve that with Finance before funding-aware deduction goes live.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tabs>
        <w:tab w:val="right" w:pos="9360"/>
      </w:tabs>
    </w:pPr>
    <w:r>
      <w:rPr>
        <w:color w:val="888888"/>
        <w:sz w:val="16"/>
        <w:szCs w:val="16"/>
      </w:rPr>
      <w:t xml:space="preserve">Confidential</w:t>
    </w:r>
    <w:r>
      <w:rPr>
        <w:color w:val="888888"/>
        <w:sz w:val="16"/>
        <w:szCs w:val="16"/>
      </w:rPr>
      <w:t xml:space="preserve">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tabs>
        <w:tab w:val="right" w:pos="9360"/>
      </w:tabs>
    </w:pPr>
    <w:r>
      <w:rPr>
        <w:b/>
        <w:bCs/>
        <w:color w:val="0D1B3E"/>
        <w:sz w:val="16"/>
        <w:szCs w:val="16"/>
      </w:rPr>
      <w:t xml:space="preserve">Future Link Consultants</w:t>
    </w:r>
    <w:r>
      <w:rPr>
        <w:color w:val="888888"/>
        <w:sz w:val="16"/>
        <w:szCs w:val="16"/>
      </w:rPr>
      <w:t xml:space="preserve">	Migration &amp; Rollout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8202F" w:sz="12" w:space="4"/>
      </w:pBdr>
      <w:spacing w:after="160" w:before="320"/>
      <w:outlineLvl w:val="0"/>
    </w:pPr>
    <w:rPr>
      <w:rFonts w:ascii="Arial" w:cs="Arial" w:eastAsia="Arial" w:hAnsi="Arial"/>
      <w:b/>
      <w:bCs/>
      <w:color w:val="0D1B3E"/>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F3A66"/>
      <w:sz w:val="25"/>
      <w:szCs w:val="25"/>
    </w:rPr>
  </w:style>
  <w:style w:type="paragraph" w:styleId="Heading3">
    <w:name w:val="Heading 3"/>
    <w:basedOn w:val="Normal"/>
    <w:next w:val="Normal"/>
    <w:qFormat/>
    <w:pPr>
      <w:spacing w:after="80" w:before="16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Migration &amp; Rollout Plan</dc:title>
  <dc:creator>Future Link Consultants</dc:creator>
  <cp:lastModifiedBy>Un-named</cp:lastModifiedBy>
  <cp:revision>1</cp:revision>
  <dcterms:created xsi:type="dcterms:W3CDTF">2026-06-10T00:25:22.336Z</dcterms:created>
  <dcterms:modified xsi:type="dcterms:W3CDTF">2026-06-10T00:25:22.337Z</dcterms:modified>
</cp:coreProperties>
</file>

<file path=docProps/custom.xml><?xml version="1.0" encoding="utf-8"?>
<Properties xmlns="http://schemas.openxmlformats.org/officeDocument/2006/custom-properties" xmlns:vt="http://schemas.openxmlformats.org/officeDocument/2006/docPropsVTypes"/>
</file>