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60"/>
        <w:jc w:val="center"/>
      </w:pPr>
      <w:r>
        <w:rPr>
          <w:b/>
          <w:bCs/>
          <w:color w:val="2E5AAC"/>
          <w:sz w:val="40"/>
          <w:szCs w:val="40"/>
        </w:rPr>
        <w:t xml:space="preserve">COMMISSION MODULE</w:t>
      </w:r>
    </w:p>
    <w:p>
      <w:pPr>
        <w:pBdr>
          <w:bottom w:val="single" w:color="6D4AC0" w:sz="12" w:space="8"/>
        </w:pBdr>
        <w:spacing w:after="80"/>
        <w:jc w:val="center"/>
      </w:pPr>
      <w:r>
        <w:rPr>
          <w:b/>
          <w:bCs/>
          <w:color w:val="1F2A5A"/>
          <w:sz w:val="52"/>
          <w:szCs w:val="52"/>
        </w:rPr>
        <w:t xml:space="preserve">TO-BE Enterprise Architecture Review</w:t>
      </w:r>
    </w:p>
    <w:p>
      <w:pPr>
        <w:spacing w:after="40" w:before="140"/>
        <w:jc w:val="center"/>
      </w:pPr>
      <w:r>
        <w:rPr>
          <w:color w:val="2E5AAC"/>
          <w:sz w:val="26"/>
          <w:szCs w:val="26"/>
        </w:rPr>
        <w:t xml:space="preserve">Chief Enterprise ERP Architect — Findings &amp; Roadmap</w:t>
      </w:r>
    </w:p>
    <w:p>
      <w:pPr>
        <w:spacing w:after="360"/>
        <w:jc w:val="center"/>
      </w:pPr>
      <w:r>
        <w:rPr>
          <w:i/>
          <w:iCs/>
          <w:color w:val="666666"/>
          <w:sz w:val="22"/>
          <w:szCs w:val="22"/>
        </w:rPr>
        <w:t xml:space="preserve">Implementation strategy input for the next development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Reviewer role</w:t>
            </w:r>
          </w:p>
        </w:tc>
        <w:tc>
          <w:tcPr>
            <w:tcW w:type="dxa" w:w="6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Chief Enterprise ERP Architect (advisory)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6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Future Link ERP — Commission Module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AS-IS baseline</w:t>
            </w:r>
          </w:p>
        </w:tc>
        <w:tc>
          <w:tcPr>
            <w:tcW w:type="dxa" w:w="6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Commission Module Technical Inventory &amp; Implementation Baseline (30 Jun 2026)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 type</w:t>
            </w:r>
          </w:p>
        </w:tc>
        <w:tc>
          <w:tcPr>
            <w:tcW w:type="dxa" w:w="6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Architecture review only — no code, no redesign of working components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Guiding principle</w:t>
            </w:r>
          </w:p>
        </w:tc>
        <w:tc>
          <w:tcPr>
            <w:tcW w:type="dxa" w:w="6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REUSE → EXTEND → CREATE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68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 June 2026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B" w:sz="1"/>
              <w:left w:val="single" w:color="2E5AAC" w:sz="18"/>
              <w:bottom w:val="single" w:color="EAF0FB" w:sz="1"/>
              <w:right w:val="single" w:color="EAF0FB" w:sz="1"/>
            </w:tcBorders>
            <w:shd w:fill="EAF0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8"/>
            </w:pPr>
            <w:r>
              <w:rPr>
                <w:b/>
                <w:bCs/>
                <w:color w:val="2E5AAC"/>
                <w:sz w:val="19"/>
                <w:szCs w:val="19"/>
              </w:rPr>
              <w:t xml:space="preserve">Scope discipline:  </w:t>
            </w:r>
            <w:r>
              <w:rPr>
                <w:sz w:val="20"/>
                <w:szCs w:val="20"/>
              </w:rPr>
              <w:t xml:space="preserve">This document is the TO-BE review. It does not rewrite or summarize the inventory. Every finding is tagged Existing / Partial / Missing / Recommendation and is grounded in evidence already recorded in the AS-IS baseline. No implementation detail is invented.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2A5A"/>
          <w:sz w:val="32"/>
          <w:szCs w:val="32"/>
        </w:rPr>
        <w:t xml:space="preserve">Contents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1.  Executive Assessment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2.  Missing Enterprise Business Scenarios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3.  Business Rule Gap Analysis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4.  Database Gap Analysis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5.  Financial Architecture Review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6.  Workflow Review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7.  Integration Review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8.  Security Review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9.  Reporting Review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10.  Technical Debt Review (Prioritized)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11.  Scalability Review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12.  Future ERP Roadmap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13.  Implementation Priority Matrix</w:t>
      </w:r>
    </w:p>
    <w:p>
      <w:pPr>
        <w:pBdr>
          <w:bottom w:val="dotted" w:color="D5DCEC" w:sz="4" w:space="3"/>
        </w:pBdr>
        <w:spacing w:after="100" w:line="276"/>
      </w:pPr>
      <w:r>
        <w:rPr>
          <w:color w:val="333333"/>
          <w:sz w:val="22"/>
          <w:szCs w:val="22"/>
        </w:rPr>
        <w:t xml:space="preserve">14.  Final Enterprise Verdict</w:t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Legend used throughout — Existing (green) · Partial (amber) · Missing (red) · Recommendation (blue).</w:t>
      </w:r>
    </w:p>
    <w:p>
      <w:r>
        <w:br w:type="page"/>
      </w:r>
    </w:p>
    <w:p>
      <w:pPr>
        <w:pStyle w:val="Heading1"/>
      </w:pPr>
      <w:r>
        <w:t xml:space="preserve">1. Executive Assessment</w:t>
      </w:r>
    </w:p>
    <w:p>
      <w:pPr>
        <w:spacing w:after="140" w:before="0" w:line="276"/>
      </w:pPr>
      <w:r>
        <w:rPr>
          <w:b w:val="false"/>
          <w:bCs w:val="false"/>
          <w:i w:val="false"/>
          <w:iCs w:val="false"/>
        </w:rPr>
        <w:t xml:space="preserve">The Commission Module is a </w:t>
      </w:r>
      <w:r>
        <w:rPr>
          <w:b/>
          <w:bCs/>
          <w:i w:val="false"/>
          <w:iCs w:val="false"/>
        </w:rPr>
        <w:t xml:space="preserve">well-built vertical slice</w:t>
      </w:r>
      <w:r>
        <w:rPr>
          <w:b w:val="false"/>
          <w:bCs w:val="false"/>
          <w:i w:val="false"/>
          <w:iCs w:val="false"/>
        </w:rPr>
        <w:t xml:space="preserve"> of a commission engine: it models the institution partner-commission lifecycle cleanly, enforces immutability where it matters (snapshots, posted receipts), and routes all writes through SECURITY DEFINER RPCs. Judged as a feature it is strong. Judged as an </w:t>
      </w:r>
      <w:r>
        <w:rPr>
          <w:b/>
          <w:bCs/>
          <w:i w:val="false"/>
          <w:iCs w:val="false"/>
        </w:rPr>
        <w:t xml:space="preserve">enterprise ERP financial module</w:t>
      </w:r>
      <w:r>
        <w:rPr>
          <w:b w:val="false"/>
          <w:bCs w:val="false"/>
          <w:i w:val="false"/>
          <w:iCs w:val="false"/>
        </w:rPr>
        <w:t xml:space="preserve">, it is early — it lacks the accounting spine, approval fabric, audit trail, and multi-entity scaffolding that ERP-grade commission engines require. The scores below reflect that dual reality.</w:t>
      </w:r>
    </w:p>
    <w:p>
      <w:pPr>
        <w:spacing w:after="60"/>
      </w:pPr>
      <w:r>
        <w:t xml:space="preserve"/>
      </w:r>
    </w:p>
    <w:tbl>
      <w:tblPr>
        <w:tblW w:type="dxa" w:w="67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3060"/>
        <w:gridCol w:w="110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tbl>
            <w:tblPr>
              <w:tblW w:type="dxa" w:w="3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220"/>
              <w:gridCol w:w="780"/>
            </w:tblGrid>
            <w:tr>
              <w:tc>
                <w:tcPr>
                  <w:tcW w:type="dxa" w:w="2220"/>
                  <w:tcBorders>
                    <w:top w:val="none"/>
                    <w:left w:val="none"/>
                    <w:bottom w:val="none"/>
                    <w:right w:val="none"/>
                  </w:tcBorders>
                  <w:shd w:fill="1B7A46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780"/>
                  <w:tcBorders>
                    <w:top w:val="none"/>
                    <w:left w:val="none"/>
                    <w:bottom w:val="none"/>
                    <w:right w:val="none"/>
                  </w:tcBorders>
                  <w:shd w:fill="E4E8F0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7A46"/>
                <w:sz w:val="20"/>
                <w:szCs w:val="20"/>
              </w:rPr>
              <w:t xml:space="preserve">74/100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tbl>
            <w:tblPr>
              <w:tblW w:type="dxa" w:w="3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840"/>
            </w:tblGrid>
            <w:tr>
              <w:tc>
                <w:tcPr>
                  <w:tcW w:type="dxa" w:w="2160"/>
                  <w:tcBorders>
                    <w:top w:val="none"/>
                    <w:left w:val="none"/>
                    <w:bottom w:val="none"/>
                    <w:right w:val="none"/>
                  </w:tcBorders>
                  <w:shd w:fill="1B7A46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840"/>
                  <w:tcBorders>
                    <w:top w:val="none"/>
                    <w:left w:val="none"/>
                    <w:bottom w:val="none"/>
                    <w:right w:val="none"/>
                  </w:tcBorders>
                  <w:shd w:fill="E4E8F0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7A46"/>
                <w:sz w:val="20"/>
                <w:szCs w:val="20"/>
              </w:rPr>
              <w:t xml:space="preserve">72/100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tbl>
            <w:tblPr>
              <w:tblW w:type="dxa" w:w="3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740"/>
              <w:gridCol w:w="1260"/>
            </w:tblGrid>
            <w:tr>
              <w:tc>
                <w:tcPr>
                  <w:tcW w:type="dxa" w:w="1740"/>
                  <w:tcBorders>
                    <w:top w:val="none"/>
                    <w:left w:val="none"/>
                    <w:bottom w:val="none"/>
                    <w:right w:val="none"/>
                  </w:tcBorders>
                  <w:shd w:fill="9A6A12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260"/>
                  <w:tcBorders>
                    <w:top w:val="none"/>
                    <w:left w:val="none"/>
                    <w:bottom w:val="none"/>
                    <w:right w:val="none"/>
                  </w:tcBorders>
                  <w:shd w:fill="E4E8F0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A12"/>
                <w:sz w:val="20"/>
                <w:szCs w:val="20"/>
              </w:rPr>
              <w:t xml:space="preserve">58/100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tbl>
            <w:tblPr>
              <w:tblW w:type="dxa" w:w="3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980"/>
              <w:gridCol w:w="1020"/>
            </w:tblGrid>
            <w:tr>
              <w:tc>
                <w:tcPr>
                  <w:tcW w:type="dxa" w:w="1980"/>
                  <w:tcBorders>
                    <w:top w:val="none"/>
                    <w:left w:val="none"/>
                    <w:bottom w:val="none"/>
                    <w:right w:val="none"/>
                  </w:tcBorders>
                  <w:shd w:fill="9A6A12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none"/>
                    <w:left w:val="none"/>
                    <w:bottom w:val="none"/>
                    <w:right w:val="none"/>
                  </w:tcBorders>
                  <w:shd w:fill="E4E8F0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A12"/>
                <w:sz w:val="20"/>
                <w:szCs w:val="20"/>
              </w:rPr>
              <w:t xml:space="preserve">66/100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Business Coverage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tbl>
            <w:tblPr>
              <w:tblW w:type="dxa" w:w="3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650"/>
              <w:gridCol w:w="1350"/>
            </w:tblGrid>
            <w:tr>
              <w:tc>
                <w:tcPr>
                  <w:tcW w:type="dxa" w:w="1650"/>
                  <w:tcBorders>
                    <w:top w:val="none"/>
                    <w:left w:val="none"/>
                    <w:bottom w:val="none"/>
                    <w:right w:val="none"/>
                  </w:tcBorders>
                  <w:shd w:fill="9A6A12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350"/>
                  <w:tcBorders>
                    <w:top w:val="none"/>
                    <w:left w:val="none"/>
                    <w:bottom w:val="none"/>
                    <w:right w:val="none"/>
                  </w:tcBorders>
                  <w:shd w:fill="E4E8F0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A12"/>
                <w:sz w:val="20"/>
                <w:szCs w:val="20"/>
              </w:rPr>
              <w:t xml:space="preserve">55/100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ERP Readiness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tbl>
            <w:tblPr>
              <w:tblW w:type="dxa" w:w="3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40"/>
              <w:gridCol w:w="1560"/>
            </w:tblGrid>
            <w:tr>
              <w:tc>
                <w:tcPr>
                  <w:tcW w:type="dxa" w:w="1440"/>
                  <w:tcBorders>
                    <w:top w:val="none"/>
                    <w:left w:val="none"/>
                    <w:bottom w:val="none"/>
                    <w:right w:val="none"/>
                  </w:tcBorders>
                  <w:shd w:fill="B23A3A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560"/>
                  <w:tcBorders>
                    <w:top w:val="none"/>
                    <w:left w:val="none"/>
                    <w:bottom w:val="none"/>
                    <w:right w:val="none"/>
                  </w:tcBorders>
                  <w:shd w:fill="E4E8F0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23A3A"/>
                <w:sz w:val="20"/>
                <w:szCs w:val="20"/>
              </w:rPr>
              <w:t xml:space="preserve">48/100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Financial Controls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tbl>
            <w:tblPr>
              <w:tblW w:type="dxa" w:w="3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260"/>
              <w:gridCol w:w="1740"/>
            </w:tblGrid>
            <w:tr>
              <w:tc>
                <w:tcPr>
                  <w:tcW w:type="dxa" w:w="1260"/>
                  <w:tcBorders>
                    <w:top w:val="none"/>
                    <w:left w:val="none"/>
                    <w:bottom w:val="none"/>
                    <w:right w:val="none"/>
                  </w:tcBorders>
                  <w:shd w:fill="B23A3A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740"/>
                  <w:tcBorders>
                    <w:top w:val="none"/>
                    <w:left w:val="none"/>
                    <w:bottom w:val="none"/>
                    <w:right w:val="none"/>
                  </w:tcBorders>
                  <w:shd w:fill="E4E8F0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23A3A"/>
                <w:sz w:val="20"/>
                <w:szCs w:val="20"/>
              </w:rPr>
              <w:t xml:space="preserve">42/100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tbl>
            <w:tblPr>
              <w:tblW w:type="dxa" w:w="3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60"/>
              <w:gridCol w:w="1440"/>
            </w:tblGrid>
            <w:tr>
              <w:tc>
                <w:tcPr>
                  <w:tcW w:type="dxa" w:w="1560"/>
                  <w:tcBorders>
                    <w:top w:val="none"/>
                    <w:left w:val="none"/>
                    <w:bottom w:val="none"/>
                    <w:right w:val="none"/>
                  </w:tcBorders>
                  <w:shd w:fill="B23A3A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440"/>
                  <w:tcBorders>
                    <w:top w:val="none"/>
                    <w:left w:val="none"/>
                    <w:bottom w:val="none"/>
                    <w:right w:val="none"/>
                  </w:tcBorders>
                  <w:shd w:fill="E4E8F0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23A3A"/>
                <w:sz w:val="20"/>
                <w:szCs w:val="20"/>
              </w:rPr>
              <w:t xml:space="preserve">52/100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tbl>
            <w:tblPr>
              <w:tblW w:type="dxa" w:w="3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350"/>
              <w:gridCol w:w="1650"/>
            </w:tblGrid>
            <w:tr>
              <w:tc>
                <w:tcPr>
                  <w:tcW w:type="dxa" w:w="1350"/>
                  <w:tcBorders>
                    <w:top w:val="none"/>
                    <w:left w:val="none"/>
                    <w:bottom w:val="none"/>
                    <w:right w:val="none"/>
                  </w:tcBorders>
                  <w:shd w:fill="B23A3A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650"/>
                  <w:tcBorders>
                    <w:top w:val="none"/>
                    <w:left w:val="none"/>
                    <w:bottom w:val="none"/>
                    <w:right w:val="none"/>
                  </w:tcBorders>
                  <w:shd w:fill="E4E8F0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23A3A"/>
                <w:sz w:val="20"/>
                <w:szCs w:val="20"/>
              </w:rPr>
              <w:t xml:space="preserve">45/100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30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tbl>
            <w:tblPr>
              <w:tblW w:type="dxa" w:w="30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00"/>
              <w:gridCol w:w="900"/>
            </w:tblGrid>
            <w:tr>
              <w:tc>
                <w:tcPr>
                  <w:tcW w:type="dxa" w:w="2100"/>
                  <w:tcBorders>
                    <w:top w:val="none"/>
                    <w:left w:val="none"/>
                    <w:bottom w:val="none"/>
                    <w:right w:val="none"/>
                  </w:tcBorders>
                  <w:shd w:fill="9A6A12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900"/>
                  <w:tcBorders>
                    <w:top w:val="none"/>
                    <w:left w:val="none"/>
                    <w:bottom w:val="none"/>
                    <w:right w:val="none"/>
                  </w:tcBorders>
                  <w:shd w:fill="E4E8F0" w:val="clear"/>
                </w:tcPr>
                <w:p>
                  <w:pPr>
                    <w:spacing w:after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9A6A12"/>
                <w:sz w:val="20"/>
                <w:szCs w:val="20"/>
              </w:rPr>
              <w:t xml:space="preserve">70/100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  <w:color w:val="1F2A5A"/>
          <w:sz w:val="21"/>
          <w:szCs w:val="21"/>
        </w:rPr>
        <w:t xml:space="preserve">Weighted overall ERP-readiness: ~58/100 — solid module, not yet an enterprise engine.</w:t>
      </w:r>
    </w:p>
    <w:p>
      <w:pPr>
        <w:pStyle w:val="Heading2"/>
      </w:pPr>
      <w:r>
        <w:t xml:space="preserve">1.1 Score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0"/>
        <w:gridCol w:w="6680"/>
      </w:tblGrid>
      <w:tr>
        <w:trPr>
          <w:tblHeader/>
        </w:trP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6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74</w:t>
            </w:r>
          </w:p>
        </w:tc>
        <w:tc>
          <w:tcPr>
            <w:tcW w:type="dxa" w:w="66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Clean RPC-centric write path, pure calculation libraries mirrored by SQL, immutability triggers. Loses points for no service/API tier, no eventing, and a ~1200-line ClaimsPanel monolith.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Database Design</w:t>
            </w:r>
          </w:p>
        </w:tc>
        <w:tc>
          <w:tcPr>
            <w:tcW w:type="dxa" w:w="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72</w:t>
            </w:r>
          </w:p>
        </w:tc>
        <w:tc>
          <w:tcPr>
            <w:tcW w:type="dxa" w:w="66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Coherent 3-axis lifecycle model, snapshots, allocation tables, sensible indexes. Loses points for no audit/history tables, no approval/workflow tables, permissive early RLS, and Phase 2B tables missing from generated types.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58</w:t>
            </w:r>
          </w:p>
        </w:tc>
        <w:tc>
          <w:tcPr>
            <w:tcW w:type="dxa" w:w="66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Supabase/Postgres scales, but no background jobs, no materialized views, synchronous operator-driven recalculation, and single-currency consolidation (INR view) cap throughput and multi-entity growth.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66</w:t>
            </w:r>
          </w:p>
        </w:tc>
        <w:tc>
          <w:tcPr>
            <w:tcW w:type="dxa" w:w="66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Strong test seeds on core logic and clear file structure, but duplicated eligibility logic (TS + SQL + dormant bridge), a monolithic ClaimsPanel, and doc drift raise change cost.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Business Coverage</w:t>
            </w:r>
          </w:p>
        </w:tc>
        <w:tc>
          <w:tcPr>
            <w:tcW w:type="dxa" w:w="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55</w:t>
            </w:r>
          </w:p>
        </w:tc>
        <w:tc>
          <w:tcPr>
            <w:tcW w:type="dxa" w:w="66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Institution + aggregator commissions are real; referral, agent, branch, franchise, counselor, team, split, and multi-level commissions are absent (see §2).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ERP Readiness</w:t>
            </w:r>
          </w:p>
        </w:tc>
        <w:tc>
          <w:tcPr>
            <w:tcW w:type="dxa" w:w="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48</w:t>
            </w:r>
          </w:p>
        </w:tc>
        <w:tc>
          <w:tcPr>
            <w:tcW w:type="dxa" w:w="66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GL posting, no period close, no approvals, no revenue recognition, no credit/debit notes. These are table-stakes for an ERP financial module and are all Missing.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Financial Controls</w:t>
            </w:r>
          </w:p>
        </w:tc>
        <w:tc>
          <w:tcPr>
            <w:tcW w:type="dxa" w:w="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42</w:t>
            </w:r>
          </w:p>
        </w:tc>
        <w:tc>
          <w:tcPr>
            <w:tcW w:type="dxa" w:w="66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accounting_journal_id exists but is never populated; no maker-checker approvals; no reconciliation to a ledger; clawback columns without logic. Controls are the weakest dimension.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52</w:t>
            </w:r>
          </w:p>
        </w:tc>
        <w:tc>
          <w:tcPr>
            <w:tcW w:type="dxa" w:w="66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RBAC roles and confidential RLS exist, but early tables carry auth_all USING(true) policies, there are no soft deletes, no field-level audit, and no approval-level security.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45</w:t>
            </w:r>
          </w:p>
        </w:tc>
        <w:tc>
          <w:tcPr>
            <w:tcW w:type="dxa" w:w="66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Snapshots and updated_at triggers give partial history, but there is no dedicated audit-log table, no who-changed-what trail on financial rows, and no immutable event log.</w:t>
            </w:r>
          </w:p>
        </w:tc>
      </w:tr>
      <w:tr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Extensibility</w:t>
            </w:r>
          </w:p>
        </w:tc>
        <w:tc>
          <w:tcPr>
            <w:tcW w:type="dxa" w:w="7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70</w:t>
            </w:r>
          </w:p>
        </w:tc>
        <w:tc>
          <w:tcPr>
            <w:tcW w:type="dxa" w:w="66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Good seams: rule scoping, partnership routes, billing profiles, aggregator scope, reserved clawback/journal columns, AI extraction. Extending is feasible; the seams are real.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9A6A12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8"/>
            </w:pPr>
            <w:r>
              <w:rPr>
                <w:b/>
                <w:bCs/>
                <w:color w:val="9A6A12"/>
                <w:sz w:val="19"/>
                <w:szCs w:val="19"/>
              </w:rPr>
              <w:t xml:space="preserve">Headline:  </w:t>
            </w:r>
            <w:r>
              <w:rPr>
                <w:sz w:val="20"/>
                <w:szCs w:val="20"/>
              </w:rPr>
              <w:t xml:space="preserve">The module is a strong Phase-1–2B feature that has not yet crossed into ERP territory. The gap is concentrated in three areas — accounting/financial controls, approvals &amp; auditability, and multi-entity scalability. Everything in this review orbits those three.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Missing Enterprise Business Scenarios</w:t>
      </w:r>
    </w:p>
    <w:p>
      <w:pPr>
        <w:spacing w:after="140" w:before="0" w:line="276"/>
      </w:pPr>
      <w:r>
        <w:rPr>
          <w:b w:val="false"/>
          <w:bCs w:val="false"/>
          <w:i w:val="false"/>
          <w:iCs w:val="false"/>
        </w:rPr>
        <w:t xml:space="preserve">Commission types an international education company typically needs, mapped against the AS-IS baseline. Status reflects only what the inventory evidences.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60"/>
        <w:gridCol w:w="5000"/>
      </w:tblGrid>
      <w:tr>
        <w:trPr>
          <w:tblHeader/>
        </w:trP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Institution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Keep as the reference implementation for all other channels.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Aggregator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Regenerate types; harden as the template for parent-child orgs.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Bonus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Modeled as rule_type=bonus; extend rules before building a separate engine.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Incentive campaigns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Adjacent staff-incentives module exists; define partner-facing campaign entity.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Seasonal promotions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scope_promotion exists on rules; add time-boxed promotion master.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Clawbacks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clawback_amount/status columns exist; clawback logic is Missing — build the engine.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Retroactive adjustments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 adjustment entity + re-snapshot path; today snapshots are immutable with no correction flow.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Referral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 domain — referral source, payout, and payee tables (PH subtitle text only).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Agent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agent tables/routes; extend partnership-route model to agent payees.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Branch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Needs org-unit dimension on students/claims; not modeled.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Franchise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Needs legal-entity + revenue-share model; not modeled.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Counselor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client_id link exists; counselor payee + rule scope is Missing.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Team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Staff incentives are separate; partner-side team payout not modeled.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Marketing partner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marketing-partner payee entity.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Split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Single payee per student row; needs allocation-split across payees.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Shared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Same as split; requires many-payees-per-earning model.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Multi-level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hierarchy/override model; needs payee tree + override rates.</w:t>
            </w:r>
          </w:p>
        </w:tc>
      </w:tr>
      <w:tr>
        <w:tc>
          <w:tcPr>
            <w:tcW w:type="dxa" w:w="3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Parent-child org commissions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Aggregator is a first step; generalize to org hierarchy.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Architectural read: </w:t>
      </w:r>
      <w:r>
        <w:rPr>
          <w:b w:val="false"/>
          <w:bCs w:val="false"/>
          <w:i w:val="false"/>
          <w:iCs w:val="false"/>
        </w:rPr>
        <w:t xml:space="preserve">the single-payee, single-earning student row is the central constraint. Split, shared, multi-level, and most channel scenarios all require the same underlying change — a </w:t>
      </w:r>
      <w:r>
        <w:rPr>
          <w:b/>
          <w:bCs/>
          <w:i w:val="false"/>
          <w:iCs w:val="false"/>
        </w:rPr>
        <w:t xml:space="preserve">payee dimension</w:t>
      </w:r>
      <w:r>
        <w:rPr>
          <w:b w:val="false"/>
          <w:bCs w:val="false"/>
          <w:i w:val="false"/>
          <w:iCs w:val="false"/>
        </w:rPr>
        <w:t xml:space="preserve"> and a </w:t>
      </w:r>
      <w:r>
        <w:rPr>
          <w:b/>
          <w:bCs/>
          <w:i w:val="false"/>
          <w:iCs w:val="false"/>
        </w:rPr>
        <w:t xml:space="preserve">commission-earning → payee-allocation</w:t>
      </w:r>
      <w:r>
        <w:rPr>
          <w:b w:val="false"/>
          <w:bCs w:val="false"/>
          <w:i w:val="false"/>
          <w:iCs w:val="false"/>
        </w:rPr>
        <w:t xml:space="preserve"> model. Solve that once and the majority of missing scenarios become configuration, not new subsystems. This is the highest-leverage EXTEND in the review.</w:t>
      </w:r>
    </w:p>
    <w:p>
      <w:r>
        <w:br w:type="page"/>
      </w:r>
    </w:p>
    <w:p>
      <w:pPr>
        <w:pStyle w:val="Heading1"/>
      </w:pPr>
      <w:r>
        <w:t xml:space="preserve">3. Business Rule Gap Analysis</w:t>
      </w:r>
    </w:p>
    <w:p>
      <w:pPr>
        <w:spacing w:after="140" w:before="0" w:line="276"/>
      </w:pPr>
      <w:r>
        <w:rPr>
          <w:b w:val="false"/>
          <w:bCs w:val="false"/>
          <w:i w:val="false"/>
          <w:iCs w:val="false"/>
        </w:rPr>
        <w:t xml:space="preserve">Reviewing the business rules documented in the inventory (rule resolution, calculation, eligibility, claim readiness, transfer, receipt state machine, currency) against enterprise expectations.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area</w:t>
            </w:r>
          </w:p>
        </w:tc>
        <w:tc>
          <w:tcPr>
            <w:tcW w:type="dxa" w:w="1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Finding &amp; recommendation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Missing validation</w:t>
            </w:r>
          </w:p>
        </w:tc>
        <w:tc>
          <w:tcPr>
            <w:tcW w:type="dxa" w:w="1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Rule conflict detection exists (detectRuleConflicts); missing cross-entity validation (agreement date vs claim period, currency consistency, duplicate-payee guards).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Missing workflows</w:t>
            </w:r>
          </w:p>
        </w:tc>
        <w:tc>
          <w:tcPr>
            <w:tcW w:type="dxa" w:w="1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claim-approval, invoice-approval, receipt-approval, or adjustment workflows — operator actions commit directly.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Missing approval processes</w:t>
            </w:r>
          </w:p>
        </w:tc>
        <w:tc>
          <w:tcPr>
            <w:tcW w:type="dxa" w:w="1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maker-checker anywhere. Financial actions (post receipt, generate invoice, write-off) need multi-eyes approval in an ERP.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Missing automation</w:t>
            </w:r>
          </w:p>
        </w:tc>
        <w:tc>
          <w:tcPr>
            <w:tcW w:type="dxa" w:w="1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background jobs, no auto-recalc on data change, no auto student-row creation (CRM bridge dormant, BRIDGE_ENABLED=false).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Missing exception handling</w:t>
            </w:r>
          </w:p>
        </w:tc>
        <w:tc>
          <w:tcPr>
            <w:tcW w:type="dxa" w:w="1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Hold/transfer cover some exceptions; missing disputed-claim, partial-eligibility, and FX-exception queues beyond the receipt FX review.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Missing reconciliation</w:t>
            </w:r>
          </w:p>
        </w:tc>
        <w:tc>
          <w:tcPr>
            <w:tcW w:type="dxa" w:w="1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Batch reconciliation view exists (2B); missing invoice-to-receipt-to-GL three-way reconciliation and period reconciliation.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Missing accounting integration</w:t>
            </w:r>
          </w:p>
        </w:tc>
        <w:tc>
          <w:tcPr>
            <w:tcW w:type="dxa" w:w="1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accounting_journal_id is never populated (UAT 2A-18, 2B-14). No journal, no ledger posting.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Missing audit logging</w:t>
            </w:r>
          </w:p>
        </w:tc>
        <w:tc>
          <w:tcPr>
            <w:tcW w:type="dxa" w:w="1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Snapshots + updated_at give partial trails; no dedicated audit log capturing actor, before/after, reason on financial mutations.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Missing compliance controls</w:t>
            </w:r>
          </w:p>
        </w:tc>
        <w:tc>
          <w:tcPr>
            <w:tcW w:type="dxa" w:w="1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6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tax/GST computation, no segregation-of-duties enforcement, no retention/immutability policy beyond snapshots and posted receipts.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Database Gap Analysis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No redesign proposed. </w:t>
      </w:r>
      <w:r>
        <w:rPr>
          <w:b w:val="false"/>
          <w:bCs w:val="false"/>
          <w:i w:val="false"/>
          <w:iCs w:val="false"/>
        </w:rPr>
        <w:t xml:space="preserve">The existing schema is coherent. The items below are additive entities an enterprise commission engine would require, each with the enterprise reason it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Missing element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an ERP needs it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Payee / earning-allocation tables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Enables split, shared, multi-level, agent, counselor, and branch commissions without duplicating the student row model (see §2).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Accounting journal + journal-line tables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GL spine. accounting_journal_id already reserves the FK; the target tables do not exist. Required for ledger posting and revenue recognition.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Adjustment / credit-note / debit-note tables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Correct posted financials without violating snapshot/receipt immutability. Documented out-of-scope today.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Audit-log table (append-only)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Actor, timestamp, before/after, reason on every financial mutation. Non-negotiable for SOX-style auditability.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History / version tables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Point-in-time reconstruction of commissions, rules, and agreements beyond agreement_versions and snapshots.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Approval / approval-step tables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Persist maker-checker state for claims, invoices, receipts, write-offs, and adjustments.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Workflow / workflow-state tables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Model states and transitions declaratively instead of encoding them in component logic.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Notification / notification-log tables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Drive and record renewal, overdue-claim, dispute, and approval-pending alerts (no commission-specific notifications today).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Configuration / feature-flag tables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Externalize thresholds, rounding, FX fallbacks (currently hardcoded, e.g. CAD=61.7), and channel toggles.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Reporting / aggregate tables (or materialized views)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Precomputed aging, pipeline, settlement, and profitability marts — no materialized views exist today.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 / GST configuration tables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Jurisdictional tax rules for invoices and receipts across countries and entities.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Org-unit / legal-entity dimension tables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Multi-company, multi-brand, multi-branch scoping across all commission rows.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FX-rate history table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Auditable, effective-dated exchange rates rather than a single rate_to_inr with a hardcoded fallback.</w:t>
            </w:r>
          </w:p>
        </w:tc>
      </w:tr>
      <w:tr>
        <w:tc>
          <w:tcPr>
            <w:tcW w:type="dxa" w:w="3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Dispute / exception-queue tables</w:t>
            </w:r>
          </w:p>
        </w:tc>
        <w:tc>
          <w:tcPr>
            <w:tcW w:type="dxa" w:w="6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First-class disputed claims and exceptions beyond hold reasons and the 2B batch dispute.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B" w:sz="1"/>
              <w:left w:val="single" w:color="2E5AAC" w:sz="18"/>
              <w:bottom w:val="single" w:color="EAF0FB" w:sz="1"/>
              <w:right w:val="single" w:color="EAF0FB" w:sz="1"/>
            </w:tcBorders>
            <w:shd w:fill="EAF0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8"/>
            </w:pPr>
            <w:r>
              <w:rPr>
                <w:b/>
                <w:bCs/>
                <w:color w:val="2E5AAC"/>
                <w:sz w:val="19"/>
                <w:szCs w:val="19"/>
              </w:rPr>
              <w:t xml:space="preserve">Note on immutability:  </w:t>
            </w:r>
            <w:r>
              <w:rPr>
                <w:sz w:val="20"/>
                <w:szCs w:val="20"/>
              </w:rPr>
              <w:t xml:space="preserve">Snapshots and posted receipts are correctly immutable. That is a strength to preserve — but it makes adjustment, credit-note, and reversal tables mandatory, because corrections must be additive posting events, never edits. The missing tables above are the counterpart to the immutability the module already enforces.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Financial Architecture Review</w:t>
      </w:r>
    </w:p>
    <w:p>
      <w:pPr>
        <w:spacing w:after="140" w:before="0" w:line="276"/>
      </w:pPr>
      <w:r>
        <w:rPr>
          <w:b w:val="false"/>
          <w:bCs w:val="false"/>
          <w:i w:val="false"/>
          <w:iCs w:val="false"/>
        </w:rPr>
        <w:t xml:space="preserve">The module has a strong front-of-house (claims, invoices, receipts, allocations) but no back-of-house (ledger, period, recognition). This is the single largest enterprise gap.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160"/>
        <w:gridCol w:w="5750"/>
      </w:tblGrid>
      <w:tr>
        <w:trPr>
          <w:tblHeader/>
        </w:trP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Financial process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Receipts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 lifecycle draft→ready→posted→void; immutable when posted.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Invoices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Generated from claims with line items; auto-numbering is a placeholder (FLC-YYYY-AUTO-*).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Claims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Cycle-based submit; no approval gate.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Payment allocation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Receipt→invoice and receipt→student allocation tables and RPCs.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Partial payments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payment_status partially_paid; amount_outstanding maintained.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FX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exchange_rate + generated base_amount + receipt FX review; no effective-dated rate history.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Outstanding balances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Tracked per student/invoice; surfaced in Claims KPIs.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Overpayments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overpayment/credit-on-account handling.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Write-offs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payment_status written_off exists; no controlled write-off workflow/approval.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Adjustments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adjustment entity; immutable snapshots have no correction path.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Credit notes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Documented out of scope; required for invoice correction.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Debit notes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modeled.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Taxes / GST / VAT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Billing profile stores a GST number but no tax computation on invoices/receipts.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Accounting / ledger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GL. accounting_journal_id reserved but never populated.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Journal posting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journal creation on receipt post (UAT 2A-18, 2B-14).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Reconciliation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2B batch reconciliation only; no GL/period reconciliation.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Period closing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accounting period or close/lock mechanism.</w:t>
            </w:r>
          </w:p>
        </w:tc>
      </w:tr>
      <w:tr>
        <w:tc>
          <w:tcPr>
            <w:tcW w:type="dxa" w:w="24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Revenue recognition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7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recognition schedule/deferral despite year-1-tuition commission timing.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Sequenced fix: </w:t>
      </w:r>
      <w:r>
        <w:rPr>
          <w:b w:val="false"/>
          <w:bCs w:val="false"/>
          <w:i w:val="false"/>
          <w:iCs w:val="false"/>
        </w:rPr>
        <w:t xml:space="preserve">(1) accounting journal + lines, (2) journal posting on receipt post, (3) adjustments + credit/debit notes for immutable corrections, (4) tax computation, (5) period close &amp; GL reconciliation, (6) revenue recognition. This ordering respects the existing immutability model and the reserved accounting_journal_id seam.</w:t>
      </w:r>
    </w:p>
    <w:p>
      <w:r>
        <w:br w:type="page"/>
      </w:r>
    </w:p>
    <w:p>
      <w:pPr>
        <w:pStyle w:val="Heading1"/>
      </w:pPr>
      <w:r>
        <w:t xml:space="preserve">6. Workflow Review</w:t>
      </w:r>
    </w:p>
    <w:p>
      <w:pPr>
        <w:spacing w:after="140" w:before="0" w:line="276"/>
      </w:pPr>
      <w:r>
        <w:rPr>
          <w:b w:val="false"/>
          <w:bCs w:val="false"/>
          <w:i w:val="false"/>
          <w:iCs w:val="false"/>
        </w:rPr>
        <w:t xml:space="preserve">Each workflow evaluated for missing states, approvals, automation, bottlenecks, and manual work. The dominant theme: workflows are correct but operator-driven and un-gated.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Missing / bottleneck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custom trigger unimplemented; no auto-evaluation on milestone change (manual recalc).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Student row creation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Fully manual/import; CRM/admission auto-create dormant — primary data-entry bottleneck.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Claim submission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approval state between submitted and institution validation; no maker-checker.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Invoice generation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approval gate; placeholder numbering; no dunning/reminder automation.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Receipt posting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Correct state machine, but no approval before posting a financial record.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Transfer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Good state coverage (5 outcomes); under_review has no assignee/queue.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Hold / release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Works; no auto-release on condition clearing; no escalation.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Aggregator reconciliation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Dispute states exist; resolution lacks approval + audit trail.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Write-off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 exists; no controlled workflow, threshold, or approval.</w:t>
            </w:r>
          </w:p>
        </w:tc>
      </w:tr>
      <w:tr>
        <w:tc>
          <w:tcPr>
            <w:tcW w:type="dxa" w:w="2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Adjustment / correction</w:t>
            </w:r>
          </w:p>
        </w:tc>
        <w:tc>
          <w:tcPr>
            <w:tcW w:type="dxa" w:w="67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workflow at all — blocked by immutability with no additive-correction path.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Cross-cutting: </w:t>
      </w:r>
      <w:r>
        <w:rPr>
          <w:b w:val="false"/>
          <w:bCs w:val="false"/>
          <w:i w:val="false"/>
          <w:iCs w:val="false"/>
        </w:rPr>
        <w:t xml:space="preserve">the module has no declarative workflow/approval layer. Every enterprise workflow gap above is a symptom of the same missing capability — a workflow + approval engine (see §4 and the roadmap). Recommend introducing it once and routing claims, invoices, receipts, write-offs, and adjustments through it.</w:t>
      </w:r>
    </w:p>
    <w:p>
      <w:r>
        <w:br w:type="page"/>
      </w:r>
    </w:p>
    <w:p>
      <w:pPr>
        <w:pStyle w:val="Heading1"/>
      </w:pPr>
      <w:r>
        <w:t xml:space="preserve">7. Integration Review</w:t>
      </w:r>
    </w:p>
    <w:p>
      <w:pPr>
        <w:spacing w:after="140" w:before="0" w:line="276"/>
      </w:pPr>
      <w:r>
        <w:rPr>
          <w:b w:val="false"/>
          <w:bCs w:val="false"/>
          <w:i w:val="false"/>
          <w:iCs w:val="false"/>
        </w:rPr>
        <w:t xml:space="preserve">Integration surface assessed against the cross-module dependency map in the inventory.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6000"/>
      </w:tblGrid>
      <w:tr>
        <w:trPr>
          <w:tblHeader/>
        </w:trP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Host of tabs, routes, aggregators, documents. Solid.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Student / CRM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client_id FK + counselor status view; no auto-linking (UI “Coming soon”).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Lead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direct link from lead to commission earning.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Admissions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Planned bridge only; application_submitted does not create student rows.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commission_sheet/agreement kinds feed AI extraction.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Accounting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Reserved FK only; no journal/ledger integration.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Performance Hub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Read-only INR overlay; no bidirectional sync.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commission-specific notifications.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invoice/claim/dispute email dispatch from the module.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WhatsApp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channel integration.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jobs/queues/event listeners (bridge dormant).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upi-extract-commission-sheet, upi-analyze-agreement edge functions.</w:t>
            </w:r>
          </w:p>
        </w:tc>
      </w:tr>
      <w:tr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Reporting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6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KPI strips only; no dedicated reporting integration (see §9).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Priority integrations: </w:t>
      </w:r>
      <w:r>
        <w:rPr>
          <w:b w:val="false"/>
          <w:bCs w:val="false"/>
          <w:i w:val="false"/>
          <w:iCs w:val="false"/>
        </w:rPr>
        <w:t xml:space="preserve">(1) Accounting (financial correctness), (2) CRM/Admissions auto-creation (removes the manual bottleneck by activating the already-designed but dormant bridge), (3) Notifications/Email (approval and dunning workflows depend on it).</w:t>
      </w:r>
    </w:p>
    <w:p>
      <w:r>
        <w:br w:type="page"/>
      </w:r>
    </w:p>
    <w:p>
      <w:pPr>
        <w:pStyle w:val="Heading1"/>
      </w:pPr>
      <w:r>
        <w:t xml:space="preserve">8. Security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160"/>
        <w:gridCol w:w="5850"/>
      </w:tblGrid>
      <w:tr>
        <w:trPr>
          <w:tblHeader/>
        </w:trP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Finding &amp; recommendation</w:t>
            </w:r>
          </w:p>
        </w:tc>
      </w:tr>
      <w:t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Permissions (RBAC)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Existing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isCommissionAdmin, isAccountingMember, useModulePermission gate routes/tabs.</w:t>
            </w:r>
          </w:p>
        </w:tc>
      </w:tr>
      <w:t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RLS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Confidential tables use can_view_upi_confidential; early tables carry auth_all USING(true) — tighten to role/entity scope.</w:t>
            </w:r>
          </w:p>
        </w:tc>
      </w:tr>
      <w:t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Role design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Admin/accounting roles exist; no approver, auditor, or read-only-finance roles for segregation of duties.</w:t>
            </w:r>
          </w:p>
        </w:tc>
      </w:tr>
      <w:t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Approval security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approval layer, therefore no approval-level authorization.</w:t>
            </w:r>
          </w:p>
        </w:tc>
      </w:tr>
      <w:t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Financial security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Posted-receipt immutability trigger is strong; no maker-checker, no threshold controls on financial actions.</w:t>
            </w:r>
          </w:p>
        </w:tc>
      </w:tr>
      <w:t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Audit trails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dedicated audit log; partial history via snapshots/updated_at only.</w:t>
            </w:r>
          </w:p>
        </w:tc>
      </w:tr>
      <w:t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Sensitive data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Confidential flag hides amounts from counselors; no field-level encryption/masking policy.</w:t>
            </w:r>
          </w:p>
        </w:tc>
      </w:tr>
      <w:t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Deletion protection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Immutability triggers protect snapshots/posted receipts; other rows can be hard-deleted.</w:t>
            </w:r>
          </w:p>
        </w:tc>
      </w:tr>
      <w:t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Soft deletes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soft-delete pattern — required for financial recoverability and audit.</w:t>
            </w:r>
          </w:p>
        </w:tc>
      </w:tr>
      <w:t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Versioning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Agreement versions + snapshots; no general versioning on rules/commissions.</w:t>
            </w:r>
          </w:p>
        </w:tc>
      </w:tr>
      <w:tr>
        <w:tc>
          <w:tcPr>
            <w:tcW w:type="dxa" w:w="23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1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Missing</w:t>
            </w:r>
          </w:p>
        </w:tc>
        <w:tc>
          <w:tcPr>
            <w:tcW w:type="dxa" w:w="58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SoD enforcement, retention policy, or regulatory tax/audit posture.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CEC" w:sz="1"/>
              <w:left w:val="single" w:color="B23A3A" w:sz="18"/>
              <w:bottom w:val="single" w:color="FDECEC" w:sz="1"/>
              <w:right w:val="single" w:color="FDECEC" w:sz="1"/>
            </w:tcBorders>
            <w:shd w:fill="FDECE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8"/>
            </w:pPr>
            <w:r>
              <w:rPr>
                <w:b/>
                <w:bCs/>
                <w:color w:val="B23A3A"/>
                <w:sz w:val="19"/>
                <w:szCs w:val="19"/>
              </w:rPr>
              <w:t xml:space="preserve">Highest-risk item:  </w:t>
            </w:r>
            <w:r>
              <w:rPr>
                <w:sz w:val="20"/>
                <w:szCs w:val="20"/>
              </w:rPr>
              <w:t xml:space="preserve">The auth_all USING(true) policies on upi_commission_students, upi_commission_invoices, and upi_invoice_line_items give any authenticated user full read/write on financial rows. This is the top security remediation and should be treated as Critical (see §10).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Reporting Review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AS-IS: </w:t>
      </w:r>
      <w:r>
        <w:rPr>
          <w:b w:val="false"/>
          <w:bCs w:val="false"/>
          <w:i w:val="false"/>
          <w:iCs w:val="false"/>
        </w:rPr>
        <w:t xml:space="preserve">the module exposes KPI strips (Claims tab, Performance Hub) and read-only lists. There are </w:t>
      </w:r>
      <w:r>
        <w:rPr>
          <w:b/>
          <w:bCs/>
          <w:i w:val="false"/>
          <w:iCs w:val="false"/>
        </w:rPr>
        <w:t xml:space="preserve">no dedicated report or analytics screens</w:t>
      </w:r>
      <w:r>
        <w:rPr>
          <w:b w:val="false"/>
          <w:bCs w:val="false"/>
          <w:i w:val="false"/>
          <w:iCs w:val="false"/>
        </w:rPr>
        <w:t xml:space="preserve"> (Reports route Not Found; no materialized views). The reports below are what an enterprise commission engine should provide.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 class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Reports (Missing unless noted)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Claim pipeline, pending claims, blocked/held students, overdue claims, recalculation exceptions.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Financial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Commission P&amp;L, invoiced-vs-received, outstanding AR, write-offs, adjustments, journal register.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Executive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Commission earned/paid by period, margin trend, top institutions/partners, KPI dashboard with drill-down.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Per-institution statement, agreement compliance, claim cycle history.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Counselor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Counselor-attributed commissions (needs counselor payee model, §2).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Branch / Country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Commission by branch/country (needs org-unit + country dimensions).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Partner / Aggregator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Aggregator settlement statement, remittance reconciliation (partial KPIs exist in workbench).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Audit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Change log, approval history, immutability exceptions, actor activity.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GST/VAT summary by jurisdiction and period (needs tax engine).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Forecast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Expected commission pipeline by eligibility stage and intake.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Profitability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Net commission margin per institution/channel.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Aging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Outstanding commission AR aging buckets.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Outstanding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Live outstanding by institution/partner/period.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Commission pipeline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Funnel from calculated → eligible → claimed → invoiced → received.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Settlement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Aggregator/partner settlement and dispute status.</w:t>
            </w:r>
          </w:p>
        </w:tc>
      </w:tr>
      <w:tr>
        <w:tc>
          <w:tcPr>
            <w:tcW w:type="dxa" w:w="23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Cash flow</w:t>
            </w:r>
          </w:p>
        </w:tc>
        <w:tc>
          <w:tcPr>
            <w:tcW w:type="dxa" w:w="7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Expected vs actual commission inflows by period.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Enabler: </w:t>
      </w:r>
      <w:r>
        <w:rPr>
          <w:b w:val="false"/>
          <w:bCs w:val="false"/>
          <w:i w:val="false"/>
          <w:iCs w:val="false"/>
        </w:rPr>
        <w:t xml:space="preserve">most of these require a reporting layer — materialized views or aggregate tables (§4) — plus the org-unit and payee dimensions. Recommend a reporting mart rather than querying transactional tables directly at enterprise volume.</w:t>
      </w:r>
    </w:p>
    <w:p>
      <w:r>
        <w:br w:type="page"/>
      </w:r>
    </w:p>
    <w:p>
      <w:pPr>
        <w:pStyle w:val="Heading1"/>
      </w:pPr>
      <w:r>
        <w:t xml:space="preserve">10. Technical Debt Review (Prioritized)</w:t>
      </w:r>
    </w:p>
    <w:p>
      <w:pPr>
        <w:spacing w:after="140" w:before="0" w:line="276"/>
      </w:pPr>
      <w:r>
        <w:rPr>
          <w:b w:val="false"/>
          <w:bCs w:val="false"/>
          <w:i w:val="false"/>
          <w:iCs w:val="false"/>
        </w:rPr>
        <w:t xml:space="preserve">The inventory's technical-debt register re-prioritized by enterprise risk. Priority reflects financial/security impact, not effort.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4000"/>
      </w:tblGrid>
      <w:tr>
        <w:trPr>
          <w:tblHeader/>
        </w:trP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this priority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auth_all USING(true) RLS on financial tables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Any authenticated user can mutate commission/invoice rows. Direct financial + data-integrity risk.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accounting journal / GL posting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Financials cannot be trusted or reconciled without a ledger. Blocks ERP status.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audit log on financial mutations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defensible trail of who changed what — fails audit/compliance.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approval / maker-checker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Financial actions commit unilaterally; SoD is impossible.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Clawback columns without logic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Reserved fields imply capability that does not exist; revenue-recovery gap.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Phase 2B tables missing from types (as any)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Type-unsafe access to financial tables risks silent errors.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Duplicate eligibility logic (TS + SQL + bridge)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Divergence risk on a core business rule.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Manual student-row creation (bridge dormant)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Scale bottleneck and data-quality risk at volume.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ClaimsPanel monolith (~1200 lines)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Maintainability drag; CONSOLIDATE without behavior change.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Invoice auto-numbering placeholder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Enterprise invoices need guaranteed, gapless numbering.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soft deletes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Financial recoverability and audit expectation.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commission-specific notifications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Blocks approval + dunning workflows.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Global dashboard has no drill-down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UX gap; not financial risk.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E2E tests for workflows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Regression risk as the module grows.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help doc / doc drift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Documentation hygiene.</w:t>
            </w:r>
          </w:p>
        </w:tc>
      </w:tr>
      <w:tr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Aggregator statement “placeholder upload” label</w:t>
            </w:r>
          </w:p>
        </w:tc>
        <w:tc>
          <w:tcPr>
            <w:tcW w:type="dxa" w:w="1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Cosmetic.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Scalability Review</w:t>
      </w:r>
    </w:p>
    <w:p>
      <w:pPr>
        <w:spacing w:after="140" w:before="0" w:line="276"/>
      </w:pPr>
      <w:r>
        <w:rPr>
          <w:b w:val="false"/>
          <w:bCs w:val="false"/>
          <w:i w:val="false"/>
          <w:iCs w:val="false"/>
        </w:rPr>
        <w:t xml:space="preserve">Can the current architecture support enterprise scale? Postgres/Supabase provides the raw capacity; the constraints are architectural, not infrastructural.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560"/>
        <w:gridCol w:w="5150"/>
      </w:tblGrid>
      <w:tr>
        <w:trPr>
          <w:tblHeader/>
        </w:trPr>
        <w:tc>
          <w:tcPr>
            <w:tcW w:type="dxa" w:w="26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Supported?</w:t>
            </w:r>
          </w:p>
        </w:tc>
        <w:tc>
          <w:tcPr>
            <w:tcW w:type="dxa" w:w="51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1F2A5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6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10,000 students</w:t>
            </w:r>
          </w:p>
        </w:tc>
        <w:tc>
          <w:tcPr>
            <w:tcW w:type="dxa" w:w="1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Yes, with care</w:t>
            </w:r>
          </w:p>
        </w:tc>
        <w:tc>
          <w:tcPr>
            <w:tcW w:type="dxa" w:w="51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Indexed student table handles volume; synchronous recalc and list screens need pagination/reporting mart.</w:t>
            </w:r>
          </w:p>
        </w:tc>
      </w:tr>
      <w:tr>
        <w:tc>
          <w:tcPr>
            <w:tcW w:type="dxa" w:w="26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100 institutions</w:t>
            </w:r>
          </w:p>
        </w:tc>
        <w:tc>
          <w:tcPr>
            <w:tcW w:type="dxa" w:w="1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B7A46"/>
                <w:sz w:val="19"/>
                <w:szCs w:val="19"/>
              </w:rPr>
              <w:t xml:space="preserve">Yes</w:t>
            </w:r>
          </w:p>
        </w:tc>
        <w:tc>
          <w:tcPr>
            <w:tcW w:type="dxa" w:w="51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Institution-scoped model handles this comfortably today.</w:t>
            </w:r>
          </w:p>
        </w:tc>
      </w:tr>
      <w:tr>
        <w:tc>
          <w:tcPr>
            <w:tcW w:type="dxa" w:w="26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500 institutions</w:t>
            </w:r>
          </w:p>
        </w:tc>
        <w:tc>
          <w:tcPr>
            <w:tcW w:type="dxa" w:w="1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Conditional</w:t>
            </w:r>
          </w:p>
        </w:tc>
        <w:tc>
          <w:tcPr>
            <w:tcW w:type="dxa" w:w="51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Global dashboard/reporting will strain without materialized views/aggregate marts.</w:t>
            </w:r>
          </w:p>
        </w:tc>
      </w:tr>
      <w:tr>
        <w:tc>
          <w:tcPr>
            <w:tcW w:type="dxa" w:w="26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 countries</w:t>
            </w:r>
          </w:p>
        </w:tc>
        <w:tc>
          <w:tcPr>
            <w:tcW w:type="dxa" w:w="1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1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scope_country exists; per-country tax, eligibility, and reporting dimensions are Missing.</w:t>
            </w:r>
          </w:p>
        </w:tc>
      </w:tr>
      <w:tr>
        <w:tc>
          <w:tcPr>
            <w:tcW w:type="dxa" w:w="26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Multiple companies</w:t>
            </w:r>
          </w:p>
        </w:tc>
        <w:tc>
          <w:tcPr>
            <w:tcW w:type="dxa" w:w="1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No</w:t>
            </w:r>
          </w:p>
        </w:tc>
        <w:tc>
          <w:tcPr>
            <w:tcW w:type="dxa" w:w="51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legal-entity/company dimension across commission rows.</w:t>
            </w:r>
          </w:p>
        </w:tc>
      </w:tr>
      <w:tr>
        <w:tc>
          <w:tcPr>
            <w:tcW w:type="dxa" w:w="26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Multiple currencies</w:t>
            </w:r>
          </w:p>
        </w:tc>
        <w:tc>
          <w:tcPr>
            <w:tcW w:type="dxa" w:w="1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9A6A12"/>
                <w:sz w:val="19"/>
                <w:szCs w:val="19"/>
              </w:rPr>
              <w:t xml:space="preserve">Partial</w:t>
            </w:r>
          </w:p>
        </w:tc>
        <w:tc>
          <w:tcPr>
            <w:tcW w:type="dxa" w:w="51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Multi-currency columns + FX review exist; consolidation limited to a single INR view with hardcoded fallback.</w:t>
            </w:r>
          </w:p>
        </w:tc>
      </w:tr>
      <w:tr>
        <w:tc>
          <w:tcPr>
            <w:tcW w:type="dxa" w:w="26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Multiple business units</w:t>
            </w:r>
          </w:p>
        </w:tc>
        <w:tc>
          <w:tcPr>
            <w:tcW w:type="dxa" w:w="1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No</w:t>
            </w:r>
          </w:p>
        </w:tc>
        <w:tc>
          <w:tcPr>
            <w:tcW w:type="dxa" w:w="51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org-unit/branch dimension.</w:t>
            </w:r>
          </w:p>
        </w:tc>
      </w:tr>
      <w:tr>
        <w:tc>
          <w:tcPr>
            <w:tcW w:type="dxa" w:w="26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Multiple brands</w:t>
            </w:r>
          </w:p>
        </w:tc>
        <w:tc>
          <w:tcPr>
            <w:tcW w:type="dxa" w:w="1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No</w:t>
            </w:r>
          </w:p>
        </w:tc>
        <w:tc>
          <w:tcPr>
            <w:tcW w:type="dxa" w:w="51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2F4F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brand dimension.</w:t>
            </w:r>
          </w:p>
        </w:tc>
      </w:tr>
      <w:tr>
        <w:tc>
          <w:tcPr>
            <w:tcW w:type="dxa" w:w="26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Multiple legal entities</w:t>
            </w:r>
          </w:p>
        </w:tc>
        <w:tc>
          <w:tcPr>
            <w:tcW w:type="dxa" w:w="1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B23A3A"/>
                <w:sz w:val="19"/>
                <w:szCs w:val="19"/>
              </w:rPr>
              <w:t xml:space="preserve">No</w:t>
            </w:r>
          </w:p>
        </w:tc>
        <w:tc>
          <w:tcPr>
            <w:tcW w:type="dxa" w:w="515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Billing profiles are per-institution; no first-class legal-entity model driving GL and tax.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9A6A12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8"/>
            </w:pPr>
            <w:r>
              <w:rPr>
                <w:b/>
                <w:bCs/>
                <w:color w:val="9A6A12"/>
                <w:sz w:val="19"/>
                <w:szCs w:val="19"/>
              </w:rPr>
              <w:t xml:space="preserve">Scalability verdict:  </w:t>
            </w:r>
            <w:r>
              <w:rPr>
                <w:sz w:val="20"/>
                <w:szCs w:val="20"/>
              </w:rPr>
              <w:t xml:space="preserve">Scales well within a single company / few countries. The blockers to true enterprise scale are the missing org-unit / legal-entity / company dimensions and the absence of a reporting mart — not database capacity. These are additive (EXTEND), not a rebuild.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Future ERP Roadmap</w:t>
      </w:r>
    </w:p>
    <w:p>
      <w:pPr>
        <w:spacing w:after="140" w:before="0" w:line="276"/>
      </w:pPr>
      <w:r>
        <w:rPr>
          <w:b w:val="false"/>
          <w:bCs w:val="false"/>
          <w:i w:val="false"/>
          <w:iCs w:val="false"/>
        </w:rPr>
        <w:t xml:space="preserve">Phases 1–2B are delivered (AS-IS). The roadmap below sequences the enterprise work, ordered so each phase unblocks the next and respects REUSE → EXTEND → CREATE.</w:t>
      </w:r>
    </w:p>
    <w:p>
      <w:pPr>
        <w:pStyle w:val="Heading2"/>
      </w:pPr>
      <w:r>
        <w:t xml:space="preserve">Phase 3 — Financial Backbone &amp; Controls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Objective: </w:t>
      </w:r>
      <w:r>
        <w:rPr>
          <w:b w:val="false"/>
          <w:bCs w:val="false"/>
          <w:i w:val="false"/>
          <w:iCs w:val="false"/>
        </w:rPr>
        <w:t xml:space="preserve">Make commission financials trustworthy and auditable. This is the ERP-readiness gate.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Features: </w:t>
      </w:r>
      <w:r>
        <w:rPr>
          <w:b w:val="false"/>
          <w:bCs w:val="false"/>
          <w:i w:val="false"/>
          <w:iCs w:val="false"/>
        </w:rPr>
        <w:t xml:space="preserve">Accounting journal + journal-line tables; journal posting on receipt post (populate the reserved accounting_journal_id); audit-log table; tighten auth_all RLS; adjustments + credit/debit notes for immutable corrections.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Dependencies: </w:t>
      </w:r>
      <w:r>
        <w:rPr>
          <w:b w:val="false"/>
          <w:bCs w:val="false"/>
          <w:i w:val="false"/>
          <w:iCs w:val="false"/>
        </w:rPr>
        <w:t xml:space="preserve">Reserved accounting_journal_id seam; existing receipt/posting RPCs; accounting module entity_id.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Risk: </w:t>
      </w:r>
      <w:r>
        <w:rPr>
          <w:b/>
          <w:bCs/>
          <w:i w:val="false"/>
          <w:iCs w:val="false"/>
          <w:color w:val="B23A3A"/>
        </w:rPr>
        <w:t xml:space="preserve">HIGH </w:t>
      </w:r>
      <w:r>
        <w:rPr>
          <w:b w:val="false"/>
          <w:bCs w:val="false"/>
          <w:i w:val="false"/>
          <w:iCs w:val="false"/>
        </w:rPr>
        <w:t xml:space="preserve">— touches money and immutability; must not break posted-receipt guarantees.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Estimated complexity: </w:t>
      </w:r>
      <w:r>
        <w:rPr>
          <w:b/>
          <w:bCs/>
          <w:i w:val="false"/>
          <w:iCs w:val="false"/>
        </w:rPr>
        <w:t xml:space="preserve">High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Phase 4 — Approvals, Audit &amp; Automation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Objective: </w:t>
      </w:r>
      <w:r>
        <w:rPr>
          <w:b w:val="false"/>
          <w:bCs w:val="false"/>
          <w:i w:val="false"/>
          <w:iCs w:val="false"/>
        </w:rPr>
        <w:t xml:space="preserve">Add the workflow fabric and remove the manual bottleneck.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Features: </w:t>
      </w:r>
      <w:r>
        <w:rPr>
          <w:b w:val="false"/>
          <w:bCs w:val="false"/>
          <w:i w:val="false"/>
          <w:iCs w:val="false"/>
        </w:rPr>
        <w:t xml:space="preserve">Declarative workflow + approval tables; maker-checker on claims/invoices/receipts/write-offs; activate the dormant CRM/admission bridge for auto student-row creation; notification + email dispatch; soft deletes.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Dependencies: </w:t>
      </w:r>
      <w:r>
        <w:rPr>
          <w:b w:val="false"/>
          <w:bCs w:val="false"/>
          <w:i w:val="false"/>
          <w:iCs w:val="false"/>
        </w:rPr>
        <w:t xml:space="preserve">Phase 3 audit log; existing clientIntegrationBridge design; notification infrastructure.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Risk: </w:t>
      </w:r>
      <w:r>
        <w:rPr>
          <w:b/>
          <w:bCs/>
          <w:i w:val="false"/>
          <w:iCs w:val="false"/>
          <w:color w:val="9A6A12"/>
        </w:rPr>
        <w:t xml:space="preserve">MEDIUM </w:t>
      </w:r>
      <w:r>
        <w:rPr>
          <w:b w:val="false"/>
          <w:bCs w:val="false"/>
          <w:i w:val="false"/>
          <w:iCs w:val="false"/>
        </w:rPr>
        <w:t xml:space="preserve">— mostly additive; bridge activation needs careful eligibility-logic de-duplication.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Estimated complexity: </w:t>
      </w:r>
      <w:r>
        <w:rPr>
          <w:b/>
          <w:bCs/>
          <w:i w:val="false"/>
          <w:iCs w:val="false"/>
        </w:rPr>
        <w:t xml:space="preserve">Medium–High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Phase 5 — Multi-Entity &amp; Multi-Channel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Objective: </w:t>
      </w:r>
      <w:r>
        <w:rPr>
          <w:b w:val="false"/>
          <w:bCs w:val="false"/>
          <w:i w:val="false"/>
          <w:iCs w:val="false"/>
        </w:rPr>
        <w:t xml:space="preserve">Unlock enterprise scale and the missing commission scenarios.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Features: </w:t>
      </w:r>
      <w:r>
        <w:rPr>
          <w:b w:val="false"/>
          <w:bCs w:val="false"/>
          <w:i w:val="false"/>
          <w:iCs w:val="false"/>
        </w:rPr>
        <w:t xml:space="preserve">Payee + earning-allocation model (splits, shared, multi-level, agent, counselor, branch); org-unit / legal-entity / company / brand dimensions; per-country tax/GST engine; effective-dated FX history; clawback engine.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Dependencies: </w:t>
      </w:r>
      <w:r>
        <w:rPr>
          <w:b w:val="false"/>
          <w:bCs w:val="false"/>
          <w:i w:val="false"/>
          <w:iCs w:val="false"/>
        </w:rPr>
        <w:t xml:space="preserve">Phase 3 GL (payees post to accounts); Phase 4 approvals (channel payouts need approval).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Risk: </w:t>
      </w:r>
      <w:r>
        <w:rPr>
          <w:b/>
          <w:bCs/>
          <w:i w:val="false"/>
          <w:iCs w:val="false"/>
          <w:color w:val="B23A3A"/>
        </w:rPr>
        <w:t xml:space="preserve">HIGH </w:t>
      </w:r>
      <w:r>
        <w:rPr>
          <w:b w:val="false"/>
          <w:bCs w:val="false"/>
          <w:i w:val="false"/>
          <w:iCs w:val="false"/>
        </w:rPr>
        <w:t xml:space="preserve">— broad schema surface; the payee model is central and must generalize cleanly.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Estimated complexity: </w:t>
      </w:r>
      <w:r>
        <w:rPr>
          <w:b/>
          <w:bCs/>
          <w:i w:val="false"/>
          <w:iCs w:val="false"/>
        </w:rPr>
        <w:t xml:space="preserve">High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Phase 6 — Reporting, Recognition &amp; Close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Objective: </w:t>
      </w:r>
      <w:r>
        <w:rPr>
          <w:b w:val="false"/>
          <w:bCs w:val="false"/>
          <w:i w:val="false"/>
          <w:iCs w:val="false"/>
        </w:rPr>
        <w:t xml:space="preserve">Enterprise finance operations and analytics.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Features: </w:t>
      </w:r>
      <w:r>
        <w:rPr>
          <w:b w:val="false"/>
          <w:bCs w:val="false"/>
          <w:i w:val="false"/>
          <w:iCs w:val="false"/>
        </w:rPr>
        <w:t xml:space="preserve">Reporting mart (materialized views / aggregate tables); the §9 report suite; revenue recognition schedules; accounting period close &amp; lock; three-way (invoice–receipt–GL) and period reconciliation; forecast/pipeline analytics.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Dependencies: </w:t>
      </w:r>
      <w:r>
        <w:rPr>
          <w:b w:val="false"/>
          <w:bCs w:val="false"/>
          <w:i w:val="false"/>
          <w:iCs w:val="false"/>
        </w:rPr>
        <w:t xml:space="preserve">Phases 3–5 (needs GL, dimensions, payees to report on).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Risk: </w:t>
      </w:r>
      <w:r>
        <w:rPr>
          <w:b/>
          <w:bCs/>
          <w:i w:val="false"/>
          <w:iCs w:val="false"/>
          <w:color w:val="9A6A12"/>
        </w:rPr>
        <w:t xml:space="preserve">MEDIUM </w:t>
      </w:r>
      <w:r>
        <w:rPr>
          <w:b w:val="false"/>
          <w:bCs w:val="false"/>
          <w:i w:val="false"/>
          <w:iCs w:val="false"/>
        </w:rPr>
        <w:t xml:space="preserve">— read-heavy and additive; main risk is reporting drift if source models are still changing.</w:t>
      </w:r>
    </w:p>
    <w:p>
      <w:pPr>
        <w:spacing w:after="140" w:before="0" w:line="276"/>
      </w:pPr>
      <w:r>
        <w:rPr>
          <w:b/>
          <w:bCs/>
          <w:i w:val="false"/>
          <w:iCs w:val="false"/>
        </w:rPr>
        <w:t xml:space="preserve">Estimated complexity: </w:t>
      </w:r>
      <w:r>
        <w:rPr>
          <w:b/>
          <w:bCs/>
          <w:i w:val="false"/>
          <w:iCs w:val="false"/>
        </w:rPr>
        <w:t xml:space="preserve">Medium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13. Implementation Priority Matrix</w:t>
      </w:r>
    </w:p>
    <w:p>
      <w:pPr>
        <w:spacing w:after="140" w:before="0" w:line="276"/>
      </w:pPr>
      <w:r>
        <w:rPr>
          <w:b w:val="false"/>
          <w:bCs w:val="false"/>
          <w:i w:val="false"/>
          <w:iCs w:val="false"/>
        </w:rPr>
        <w:t xml:space="preserve">Every missing/partial feature classified by enterprise necessity. MoSCoW, weighted toward financial correctness and controls.</w:t>
      </w:r>
    </w:p>
    <w:p>
      <w:pPr>
        <w:pStyle w:val="Heading2"/>
      </w:pPr>
      <w:r>
        <w:t xml:space="preserve">13.1 Must Have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B23A3A"/>
        </w:rPr>
        <w:t xml:space="preserve">Accounting journal + GL posting on receipt post (populate accounting_journal_id).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B23A3A"/>
        </w:rPr>
        <w:t xml:space="preserve">Audit-log table on all financial mutations.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B23A3A"/>
        </w:rPr>
        <w:t xml:space="preserve">Tighten auth_all RLS on financial tables (security-critical).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B23A3A"/>
        </w:rPr>
        <w:t xml:space="preserve">Approval / maker-checker on financial actions.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B23A3A"/>
        </w:rPr>
        <w:t xml:space="preserve">Adjustments + credit/debit notes (immutable-safe corrections).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B23A3A"/>
        </w:rPr>
        <w:t xml:space="preserve">Tax / GST computation on invoices and receipts.</w:t>
      </w:r>
    </w:p>
    <w:p>
      <w:pPr>
        <w:pStyle w:val="Heading2"/>
      </w:pPr>
      <w:r>
        <w:t xml:space="preserve">13.2 Should Have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9A6A12"/>
        </w:rPr>
        <w:t xml:space="preserve">Payee + earning-allocation model (splits, shared, multi-level, agent, counselor).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9A6A12"/>
        </w:rPr>
        <w:t xml:space="preserve">Activate CRM/admission bridge for auto student-row creation.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9A6A12"/>
        </w:rPr>
        <w:t xml:space="preserve">Org-unit / legal-entity / company dimensions (multi-entity).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9A6A12"/>
        </w:rPr>
        <w:t xml:space="preserve">Notification + email dispatch; soft deletes.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9A6A12"/>
        </w:rPr>
        <w:t xml:space="preserve">Clawback engine (columns already reserved).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9A6A12"/>
        </w:rPr>
        <w:t xml:space="preserve">Reporting mart + core report suite (aging, outstanding, pipeline, settlement).</w:t>
      </w:r>
    </w:p>
    <w:p>
      <w:pPr>
        <w:pStyle w:val="Heading2"/>
      </w:pPr>
      <w:r>
        <w:t xml:space="preserve">13.3 Nice to Have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</w:rPr>
        <w:t xml:space="preserve">Global dashboard drill-down and filters.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</w:rPr>
        <w:t xml:space="preserve">ClaimsPanel decomposition (CONSOLIDATE).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</w:rPr>
        <w:t xml:space="preserve">Regenerate Phase 2B Supabase types (remove as any).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</w:rPr>
        <w:t xml:space="preserve">WhatsApp channel integration.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</w:rPr>
        <w:t xml:space="preserve">Executive analytics / profitability dashboards.</w:t>
      </w:r>
    </w:p>
    <w:p>
      <w:pPr>
        <w:pStyle w:val="Heading2"/>
      </w:pPr>
      <w:r>
        <w:t xml:space="preserve">13.4 Future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666666"/>
        </w:rPr>
        <w:t xml:space="preserve">Franchise / brand revenue-share commissions.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666666"/>
        </w:rPr>
        <w:t xml:space="preserve">Revenue recognition schedules and period close.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666666"/>
        </w:rPr>
        <w:t xml:space="preserve">Forecast engine and cash-flow projection.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666666"/>
        </w:rPr>
        <w:t xml:space="preserve">Full bidirectional Performance Hub sync.</w:t>
      </w:r>
    </w:p>
    <w:p>
      <w:r>
        <w:br w:type="page"/>
      </w:r>
    </w:p>
    <w:p>
      <w:pPr>
        <w:pStyle w:val="Heading1"/>
      </w:pPr>
      <w:r>
        <w:t xml:space="preserve">14. Final Enterprise Verdict</w:t>
      </w:r>
    </w:p>
    <w:p>
      <w:pPr>
        <w:pStyle w:val="Heading2"/>
      </w:pPr>
      <w:r>
        <w:t xml:space="preserve">Can this become an enterprise-grade commission engine?</w:t>
      </w:r>
    </w:p>
    <w:p>
      <w:pPr>
        <w:spacing w:after="140" w:before="0" w:line="276"/>
      </w:pPr>
      <w:r>
        <w:rPr>
          <w:b/>
          <w:bCs/>
          <w:i w:val="false"/>
          <w:iCs w:val="false"/>
          <w:color w:val="1B7A46"/>
        </w:rPr>
        <w:t xml:space="preserve">Yes — by extension, not replacement. </w:t>
      </w:r>
      <w:r>
        <w:rPr>
          <w:b w:val="false"/>
          <w:bCs w:val="false"/>
          <w:i w:val="false"/>
          <w:iCs w:val="false"/>
        </w:rPr>
        <w:t xml:space="preserve">The core — rule engine, lifecycle RPCs, snapshot/receipt immutability, allocation model, and institution workspace — is a sound foundation that already exhibits enterprise instincts (immutability, RPC-mediated writes, confidential RLS, reserved seams for journal and clawback). The missing 40-odd points of ERP-readiness are concentrated in additive layers: accounting, approvals/audit, multi-entity dimensions, and reporting. None require rebuilding what works.</w:t>
      </w:r>
    </w:p>
    <w:p>
      <w:pPr>
        <w:pStyle w:val="Heading2"/>
      </w:pPr>
      <w:r>
        <w:t xml:space="preserve">Biggest strengths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1B7A46"/>
        </w:rPr>
        <w:t xml:space="preserve">Immutable snapshots and posted receipts — correct financial instinct.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1B7A46"/>
        </w:rPr>
        <w:t xml:space="preserve">RPC-centric write path with a mirrored pure calculation library.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1B7A46"/>
        </w:rPr>
        <w:t xml:space="preserve">Clean, scoped rule-resolution and eligibility model with tests.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1B7A46"/>
        </w:rPr>
        <w:t xml:space="preserve">Real extension seams: partnership routes, billing profiles, aggregator scope, reserved accounting_journal_id and clawback columns, AI extraction.</w:t>
      </w:r>
    </w:p>
    <w:p>
      <w:pPr>
        <w:pStyle w:val="Heading2"/>
      </w:pPr>
      <w:r>
        <w:t xml:space="preserve">Biggest weaknesses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B23A3A"/>
        </w:rPr>
        <w:t xml:space="preserve">No accounting/GL spine — financials cannot be posted, reconciled, or recognized.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B23A3A"/>
        </w:rPr>
        <w:t xml:space="preserve">No approval, audit-log, or segregation-of-duties layer.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B23A3A"/>
        </w:rPr>
        <w:t xml:space="preserve">Permissive auth_all RLS on financial tables (security-critical).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B23A3A"/>
        </w:rPr>
        <w:t xml:space="preserve">Single-payee student row blocks split/shared/multi-level/channel commissions.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  <w:color w:val="B23A3A"/>
        </w:rPr>
        <w:t xml:space="preserve">No multi-company / legal-entity / org-unit dimensions for true enterprise scale.</w:t>
      </w:r>
    </w:p>
    <w:p>
      <w:pPr>
        <w:pStyle w:val="Heading2"/>
      </w:pPr>
      <w:r>
        <w:t xml:space="preserve">What must never be changed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</w:rPr>
        <w:t xml:space="preserve">Snapshot and posted-receipt immutability (triggers) — the integrity backbone.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</w:rPr>
        <w:t xml:space="preserve">The RPC-mediated write model (no direct table mutation for business writes).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  <w:i w:val="false"/>
          <w:iCs w:val="false"/>
        </w:rPr>
        <w:t xml:space="preserve">The mirrored TS/SQL calculation contract for the rule engine.</w:t>
      </w:r>
    </w:p>
    <w:p>
      <w:pPr>
        <w:pStyle w:val="Heading2"/>
      </w:pPr>
      <w:r>
        <w:t xml:space="preserve">What should definitely be reused</w:t>
      </w:r>
    </w:p>
    <w:p>
      <w:pPr>
        <w:spacing w:after="140" w:before="0" w:line="276"/>
      </w:pPr>
      <w:r>
        <w:rPr>
          <w:b/>
          <w:bCs/>
          <w:i w:val="false"/>
          <w:iCs w:val="false"/>
          <w:color w:val="1B7A46"/>
        </w:rPr>
        <w:t xml:space="preserve">REUSE: </w:t>
      </w:r>
      <w:r>
        <w:rPr>
          <w:b w:val="false"/>
          <w:bCs w:val="false"/>
          <w:i w:val="false"/>
          <w:iCs w:val="false"/>
        </w:rPr>
        <w:t xml:space="preserve">commissionEngine + rule resolver, Phase 1 lifecycle RPCs, the receipt allocation model, billing-profile and partnership-route patterns, and the institution-tab workspace structure.</w:t>
      </w:r>
    </w:p>
    <w:p>
      <w:pPr>
        <w:pStyle w:val="Heading2"/>
      </w:pPr>
      <w:r>
        <w:t xml:space="preserve">What should be extended</w:t>
      </w:r>
    </w:p>
    <w:p>
      <w:pPr>
        <w:spacing w:after="140" w:before="0" w:line="276"/>
      </w:pPr>
      <w:r>
        <w:rPr>
          <w:b/>
          <w:bCs/>
          <w:i w:val="false"/>
          <w:iCs w:val="false"/>
          <w:color w:val="2E5AAC"/>
        </w:rPr>
        <w:t xml:space="preserve">EXTEND: </w:t>
      </w:r>
      <w:r>
        <w:rPr>
          <w:b w:val="false"/>
          <w:bCs w:val="false"/>
          <w:i w:val="false"/>
          <w:iCs w:val="false"/>
        </w:rPr>
        <w:t xml:space="preserve">commission rules (bonus/promotion → campaigns), the student row into a payee/earning-allocation model, aggregator scope into a general org hierarchy, currency handling into effective-dated FX + tax, and the reserved accounting_journal_id into live journal posting.</w:t>
      </w:r>
    </w:p>
    <w:p>
      <w:pPr>
        <w:pStyle w:val="Heading2"/>
      </w:pPr>
      <w:r>
        <w:t xml:space="preserve">What should be newly created</w:t>
      </w:r>
    </w:p>
    <w:p>
      <w:pPr>
        <w:spacing w:after="140" w:before="0" w:line="276"/>
      </w:pPr>
      <w:r>
        <w:rPr>
          <w:b/>
          <w:bCs/>
          <w:i w:val="false"/>
          <w:iCs w:val="false"/>
          <w:color w:val="9A6A12"/>
        </w:rPr>
        <w:t xml:space="preserve">CREATE: </w:t>
      </w:r>
      <w:r>
        <w:rPr>
          <w:b w:val="false"/>
          <w:bCs w:val="false"/>
          <w:i w:val="false"/>
          <w:iCs w:val="false"/>
        </w:rPr>
        <w:t xml:space="preserve">the accounting journal/ledger, audit log, approval/workflow tables, adjustment/credit/debit notes, notification layer, org-unit/legal-entity dimensions, and the reporting mart with the §9 report suite.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0FB" w:sz="1"/>
              <w:left w:val="single" w:color="2E5AAC" w:sz="18"/>
              <w:bottom w:val="single" w:color="EAF0FB" w:sz="1"/>
              <w:right w:val="single" w:color="EAF0FB" w:sz="1"/>
            </w:tcBorders>
            <w:shd w:fill="EAF0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8"/>
            </w:pPr>
            <w:r>
              <w:rPr>
                <w:b/>
                <w:bCs/>
                <w:color w:val="2E5AAC"/>
                <w:sz w:val="19"/>
                <w:szCs w:val="19"/>
              </w:rPr>
              <w:t xml:space="preserve">One-line verdict:  </w:t>
            </w:r>
            <w:r>
              <w:rPr>
                <w:sz w:val="20"/>
                <w:szCs w:val="20"/>
              </w:rPr>
              <w:t xml:space="preserve">A strong commission feature with genuine enterprise bones. Deliver the financial backbone (Phase 3) and the approval/audit fabric (Phase 4) first — those two phases convert it from a good module into a defensible enterprise commission engine.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C" w:sz="4" w:space="4"/>
      </w:pBdr>
      <w:jc w:val="center"/>
    </w:pPr>
    <w:r>
      <w:rPr>
        <w:color w:val="8894AE"/>
        <w:sz w:val="15"/>
        <w:szCs w:val="15"/>
      </w:rPr>
      <w:t xml:space="preserve">Future Link ERP  •  Confidential  •  Page </w:t>
    </w:r>
    <w:r>
      <w:rPr>
        <w:color w:val="8894A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894AE"/>
        <w:sz w:val="15"/>
        <w:szCs w:val="15"/>
      </w:rPr>
      <w:t xml:space="preserve"> of </w:t>
    </w:r>
    <w:r>
      <w:rPr>
        <w:color w:val="8894A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C" w:sz="4" w:space="4"/>
      </w:pBdr>
      <w:jc w:val="right"/>
    </w:pPr>
    <w:r>
      <w:rPr>
        <w:color w:val="8894AE"/>
        <w:sz w:val="15"/>
        <w:szCs w:val="15"/>
      </w:rPr>
      <w:t xml:space="preserve">Commission Module — TO-BE Enterprise Architecture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4AC0" w:sz="8" w:space="4"/>
      </w:pBdr>
      <w:spacing w:after="160" w:before="260"/>
      <w:outlineLvl w:val="0"/>
    </w:pPr>
    <w:rPr>
      <w:rFonts w:ascii="Arial" w:cs="Arial" w:eastAsia="Arial" w:hAnsi="Arial"/>
      <w:b/>
      <w:bCs/>
      <w:color w:val="1F2A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A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Commission Module — TO-BE Enterprise Architecture Review</dc:title>
  <dc:creator>Commission Module Enterprise Review</dc:creator>
  <cp:lastModifiedBy>Un-named</cp:lastModifiedBy>
  <cp:revision>1</cp:revision>
  <dcterms:created xsi:type="dcterms:W3CDTF">2026-07-01T01:08:10.715Z</dcterms:created>
  <dcterms:modified xsi:type="dcterms:W3CDTF">2026-07-01T01:08:10.727Z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