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p>
    <w:p>
      <w:pPr>
        <w:pBdr>
          <w:bottom w:val="single" w:color="6D4AC0" w:sz="12" w:space="8"/>
        </w:pBdr>
        <w:spacing w:after="80"/>
        <w:jc w:val="center"/>
      </w:pPr>
      <w:r>
        <w:rPr>
          <w:b/>
          <w:bCs/>
          <w:color w:val="1F2A5A"/>
          <w:sz w:val="56"/>
          <w:szCs w:val="56"/>
        </w:rPr>
        <w:t xml:space="preserve">COMMISSION MODULE</w:t>
      </w:r>
    </w:p>
    <w:p>
      <w:pPr>
        <w:spacing w:after="40" w:before="120"/>
        <w:jc w:val="center"/>
      </w:pPr>
      <w:r>
        <w:rPr>
          <w:color w:val="2E5AAC"/>
          <w:sz w:val="32"/>
          <w:szCs w:val="32"/>
        </w:rPr>
        <w:t xml:space="preserve">Technical Inventory &amp; Implementation Baseline</w:t>
      </w:r>
    </w:p>
    <w:p>
      <w:pPr>
        <w:spacing w:after="400"/>
        <w:jc w:val="center"/>
      </w:pPr>
      <w:r>
        <w:rPr>
          <w:i/>
          <w:iCs/>
          <w:color w:val="666666"/>
          <w:sz w:val="24"/>
          <w:szCs w:val="24"/>
        </w:rPr>
        <w:t xml:space="preserve">Enterprise Architecture Handoff Document</w:t>
      </w:r>
    </w:p>
    <w:p>
      <w:pPr>
        <w:spacing w:after="200"/>
        <w:jc w:val="cente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9D2E3" w:sz="1"/>
              <w:left w:val="single" w:color="C9D2E3" w:sz="1"/>
              <w:bottom w:val="single" w:color="C9D2E3" w:sz="1"/>
              <w:right w:val="single" w:color="C9D2E3" w:sz="1"/>
            </w:tcBorders>
            <w:shd w:fill="1F2A5A" w:val="clear"/>
            <w:tcMar>
              <w:top w:type="dxa" w:w="60"/>
              <w:left w:type="dxa" w:w="110"/>
              <w:bottom w:type="dxa" w:w="60"/>
              <w:right w:type="dxa" w:w="110"/>
            </w:tcMar>
            <w:vAlign w:val="center"/>
          </w:tcPr>
          <w:p>
            <w:pPr>
              <w:spacing w:after="0" w:line="240"/>
            </w:pPr>
            <w:r>
              <w:rPr>
                <w:b/>
                <w:bCs/>
                <w:i w:val="false"/>
                <w:iCs w:val="false"/>
                <w:color w:val="FFFFFF"/>
                <w:sz w:val="18"/>
                <w:szCs w:val="18"/>
              </w:rPr>
              <w:t xml:space="preserve">Field</w:t>
            </w:r>
          </w:p>
        </w:tc>
        <w:tc>
          <w:tcPr>
            <w:tcW w:type="dxa" w:w="6960"/>
            <w:tcBorders>
              <w:top w:val="single" w:color="C9D2E3" w:sz="1"/>
              <w:left w:val="single" w:color="C9D2E3" w:sz="1"/>
              <w:bottom w:val="single" w:color="C9D2E3" w:sz="1"/>
              <w:right w:val="single" w:color="C9D2E3" w:sz="1"/>
            </w:tcBorders>
            <w:shd w:fill="1F2A5A" w:val="clear"/>
            <w:tcMar>
              <w:top w:type="dxa" w:w="60"/>
              <w:left w:type="dxa" w:w="110"/>
              <w:bottom w:type="dxa" w:w="60"/>
              <w:right w:type="dxa" w:w="110"/>
            </w:tcMar>
            <w:vAlign w:val="center"/>
          </w:tcPr>
          <w:p>
            <w:pPr>
              <w:spacing w:after="0" w:line="240"/>
            </w:pPr>
            <w:r>
              <w:rPr>
                <w:b/>
                <w:bCs/>
                <w:i w:val="false"/>
                <w:iCs w:val="false"/>
                <w:color w:val="FFFFFF"/>
                <w:sz w:val="18"/>
                <w:szCs w:val="18"/>
              </w:rPr>
              <w:t xml:space="preserve">Detail</w:t>
            </w:r>
          </w:p>
        </w:tc>
      </w:tr>
      <w:tr>
        <w:tc>
          <w:tcPr>
            <w:tcW w:type="dxa" w:w="24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Project</w:t>
            </w:r>
          </w:p>
        </w:tc>
        <w:tc>
          <w:tcPr>
            <w:tcW w:type="dxa" w:w="69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flow-link-docs — Future Link Education Platform</w:t>
            </w:r>
          </w:p>
        </w:tc>
      </w:tr>
      <w:tr>
        <w:tc>
          <w:tcPr>
            <w:tcW w:type="dxa" w:w="24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Stack</w:t>
            </w:r>
          </w:p>
        </w:tc>
        <w:tc>
          <w:tcPr>
            <w:tcW w:type="dxa" w:w="69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Vite + React + TypeScript + Supabase (PostgreSQL RPCs, RLS, Edge Functions)</w:t>
            </w:r>
          </w:p>
        </w:tc>
      </w:tr>
      <w:tr>
        <w:tc>
          <w:tcPr>
            <w:tcW w:type="dxa" w:w="24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Module scope</w:t>
            </w:r>
          </w:p>
        </w:tc>
        <w:tc>
          <w:tcPr>
            <w:tcW w:type="dxa" w:w="69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Institution partner commissions — Phases 1, 2A, 2B + Performance Hub overlay</w:t>
            </w:r>
          </w:p>
        </w:tc>
      </w:tr>
      <w:tr>
        <w:tc>
          <w:tcPr>
            <w:tcW w:type="dxa" w:w="24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Audit date</w:t>
            </w:r>
          </w:p>
        </w:tc>
        <w:tc>
          <w:tcPr>
            <w:tcW w:type="dxa" w:w="69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30 June 2026</w:t>
            </w:r>
          </w:p>
        </w:tc>
      </w:tr>
      <w:tr>
        <w:tc>
          <w:tcPr>
            <w:tcW w:type="dxa" w:w="24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Audit type</w:t>
            </w:r>
          </w:p>
        </w:tc>
        <w:tc>
          <w:tcPr>
            <w:tcW w:type="dxa" w:w="69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Documentation &amp; architecture audit — no code modified</w:t>
            </w:r>
          </w:p>
        </w:tc>
      </w:tr>
      <w:tr>
        <w:tc>
          <w:tcPr>
            <w:tcW w:type="dxa" w:w="24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Guiding principle</w:t>
            </w:r>
          </w:p>
        </w:tc>
        <w:tc>
          <w:tcPr>
            <w:tcW w:type="dxa" w:w="69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REUSE → EXTEND → CREATE</w:t>
            </w:r>
          </w:p>
        </w:tc>
      </w:tr>
    </w:tbl>
    <w:p>
      <w:pPr>
        <w:spacing w:before="500"/>
        <w:jc w:val="center"/>
      </w:pPr>
      <w:r>
        <w:rPr>
          <w:i/>
          <w:iCs/>
          <w:color w:val="666666"/>
          <w:sz w:val="20"/>
          <w:szCs w:val="20"/>
        </w:rPr>
        <w:t xml:space="preserve">Prepared for handoff to an enterprise product architect.</w:t>
      </w:r>
    </w:p>
    <w:p>
      <w:pPr>
        <w:jc w:val="center"/>
      </w:pPr>
      <w:r>
        <w:rPr>
          <w:i/>
          <w:iCs/>
          <w:color w:val="666666"/>
          <w:sz w:val="20"/>
          <w:szCs w:val="20"/>
        </w:rPr>
        <w:t xml:space="preserve">All conclusions are tied to observed files, migrations, and documentation; unverified behavior is marked “Not Found.”</w:t>
      </w:r>
    </w:p>
    <w:p>
      <w:r>
        <w:br w:type="page"/>
      </w:r>
    </w:p>
    <w:p>
      <w:pPr>
        <w:spacing w:after="200"/>
      </w:pPr>
      <w:r>
        <w:rPr>
          <w:b/>
          <w:bCs/>
          <w:color w:val="1F2A5A"/>
          <w:sz w:val="32"/>
          <w:szCs w:val="32"/>
        </w:rPr>
        <w:t xml:space="preserve">Contents</w:t>
      </w:r>
    </w:p>
    <w:p>
      <w:pPr>
        <w:pBdr>
          <w:bottom w:val="dotted" w:color="D5DCEC" w:sz="4" w:space="3"/>
        </w:pBdr>
        <w:spacing w:after="100" w:line="276"/>
      </w:pPr>
      <w:r>
        <w:rPr>
          <w:color w:val="333333"/>
          <w:sz w:val="22"/>
          <w:szCs w:val="22"/>
        </w:rPr>
        <w:t xml:space="preserve">1.  Executive Summary</w:t>
      </w:r>
    </w:p>
    <w:p>
      <w:pPr>
        <w:pBdr>
          <w:bottom w:val="dotted" w:color="D5DCEC" w:sz="4" w:space="3"/>
        </w:pBdr>
        <w:spacing w:after="100" w:line="276"/>
      </w:pPr>
      <w:r>
        <w:rPr>
          <w:color w:val="333333"/>
          <w:sz w:val="22"/>
          <w:szCs w:val="22"/>
        </w:rPr>
        <w:t xml:space="preserve">2.  Database Architecture</w:t>
      </w:r>
    </w:p>
    <w:p>
      <w:pPr>
        <w:pBdr>
          <w:bottom w:val="dotted" w:color="D5DCEC" w:sz="4" w:space="3"/>
        </w:pBdr>
        <w:spacing w:after="100" w:line="276"/>
      </w:pPr>
      <w:r>
        <w:rPr>
          <w:color w:val="333333"/>
          <w:sz w:val="22"/>
          <w:szCs w:val="22"/>
        </w:rPr>
        <w:t xml:space="preserve">3.  Business Process Architecture</w:t>
      </w:r>
    </w:p>
    <w:p>
      <w:pPr>
        <w:pBdr>
          <w:bottom w:val="dotted" w:color="D5DCEC" w:sz="4" w:space="3"/>
        </w:pBdr>
        <w:spacing w:after="100" w:line="276"/>
      </w:pPr>
      <w:r>
        <w:rPr>
          <w:color w:val="333333"/>
          <w:sz w:val="22"/>
          <w:szCs w:val="22"/>
        </w:rPr>
        <w:t xml:space="preserve">4.  Backend Architecture</w:t>
      </w:r>
    </w:p>
    <w:p>
      <w:pPr>
        <w:pBdr>
          <w:bottom w:val="dotted" w:color="D5DCEC" w:sz="4" w:space="3"/>
        </w:pBdr>
        <w:spacing w:after="100" w:line="276"/>
      </w:pPr>
      <w:r>
        <w:rPr>
          <w:color w:val="333333"/>
          <w:sz w:val="22"/>
          <w:szCs w:val="22"/>
        </w:rPr>
        <w:t xml:space="preserve">5.  Frontend Architecture</w:t>
      </w:r>
    </w:p>
    <w:p>
      <w:pPr>
        <w:pBdr>
          <w:bottom w:val="dotted" w:color="D5DCEC" w:sz="4" w:space="3"/>
        </w:pBdr>
        <w:spacing w:after="100" w:line="276"/>
      </w:pPr>
      <w:r>
        <w:rPr>
          <w:color w:val="333333"/>
          <w:sz w:val="22"/>
          <w:szCs w:val="22"/>
        </w:rPr>
        <w:t xml:space="preserve">6.  Existing Business Logic</w:t>
      </w:r>
    </w:p>
    <w:p>
      <w:pPr>
        <w:pBdr>
          <w:bottom w:val="dotted" w:color="D5DCEC" w:sz="4" w:space="3"/>
        </w:pBdr>
        <w:spacing w:after="100" w:line="276"/>
      </w:pPr>
      <w:r>
        <w:rPr>
          <w:color w:val="333333"/>
          <w:sz w:val="22"/>
          <w:szCs w:val="22"/>
        </w:rPr>
        <w:t xml:space="preserve">7.  APIs, Hooks &amp; Services</w:t>
      </w:r>
    </w:p>
    <w:p>
      <w:pPr>
        <w:pBdr>
          <w:bottom w:val="dotted" w:color="D5DCEC" w:sz="4" w:space="3"/>
        </w:pBdr>
        <w:spacing w:after="100" w:line="276"/>
      </w:pPr>
      <w:r>
        <w:rPr>
          <w:color w:val="333333"/>
          <w:sz w:val="22"/>
          <w:szCs w:val="22"/>
        </w:rPr>
        <w:t xml:space="preserve">8.  Reusable Components</w:t>
      </w:r>
    </w:p>
    <w:p>
      <w:pPr>
        <w:pBdr>
          <w:bottom w:val="dotted" w:color="D5DCEC" w:sz="4" w:space="3"/>
        </w:pBdr>
        <w:spacing w:after="100" w:line="276"/>
      </w:pPr>
      <w:r>
        <w:rPr>
          <w:color w:val="333333"/>
          <w:sz w:val="22"/>
          <w:szCs w:val="22"/>
        </w:rPr>
        <w:t xml:space="preserve">9.  Current User Interface</w:t>
      </w:r>
    </w:p>
    <w:p>
      <w:pPr>
        <w:pBdr>
          <w:bottom w:val="dotted" w:color="D5DCEC" w:sz="4" w:space="3"/>
        </w:pBdr>
        <w:spacing w:after="100" w:line="276"/>
      </w:pPr>
      <w:r>
        <w:rPr>
          <w:color w:val="333333"/>
          <w:sz w:val="22"/>
          <w:szCs w:val="22"/>
        </w:rPr>
        <w:t xml:space="preserve">10.  Technical Debt</w:t>
      </w:r>
    </w:p>
    <w:p>
      <w:pPr>
        <w:pBdr>
          <w:bottom w:val="dotted" w:color="D5DCEC" w:sz="4" w:space="3"/>
        </w:pBdr>
        <w:spacing w:after="100" w:line="276"/>
      </w:pPr>
      <w:r>
        <w:rPr>
          <w:color w:val="333333"/>
          <w:sz w:val="22"/>
          <w:szCs w:val="22"/>
        </w:rPr>
        <w:t xml:space="preserve">11.  Reuse Analysis (Evidence-Based)</w:t>
      </w:r>
    </w:p>
    <w:p>
      <w:pPr>
        <w:pBdr>
          <w:bottom w:val="dotted" w:color="D5DCEC" w:sz="4" w:space="3"/>
        </w:pBdr>
        <w:spacing w:after="100" w:line="276"/>
      </w:pPr>
      <w:r>
        <w:rPr>
          <w:color w:val="333333"/>
          <w:sz w:val="22"/>
          <w:szCs w:val="22"/>
        </w:rPr>
        <w:t xml:space="preserve">12.  Extension Points</w:t>
      </w:r>
    </w:p>
    <w:p>
      <w:pPr>
        <w:pBdr>
          <w:bottom w:val="dotted" w:color="D5DCEC" w:sz="4" w:space="3"/>
        </w:pBdr>
        <w:spacing w:after="100" w:line="276"/>
      </w:pPr>
      <w:r>
        <w:rPr>
          <w:color w:val="333333"/>
          <w:sz w:val="22"/>
          <w:szCs w:val="22"/>
        </w:rPr>
        <w:t xml:space="preserve">13.  Cross-Module Dependencies</w:t>
      </w:r>
    </w:p>
    <w:p>
      <w:pPr>
        <w:pBdr>
          <w:bottom w:val="dotted" w:color="D5DCEC" w:sz="4" w:space="3"/>
        </w:pBdr>
        <w:spacing w:after="100" w:line="276"/>
      </w:pPr>
      <w:r>
        <w:rPr>
          <w:color w:val="333333"/>
          <w:sz w:val="22"/>
          <w:szCs w:val="22"/>
        </w:rPr>
        <w:t xml:space="preserve">14.  Deliverables Summary &amp; Handoff Notes</w:t>
      </w:r>
    </w:p>
    <w:p>
      <w:pPr>
        <w:spacing w:before="220"/>
      </w:pPr>
      <w:r>
        <w:rPr>
          <w:i/>
          <w:iCs/>
          <w:color w:val="666666"/>
          <w:sz w:val="18"/>
          <w:szCs w:val="18"/>
        </w:rPr>
        <w:t xml:space="preserve">Note: this document uses styled headings; open in Word and update fields (Ctrl/Cmd+A, F9) to generate a page-numbered, clickable table of contents.</w:t>
      </w:r>
    </w:p>
    <w:p>
      <w:r>
        <w:br w:type="page"/>
      </w:r>
    </w:p>
    <w:p>
      <w:pPr>
        <w:pStyle w:val="Heading1"/>
      </w:pPr>
      <w:r>
        <w:t xml:space="preserve">1. Executive Summary</w:t>
      </w:r>
    </w:p>
    <w:p>
      <w:pPr>
        <w:spacing w:after="140" w:before="0" w:line="276"/>
      </w:pPr>
      <w:r>
        <w:rPr>
          <w:b w:val="false"/>
          <w:bCs w:val="false"/>
          <w:i w:val="false"/>
          <w:iCs w:val="false"/>
        </w:rPr>
        <w:t xml:space="preserve">The Commission module automates institution partner commissions for an international education agency: from the commercial agreement with a partner institution, through per-student commission calculation and eligibility, into claims, invoicing, receipt posting, and aggregator reconciliation. It is a </w:t>
      </w:r>
      <w:r>
        <w:rPr>
          <w:b/>
          <w:bCs/>
          <w:i w:val="false"/>
          <w:iCs w:val="false"/>
        </w:rPr>
        <w:t xml:space="preserve">Supabase-first</w:t>
      </w:r>
      <w:r>
        <w:rPr>
          <w:b w:val="false"/>
          <w:bCs w:val="false"/>
          <w:i w:val="false"/>
          <w:iCs w:val="false"/>
        </w:rPr>
        <w:t xml:space="preserve"> application — persistence, business logic, access control, and workflow all run through PostgreSQL tables, RPC functions, row-level security, and Edge Functions, with a React institution-tab workspace as the operational core.</w:t>
      </w:r>
    </w:p>
    <w:p>
      <w:pPr>
        <w:spacing w:after="140" w:before="0" w:line="276"/>
      </w:pPr>
      <w:r>
        <w:rPr>
          <w:b w:val="false"/>
          <w:bCs w:val="false"/>
          <w:i w:val="false"/>
          <w:iCs w:val="false"/>
        </w:rPr>
        <w:t xml:space="preserve">Overall completion is estimated at </w:t>
      </w:r>
      <w:r>
        <w:rPr>
          <w:b/>
          <w:bCs/>
          <w:i w:val="false"/>
          <w:iCs w:val="false"/>
        </w:rPr>
        <w:t xml:space="preserve">~72%</w:t>
      </w:r>
      <w:r>
        <w:rPr>
          <w:b w:val="false"/>
          <w:bCs w:val="false"/>
          <w:i w:val="false"/>
          <w:iCs w:val="false"/>
        </w:rPr>
        <w:t xml:space="preserve"> for institution partner-commission operations through Phase 2B. The three delivered phases (Phase 1 lifecycle, Phase 2A receipts, Phase 2B aggregator) are internally documented as UAT-ready. Enterprise integrations — Finance general-ledger posting, CRM automation, and additional commission channels (referral, B2B, agent) — remain largely unbuilt and are documented as out-of-scope or missing.</w:t>
      </w:r>
    </w:p>
    <w:p>
      <w:pPr>
        <w:pStyle w:val="Heading2"/>
      </w:pPr>
      <w:r>
        <w:t xml:space="preserve">1.1 Completion by area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900"/>
        <w:gridCol w:w="4160"/>
      </w:tblGrid>
      <w:tr>
        <w:trPr>
          <w:tblHeader/>
        </w:trPr>
        <w:tc>
          <w:tcPr>
            <w:tcW w:type="dxa" w:w="4300"/>
            <w:tcBorders>
              <w:top w:val="single" w:color="C9D2E3" w:sz="1"/>
              <w:left w:val="single" w:color="C9D2E3" w:sz="1"/>
              <w:bottom w:val="single" w:color="C9D2E3" w:sz="1"/>
              <w:right w:val="single" w:color="C9D2E3" w:sz="1"/>
            </w:tcBorders>
            <w:shd w:fill="1F2A5A" w:val="clear"/>
            <w:tcMar>
              <w:top w:type="dxa" w:w="60"/>
              <w:left w:type="dxa" w:w="110"/>
              <w:bottom w:type="dxa" w:w="60"/>
              <w:right w:type="dxa" w:w="110"/>
            </w:tcMar>
            <w:vAlign w:val="center"/>
          </w:tcPr>
          <w:p>
            <w:pPr>
              <w:spacing w:after="0" w:line="240"/>
            </w:pPr>
            <w:r>
              <w:rPr>
                <w:b/>
                <w:bCs/>
                <w:i w:val="false"/>
                <w:iCs w:val="false"/>
                <w:color w:val="FFFFFF"/>
                <w:sz w:val="18"/>
                <w:szCs w:val="18"/>
              </w:rPr>
              <w:t xml:space="preserve">Area</w:t>
            </w:r>
          </w:p>
        </w:tc>
        <w:tc>
          <w:tcPr>
            <w:tcW w:type="dxa" w:w="900"/>
            <w:tcBorders>
              <w:top w:val="single" w:color="C9D2E3" w:sz="1"/>
              <w:left w:val="single" w:color="C9D2E3" w:sz="1"/>
              <w:bottom w:val="single" w:color="C9D2E3" w:sz="1"/>
              <w:right w:val="single" w:color="C9D2E3" w:sz="1"/>
            </w:tcBorders>
            <w:shd w:fill="1F2A5A" w:val="clear"/>
            <w:tcMar>
              <w:top w:type="dxa" w:w="60"/>
              <w:left w:type="dxa" w:w="110"/>
              <w:bottom w:type="dxa" w:w="60"/>
              <w:right w:type="dxa" w:w="110"/>
            </w:tcMar>
            <w:vAlign w:val="center"/>
          </w:tcPr>
          <w:p>
            <w:pPr>
              <w:spacing w:after="0" w:line="240"/>
            </w:pPr>
            <w:r>
              <w:rPr>
                <w:b/>
                <w:bCs/>
                <w:i w:val="false"/>
                <w:iCs w:val="false"/>
                <w:color w:val="FFFFFF"/>
                <w:sz w:val="18"/>
                <w:szCs w:val="18"/>
              </w:rPr>
              <w:t xml:space="preserve">Est.</w:t>
            </w:r>
          </w:p>
        </w:tc>
        <w:tc>
          <w:tcPr>
            <w:tcW w:type="dxa" w:w="4160"/>
            <w:tcBorders>
              <w:top w:val="single" w:color="C9D2E3" w:sz="1"/>
              <w:left w:val="single" w:color="C9D2E3" w:sz="1"/>
              <w:bottom w:val="single" w:color="C9D2E3" w:sz="1"/>
              <w:right w:val="single" w:color="C9D2E3" w:sz="1"/>
            </w:tcBorders>
            <w:shd w:fill="1F2A5A" w:val="clear"/>
            <w:tcMar>
              <w:top w:type="dxa" w:w="60"/>
              <w:left w:type="dxa" w:w="110"/>
              <w:bottom w:type="dxa" w:w="60"/>
              <w:right w:type="dxa" w:w="110"/>
            </w:tcMar>
            <w:vAlign w:val="center"/>
          </w:tcPr>
          <w:p>
            <w:pPr>
              <w:spacing w:after="0" w:line="240"/>
            </w:pPr>
            <w:r>
              <w:rPr>
                <w:b/>
                <w:bCs/>
                <w:i w:val="false"/>
                <w:iCs w:val="false"/>
                <w:color w:val="FFFFFF"/>
                <w:sz w:val="18"/>
                <w:szCs w:val="18"/>
              </w:rPr>
              <w:t xml:space="preserve">Evidence</w:t>
            </w:r>
          </w:p>
        </w:tc>
      </w:tr>
      <w:tr>
        <w:tc>
          <w:tcPr>
            <w:tcW w:type="dxa" w:w="43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Institution setup (billing, agreements, eligibility, rules)</w:t>
            </w:r>
          </w:p>
        </w:tc>
        <w:tc>
          <w:tcPr>
            <w:tcW w:type="dxa" w:w="9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color w:val="1B7A46"/>
                <w:sz w:val="19"/>
                <w:szCs w:val="19"/>
              </w:rPr>
              <w:t xml:space="preserve">~90%</w:t>
            </w:r>
          </w:p>
        </w:tc>
        <w:tc>
          <w:tcPr>
            <w:tcW w:type="dxa" w:w="41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Phase 1 UAT readiness doc; UI panels exist</w:t>
            </w:r>
          </w:p>
        </w:tc>
      </w:tr>
      <w:tr>
        <w:tc>
          <w:tcPr>
            <w:tcW w:type="dxa" w:w="43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Student lifecycle (eligibility, hold, transfer, snapshots)</w:t>
            </w:r>
          </w:p>
        </w:tc>
        <w:tc>
          <w:tcPr>
            <w:tcW w:type="dxa" w:w="9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color w:val="1B7A46"/>
                <w:sz w:val="19"/>
                <w:szCs w:val="19"/>
              </w:rPr>
              <w:t xml:space="preserve">~85%</w:t>
            </w:r>
          </w:p>
        </w:tc>
        <w:tc>
          <w:tcPr>
            <w:tcW w:type="dxa" w:w="41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RPCs + CommissionLifecycleDialog; custom trigger not built</w:t>
            </w:r>
          </w:p>
        </w:tc>
      </w:tr>
      <w:tr>
        <w:tc>
          <w:tcPr>
            <w:tcW w:type="dxa" w:w="43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Claims &amp; invoicing</w:t>
            </w:r>
          </w:p>
        </w:tc>
        <w:tc>
          <w:tcPr>
            <w:tcW w:type="dxa" w:w="9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color w:val="1B7A46"/>
                <w:sz w:val="19"/>
                <w:szCs w:val="19"/>
              </w:rPr>
              <w:t xml:space="preserve">~80%</w:t>
            </w:r>
          </w:p>
        </w:tc>
        <w:tc>
          <w:tcPr>
            <w:tcW w:type="dxa" w:w="41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ClaimsPanel: recalc, submit, invoice; manual client link missing</w:t>
            </w:r>
          </w:p>
        </w:tc>
      </w:tr>
      <w:tr>
        <w:tc>
          <w:tcPr>
            <w:tcW w:type="dxa" w:w="43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Receipt posting &amp; allocation (Phase 2A)</w:t>
            </w:r>
          </w:p>
        </w:tc>
        <w:tc>
          <w:tcPr>
            <w:tcW w:type="dxa" w:w="9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color w:val="1B7A46"/>
                <w:sz w:val="19"/>
                <w:szCs w:val="19"/>
              </w:rPr>
              <w:t xml:space="preserve">~85%</w:t>
            </w:r>
          </w:p>
        </w:tc>
        <w:tc>
          <w:tcPr>
            <w:tcW w:type="dxa" w:w="41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Full receipt schema, RPCs, wizard; no accounting bridge</w:t>
            </w:r>
          </w:p>
        </w:tc>
      </w:tr>
      <w:tr>
        <w:tc>
          <w:tcPr>
            <w:tcW w:type="dxa" w:w="43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Aggregator workbench (Phase 2B)</w:t>
            </w:r>
          </w:p>
        </w:tc>
        <w:tc>
          <w:tcPr>
            <w:tcW w:type="dxa" w:w="9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color w:val="9A6A12"/>
                <w:sz w:val="19"/>
                <w:szCs w:val="19"/>
              </w:rPr>
              <w:t xml:space="preserve">~75%</w:t>
            </w:r>
          </w:p>
        </w:tc>
        <w:tc>
          <w:tcPr>
            <w:tcW w:type="dxa" w:w="41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Workbench + RPCs; 2B tables missing from generated types.ts</w:t>
            </w:r>
          </w:p>
        </w:tc>
      </w:tr>
      <w:tr>
        <w:tc>
          <w:tcPr>
            <w:tcW w:type="dxa" w:w="43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Performance Hub finance overlay</w:t>
            </w:r>
          </w:p>
        </w:tc>
        <w:tc>
          <w:tcPr>
            <w:tcW w:type="dxa" w:w="9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color w:val="9A6A12"/>
                <w:sz w:val="19"/>
                <w:szCs w:val="19"/>
              </w:rPr>
              <w:t xml:space="preserve">~60%</w:t>
            </w:r>
          </w:p>
        </w:tc>
        <w:tc>
          <w:tcPr>
            <w:tcW w:type="dxa" w:w="41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Read-only INR ledger; operations stay in /commissions</w:t>
            </w:r>
          </w:p>
        </w:tc>
      </w:tr>
      <w:tr>
        <w:tc>
          <w:tcPr>
            <w:tcW w:type="dxa" w:w="43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CRM auto-integration</w:t>
            </w:r>
          </w:p>
        </w:tc>
        <w:tc>
          <w:tcPr>
            <w:tcW w:type="dxa" w:w="9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color w:val="9A6A12"/>
                <w:sz w:val="19"/>
                <w:szCs w:val="19"/>
              </w:rPr>
              <w:t xml:space="preserve">~5%</w:t>
            </w:r>
          </w:p>
        </w:tc>
        <w:tc>
          <w:tcPr>
            <w:tcW w:type="dxa" w:w="41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clientIntegrationBridge.ts dormant (BRIDGE_ENABLED = false)</w:t>
            </w:r>
          </w:p>
        </w:tc>
      </w:tr>
      <w:tr>
        <w:tc>
          <w:tcPr>
            <w:tcW w:type="dxa" w:w="43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Finance GL posting</w:t>
            </w:r>
          </w:p>
        </w:tc>
        <w:tc>
          <w:tcPr>
            <w:tcW w:type="dxa" w:w="9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color w:val="B23A3A"/>
                <w:sz w:val="19"/>
                <w:szCs w:val="19"/>
              </w:rPr>
              <w:t xml:space="preserve">~0%</w:t>
            </w:r>
          </w:p>
        </w:tc>
        <w:tc>
          <w:tcPr>
            <w:tcW w:type="dxa" w:w="41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accounting_journal_id column exists; no live bridge</w:t>
            </w:r>
          </w:p>
        </w:tc>
      </w:tr>
      <w:tr>
        <w:tc>
          <w:tcPr>
            <w:tcW w:type="dxa" w:w="43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Global admin / reports / pending-claims screens</w:t>
            </w:r>
          </w:p>
        </w:tc>
        <w:tc>
          <w:tcPr>
            <w:tcW w:type="dxa" w:w="9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color w:val="9A6A12"/>
                <w:sz w:val="19"/>
                <w:szCs w:val="19"/>
              </w:rPr>
              <w:t xml:space="preserve">~25%</w:t>
            </w:r>
          </w:p>
        </w:tc>
        <w:tc>
          <w:tcPr>
            <w:tcW w:type="dxa" w:w="41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Global /commissions is summary-only; dedicated screens Not Found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AF0FB" w:sz="1"/>
              <w:left w:val="single" w:color="2E5AAC" w:sz="18"/>
              <w:bottom w:val="single" w:color="EAF0FB" w:sz="1"/>
              <w:right w:val="single" w:color="EAF0FB" w:sz="1"/>
            </w:tcBorders>
            <w:shd w:fill="EAF0FB" w:val="clear"/>
            <w:tcMar>
              <w:top w:type="dxa" w:w="100"/>
              <w:left w:type="dxa" w:w="180"/>
              <w:bottom w:type="dxa" w:w="100"/>
              <w:right w:type="dxa" w:w="140"/>
            </w:tcMar>
          </w:tcPr>
          <w:p>
            <w:pPr>
              <w:spacing w:after="0" w:line="268"/>
            </w:pPr>
            <w:r>
              <w:rPr>
                <w:b/>
                <w:bCs/>
                <w:color w:val="2E5AAC"/>
                <w:sz w:val="19"/>
                <w:szCs w:val="19"/>
              </w:rPr>
              <w:t xml:space="preserve">Bottom line:  </w:t>
            </w:r>
            <w:r>
              <w:rPr>
                <w:sz w:val="20"/>
                <w:szCs w:val="20"/>
              </w:rPr>
              <w:t xml:space="preserve">Conditionally UAT-ready for institution partner commission operations (Phases 1, 2A, 2B). Not yet enterprise-production-ready for full Finance integration, CRM automation, or multi-channel commission types without the additional work documented below.</w:t>
            </w:r>
          </w:p>
        </w:tc>
      </w:tr>
    </w:tbl>
    <w:p>
      <w:pPr>
        <w:pStyle w:val="Heading2"/>
      </w:pPr>
      <w:r>
        <w:t xml:space="preserve">1.2 Production-ready features (observed)</w:t>
      </w:r>
    </w:p>
    <w:p>
      <w:pPr>
        <w:pStyle w:val="ListParagraph"/>
        <w:numPr>
          <w:ilvl w:val="0"/>
          <w:numId w:val="2"/>
        </w:numPr>
        <w:spacing w:after="60" w:line="264"/>
      </w:pPr>
      <w:r>
        <w:rPr>
          <w:b w:val="false"/>
          <w:bCs w:val="false"/>
          <w:i w:val="false"/>
          <w:iCs w:val="false"/>
        </w:rPr>
        <w:t xml:space="preserve">Institution billing profiles (BillingProfilesPanel, upi_billing_profiles).</w:t>
      </w:r>
    </w:p>
    <w:p>
      <w:pPr>
        <w:pStyle w:val="ListParagraph"/>
        <w:numPr>
          <w:ilvl w:val="0"/>
          <w:numId w:val="2"/>
        </w:numPr>
        <w:spacing w:after="60" w:line="264"/>
      </w:pPr>
      <w:r>
        <w:rPr>
          <w:b w:val="false"/>
          <w:bCs w:val="false"/>
          <w:i w:val="false"/>
          <w:iCs w:val="false"/>
        </w:rPr>
        <w:t xml:space="preserve">Agreement CRUD with version effective-dating (AgreementsPanel).</w:t>
      </w:r>
    </w:p>
    <w:p>
      <w:pPr>
        <w:pStyle w:val="ListParagraph"/>
        <w:numPr>
          <w:ilvl w:val="0"/>
          <w:numId w:val="2"/>
        </w:numPr>
        <w:spacing w:after="60" w:line="264"/>
      </w:pPr>
      <w:r>
        <w:rPr>
          <w:b w:val="false"/>
          <w:bCs w:val="false"/>
          <w:i w:val="false"/>
          <w:iCs w:val="false"/>
        </w:rPr>
        <w:t xml:space="preserve">Eligibility config publish workflow (EligibilityConfigPanel, fn_evaluate_eligibility).</w:t>
      </w:r>
    </w:p>
    <w:p>
      <w:pPr>
        <w:pStyle w:val="ListParagraph"/>
        <w:numPr>
          <w:ilvl w:val="0"/>
          <w:numId w:val="2"/>
        </w:numPr>
        <w:spacing w:after="60" w:line="264"/>
      </w:pPr>
      <w:r>
        <w:rPr>
          <w:b w:val="false"/>
          <w:bCs w:val="false"/>
          <w:i w:val="false"/>
          <w:iCs w:val="false"/>
        </w:rPr>
        <w:t xml:space="preserve">Commission rules with publish gate and simulator (CommissionsPanel, fn_publish_commission_rules).</w:t>
      </w:r>
    </w:p>
    <w:p>
      <w:pPr>
        <w:pStyle w:val="ListParagraph"/>
        <w:numPr>
          <w:ilvl w:val="0"/>
          <w:numId w:val="2"/>
        </w:numPr>
        <w:spacing w:after="60" w:line="264"/>
      </w:pPr>
      <w:r>
        <w:rPr>
          <w:b w:val="false"/>
          <w:bCs w:val="false"/>
          <w:i w:val="false"/>
          <w:iCs w:val="false"/>
        </w:rPr>
        <w:t xml:space="preserve">Partnership route → default-commission link (PartnershipRoutesPanel).</w:t>
      </w:r>
    </w:p>
    <w:p>
      <w:pPr>
        <w:pStyle w:val="ListParagraph"/>
        <w:numPr>
          <w:ilvl w:val="0"/>
          <w:numId w:val="2"/>
        </w:numPr>
        <w:spacing w:after="60" w:line="264"/>
      </w:pPr>
      <w:r>
        <w:rPr>
          <w:b w:val="false"/>
          <w:bCs w:val="false"/>
          <w:i w:val="false"/>
          <w:iCs w:val="false"/>
        </w:rPr>
        <w:t xml:space="preserve">Student recalculate, mark-eligible, hold/release, transfer (ClaimsPanel, CommissionLifecycleDialog).</w:t>
      </w:r>
    </w:p>
    <w:p>
      <w:pPr>
        <w:pStyle w:val="ListParagraph"/>
        <w:numPr>
          <w:ilvl w:val="0"/>
          <w:numId w:val="2"/>
        </w:numPr>
        <w:spacing w:after="60" w:line="264"/>
      </w:pPr>
      <w:r>
        <w:rPr>
          <w:b w:val="false"/>
          <w:bCs w:val="false"/>
          <w:i w:val="false"/>
          <w:iCs w:val="false"/>
        </w:rPr>
        <w:t xml:space="preserve">Immutable commission snapshots (DB trigger blocks UPDATE/DELETE).</w:t>
      </w:r>
    </w:p>
    <w:p>
      <w:pPr>
        <w:pStyle w:val="ListParagraph"/>
        <w:numPr>
          <w:ilvl w:val="0"/>
          <w:numId w:val="2"/>
        </w:numPr>
        <w:spacing w:after="60" w:line="264"/>
      </w:pPr>
      <w:r>
        <w:rPr>
          <w:b w:val="false"/>
          <w:bCs w:val="false"/>
          <w:i w:val="false"/>
          <w:iCs w:val="false"/>
        </w:rPr>
        <w:t xml:space="preserve">Claim submit + invoice generation + PDF/CSV export (ClaimsPanel, claimsExport.ts).</w:t>
      </w:r>
    </w:p>
    <w:p>
      <w:pPr>
        <w:pStyle w:val="ListParagraph"/>
        <w:numPr>
          <w:ilvl w:val="0"/>
          <w:numId w:val="2"/>
        </w:numPr>
        <w:spacing w:after="60" w:line="264"/>
      </w:pPr>
      <w:r>
        <w:rPr>
          <w:b w:val="false"/>
          <w:bCs w:val="false"/>
          <w:i w:val="false"/>
          <w:iCs w:val="false"/>
        </w:rPr>
        <w:t xml:space="preserve">Receipt lifecycle draft → ready → posted → void (CommissionReceiptWizard, receipt RPCs).</w:t>
      </w:r>
    </w:p>
    <w:p>
      <w:pPr>
        <w:pStyle w:val="ListParagraph"/>
        <w:numPr>
          <w:ilvl w:val="0"/>
          <w:numId w:val="2"/>
        </w:numPr>
        <w:spacing w:after="60" w:line="264"/>
      </w:pPr>
      <w:r>
        <w:rPr>
          <w:b w:val="false"/>
          <w:bCs w:val="false"/>
          <w:i w:val="false"/>
          <w:iCs w:val="false"/>
        </w:rPr>
        <w:t xml:space="preserve">Aggregator remittance batches + aggregator invoices (AggregatorWorkbenchPage).</w:t>
      </w:r>
    </w:p>
    <w:p>
      <w:pPr>
        <w:pStyle w:val="ListParagraph"/>
        <w:numPr>
          <w:ilvl w:val="0"/>
          <w:numId w:val="2"/>
        </w:numPr>
        <w:spacing w:after="60" w:line="264"/>
      </w:pPr>
      <w:r>
        <w:rPr>
          <w:b w:val="false"/>
          <w:bCs w:val="false"/>
          <w:i w:val="false"/>
          <w:iCs w:val="false"/>
        </w:rPr>
        <w:t xml:space="preserve">Counselor-safe client status view (ClientCommissionStatusPanel, v_client_commission_status).</w:t>
      </w:r>
    </w:p>
    <w:p>
      <w:pPr>
        <w:pStyle w:val="ListParagraph"/>
        <w:numPr>
          <w:ilvl w:val="0"/>
          <w:numId w:val="2"/>
        </w:numPr>
        <w:spacing w:after="60" w:line="264"/>
      </w:pPr>
      <w:r>
        <w:rPr>
          <w:b w:val="false"/>
          <w:bCs w:val="false"/>
          <w:i w:val="false"/>
          <w:iCs w:val="false"/>
        </w:rPr>
        <w:t xml:space="preserve">Performance Hub commission ledger with INR consolidation (PerformanceCommissions).</w:t>
      </w:r>
    </w:p>
    <w:p>
      <w:pPr>
        <w:pStyle w:val="Heading2"/>
      </w:pPr>
      <w:r>
        <w:t xml:space="preserve">1.3 Partially implemented features</w:t>
      </w:r>
    </w:p>
    <w:p>
      <w:pPr>
        <w:pStyle w:val="ListParagraph"/>
        <w:numPr>
          <w:ilvl w:val="0"/>
          <w:numId w:val="2"/>
        </w:numPr>
        <w:spacing w:after="60" w:line="264"/>
      </w:pPr>
      <w:r>
        <w:rPr>
          <w:b w:val="false"/>
          <w:bCs w:val="false"/>
          <w:i w:val="false"/>
          <w:iCs w:val="false"/>
        </w:rPr>
        <w:t xml:space="preserve">Client ↔ commission-student linking (manual client_id only; UI button disabled — “Coming soon”).</w:t>
      </w:r>
    </w:p>
    <w:p>
      <w:pPr>
        <w:pStyle w:val="ListParagraph"/>
        <w:numPr>
          <w:ilvl w:val="0"/>
          <w:numId w:val="2"/>
        </w:numPr>
        <w:spacing w:after="60" w:line="264"/>
      </w:pPr>
      <w:r>
        <w:rPr>
          <w:b w:val="false"/>
          <w:bCs w:val="false"/>
          <w:i w:val="false"/>
          <w:iCs w:val="false"/>
        </w:rPr>
        <w:t xml:space="preserve">Custom eligibility trigger (returns custom_not_implemented in both TypeScript and SQL).</w:t>
      </w:r>
    </w:p>
    <w:p>
      <w:pPr>
        <w:pStyle w:val="ListParagraph"/>
        <w:numPr>
          <w:ilvl w:val="0"/>
          <w:numId w:val="2"/>
        </w:numPr>
        <w:spacing w:after="60" w:line="264"/>
      </w:pPr>
      <w:r>
        <w:rPr>
          <w:b w:val="false"/>
          <w:bCs w:val="false"/>
          <w:i w:val="false"/>
          <w:iCs w:val="false"/>
        </w:rPr>
        <w:t xml:space="preserve">FX review on receipts (implemented in RPCs; exercised only in multi-currency allocation scenarios).</w:t>
      </w:r>
    </w:p>
    <w:p>
      <w:pPr>
        <w:pStyle w:val="ListParagraph"/>
        <w:numPr>
          <w:ilvl w:val="0"/>
          <w:numId w:val="2"/>
        </w:numPr>
        <w:spacing w:after="60" w:line="264"/>
      </w:pPr>
      <w:r>
        <w:rPr>
          <w:b w:val="false"/>
          <w:bCs w:val="false"/>
          <w:i w:val="false"/>
          <w:iCs w:val="false"/>
        </w:rPr>
        <w:t xml:space="preserve">Aggregator statement upload (RPC works; UI label reads “placeholder upload”).</w:t>
      </w:r>
    </w:p>
    <w:p>
      <w:pPr>
        <w:pStyle w:val="ListParagraph"/>
        <w:numPr>
          <w:ilvl w:val="0"/>
          <w:numId w:val="2"/>
        </w:numPr>
        <w:spacing w:after="60" w:line="264"/>
      </w:pPr>
      <w:r>
        <w:rPr>
          <w:b w:val="false"/>
          <w:bCs w:val="false"/>
          <w:i w:val="false"/>
          <w:iCs w:val="false"/>
        </w:rPr>
        <w:t xml:space="preserve">Invoice numbering (FLC-YYYY-AUTO-* placeholder per UAT doc).</w:t>
      </w:r>
    </w:p>
    <w:p>
      <w:pPr>
        <w:pStyle w:val="ListParagraph"/>
        <w:numPr>
          <w:ilvl w:val="0"/>
          <w:numId w:val="2"/>
        </w:numPr>
        <w:spacing w:after="60" w:line="264"/>
      </w:pPr>
      <w:r>
        <w:rPr>
          <w:b w:val="false"/>
          <w:bCs w:val="false"/>
          <w:i w:val="false"/>
          <w:iCs w:val="false"/>
        </w:rPr>
        <w:t xml:space="preserve">Phase 2B type safety (aggregator tables accessed via `as any` casts).</w:t>
      </w:r>
    </w:p>
    <w:p>
      <w:pPr>
        <w:pStyle w:val="ListParagraph"/>
        <w:numPr>
          <w:ilvl w:val="0"/>
          <w:numId w:val="2"/>
        </w:numPr>
        <w:spacing w:after="60" w:line="264"/>
      </w:pPr>
      <w:r>
        <w:rPr>
          <w:b w:val="false"/>
          <w:bCs w:val="false"/>
          <w:i w:val="false"/>
          <w:iCs w:val="false"/>
        </w:rPr>
        <w:t xml:space="preserve">Clawback columns exist on upi_commission_students; clawback logic is Not Found in application code.</w:t>
      </w:r>
    </w:p>
    <w:p>
      <w:pPr>
        <w:pStyle w:val="Heading2"/>
      </w:pPr>
      <w:r>
        <w:t xml:space="preserve">1.4 Placeholder / stub features</w:t>
      </w:r>
    </w:p>
    <w:p>
      <w:pPr>
        <w:pStyle w:val="ListParagraph"/>
        <w:numPr>
          <w:ilvl w:val="0"/>
          <w:numId w:val="2"/>
        </w:numPr>
        <w:spacing w:after="60" w:line="264"/>
      </w:pPr>
      <w:r>
        <w:rPr>
          <w:b w:val="false"/>
          <w:bCs w:val="false"/>
          <w:i w:val="false"/>
          <w:iCs w:val="false"/>
        </w:rPr>
        <w:t xml:space="preserve">CRM event bridge (src/institutions/planned/clientIntegrationBridge.ts — all handlers are TODO stubs).</w:t>
      </w:r>
    </w:p>
    <w:p>
      <w:pPr>
        <w:pStyle w:val="ListParagraph"/>
        <w:numPr>
          <w:ilvl w:val="0"/>
          <w:numId w:val="2"/>
        </w:numPr>
        <w:spacing w:after="60" w:line="264"/>
      </w:pPr>
      <w:r>
        <w:rPr>
          <w:b w:val="false"/>
          <w:bCs w:val="false"/>
          <w:i w:val="false"/>
          <w:iCs w:val="false"/>
        </w:rPr>
        <w:t xml:space="preserve">Institution Claim Eligibility Rules (backlog doc only — distinct from Phase 1 eligibility config).</w:t>
      </w:r>
    </w:p>
    <w:p>
      <w:pPr>
        <w:pStyle w:val="ListParagraph"/>
        <w:numPr>
          <w:ilvl w:val="0"/>
          <w:numId w:val="2"/>
        </w:numPr>
        <w:spacing w:after="60" w:line="264"/>
      </w:pPr>
      <w:r>
        <w:rPr>
          <w:b w:val="false"/>
          <w:bCs w:val="false"/>
          <w:i w:val="false"/>
          <w:iCs w:val="false"/>
        </w:rPr>
        <w:t xml:space="preserve">Accounting bridge (explicitly out of Phase 1/2A scope in UAT docs).</w:t>
      </w:r>
    </w:p>
    <w:p>
      <w:pPr>
        <w:pStyle w:val="ListParagraph"/>
        <w:numPr>
          <w:ilvl w:val="0"/>
          <w:numId w:val="2"/>
        </w:numPr>
        <w:spacing w:after="60" w:line="264"/>
      </w:pPr>
      <w:r>
        <w:rPr>
          <w:b w:val="false"/>
          <w:bCs w:val="false"/>
          <w:i w:val="false"/>
          <w:iCs w:val="false"/>
        </w:rPr>
        <w:t xml:space="preserve">Bonus engine (bonuses modeled as commission rules, not a separate engine).</w:t>
      </w:r>
    </w:p>
    <w:p>
      <w:pPr>
        <w:pStyle w:val="ListParagraph"/>
        <w:numPr>
          <w:ilvl w:val="0"/>
          <w:numId w:val="2"/>
        </w:numPr>
        <w:spacing w:after="60" w:line="264"/>
      </w:pPr>
      <w:r>
        <w:rPr>
          <w:b w:val="false"/>
          <w:bCs w:val="false"/>
          <w:i w:val="false"/>
          <w:iCs w:val="false"/>
        </w:rPr>
        <w:t xml:space="preserve">Forecast engine and credit notes (documented out of scope).</w:t>
      </w:r>
    </w:p>
    <w:p>
      <w:pPr>
        <w:pStyle w:val="Heading2"/>
      </w:pPr>
      <w:r>
        <w:t xml:space="preserve">1.5 Major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9D2E3" w:sz="1"/>
              <w:left w:val="single" w:color="C9D2E3" w:sz="1"/>
              <w:bottom w:val="single" w:color="C9D2E3" w:sz="1"/>
              <w:right w:val="single" w:color="C9D2E3" w:sz="1"/>
            </w:tcBorders>
            <w:shd w:fill="1F2A5A" w:val="clear"/>
            <w:tcMar>
              <w:top w:type="dxa" w:w="60"/>
              <w:left w:type="dxa" w:w="110"/>
              <w:bottom w:type="dxa" w:w="60"/>
              <w:right w:type="dxa" w:w="110"/>
            </w:tcMar>
            <w:vAlign w:val="center"/>
          </w:tcPr>
          <w:p>
            <w:pPr>
              <w:spacing w:after="0" w:line="240"/>
            </w:pPr>
            <w:r>
              <w:rPr>
                <w:b/>
                <w:bCs/>
                <w:i w:val="false"/>
                <w:iCs w:val="false"/>
                <w:color w:val="FFFFFF"/>
                <w:sz w:val="18"/>
                <w:szCs w:val="18"/>
              </w:rPr>
              <w:t xml:space="preserve">Dependency</w:t>
            </w:r>
          </w:p>
        </w:tc>
        <w:tc>
          <w:tcPr>
            <w:tcW w:type="dxa" w:w="6360"/>
            <w:tcBorders>
              <w:top w:val="single" w:color="C9D2E3" w:sz="1"/>
              <w:left w:val="single" w:color="C9D2E3" w:sz="1"/>
              <w:bottom w:val="single" w:color="C9D2E3" w:sz="1"/>
              <w:right w:val="single" w:color="C9D2E3" w:sz="1"/>
            </w:tcBorders>
            <w:shd w:fill="1F2A5A" w:val="clear"/>
            <w:tcMar>
              <w:top w:type="dxa" w:w="60"/>
              <w:left w:type="dxa" w:w="110"/>
              <w:bottom w:type="dxa" w:w="60"/>
              <w:right w:type="dxa" w:w="110"/>
            </w:tcMar>
            <w:vAlign w:val="center"/>
          </w:tcPr>
          <w:p>
            <w:pPr>
              <w:spacing w:after="0" w:line="240"/>
            </w:pPr>
            <w:r>
              <w:rPr>
                <w:b/>
                <w:bCs/>
                <w:i w:val="false"/>
                <w:iCs w:val="false"/>
                <w:color w:val="FFFFFF"/>
                <w:sz w:val="18"/>
                <w:szCs w:val="18"/>
              </w:rPr>
              <w:t xml:space="preserve">Role</w:t>
            </w:r>
          </w:p>
        </w:tc>
      </w:tr>
      <w:tr>
        <w:tc>
          <w:tcPr>
            <w:tcW w:type="dxa" w:w="30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Supabase</w:t>
            </w:r>
          </w:p>
        </w:tc>
        <w:tc>
          <w:tcPr>
            <w:tcW w:type="dxa" w:w="63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All persistence, RPCs, RLS, storage</w:t>
            </w:r>
          </w:p>
        </w:tc>
      </w:tr>
      <w:tr>
        <w:tc>
          <w:tcPr>
            <w:tcW w:type="dxa" w:w="30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Institution module</w:t>
            </w:r>
          </w:p>
        </w:tc>
        <w:tc>
          <w:tcPr>
            <w:tcW w:type="dxa" w:w="63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Host UI, partnership routes, aggregators, documents</w:t>
            </w:r>
          </w:p>
        </w:tc>
      </w:tr>
      <w:tr>
        <w:tc>
          <w:tcPr>
            <w:tcW w:type="dxa" w:w="30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Auth / RBAC</w:t>
            </w:r>
          </w:p>
        </w:tc>
        <w:tc>
          <w:tcPr>
            <w:tcW w:type="dxa" w:w="63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isCommissionAdmin, isAccountingMember, useModulePermission(“commissions”), can_view_upi_confidential</w:t>
            </w:r>
          </w:p>
        </w:tc>
      </w:tr>
      <w:tr>
        <w:tc>
          <w:tcPr>
            <w:tcW w:type="dxa" w:w="30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Performance Hub</w:t>
            </w:r>
          </w:p>
        </w:tc>
        <w:tc>
          <w:tcPr>
            <w:tcW w:type="dxa" w:w="63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Read-only overlay; FX rates from fx_rates</w:t>
            </w:r>
          </w:p>
        </w:tc>
      </w:tr>
      <w:tr>
        <w:tc>
          <w:tcPr>
            <w:tcW w:type="dxa" w:w="30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Commercial Agreement Engine (CAE)</w:t>
            </w:r>
          </w:p>
        </w:tc>
        <w:tc>
          <w:tcPr>
            <w:tcW w:type="dxa" w:w="63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upi_agreements templates, settlement eligibility</w:t>
            </w:r>
          </w:p>
        </w:tc>
      </w:tr>
      <w:tr>
        <w:tc>
          <w:tcPr>
            <w:tcW w:type="dxa" w:w="30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AI Edge Functions</w:t>
            </w:r>
          </w:p>
        </w:tc>
        <w:tc>
          <w:tcPr>
            <w:tcW w:type="dxa" w:w="63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upi-extract-commission-sheet, upi-analyze-agreement</w:t>
            </w:r>
          </w:p>
        </w:tc>
      </w:tr>
    </w:tbl>
    <w:p>
      <w:pPr>
        <w:pStyle w:val="Heading2"/>
      </w:pPr>
      <w:r>
        <w:t xml:space="preserve">1.6 Known limitations</w:t>
      </w:r>
    </w:p>
    <w:p>
      <w:pPr>
        <w:pStyle w:val="ListParagraph"/>
        <w:numPr>
          <w:ilvl w:val="0"/>
          <w:numId w:val="2"/>
        </w:numPr>
        <w:spacing w:after="60" w:line="264"/>
      </w:pPr>
      <w:r>
        <w:rPr>
          <w:b w:val="false"/>
          <w:bCs w:val="false"/>
          <w:i w:val="false"/>
          <w:iCs w:val="false"/>
        </w:rPr>
        <w:t xml:space="preserve">No REST/OpenAPI layer — Supabase client + RPCs only.</w:t>
      </w:r>
    </w:p>
    <w:p>
      <w:pPr>
        <w:pStyle w:val="ListParagraph"/>
        <w:numPr>
          <w:ilvl w:val="0"/>
          <w:numId w:val="2"/>
        </w:numPr>
        <w:spacing w:after="60" w:line="264"/>
      </w:pPr>
      <w:r>
        <w:rPr>
          <w:b w:val="false"/>
          <w:bCs w:val="false"/>
          <w:i w:val="false"/>
          <w:iCs w:val="false"/>
        </w:rPr>
        <w:t xml:space="preserve">No commission-specific background jobs or queue workers (Not Found).</w:t>
      </w:r>
    </w:p>
    <w:p>
      <w:pPr>
        <w:pStyle w:val="ListParagraph"/>
        <w:numPr>
          <w:ilvl w:val="0"/>
          <w:numId w:val="2"/>
        </w:numPr>
        <w:spacing w:after="60" w:line="264"/>
      </w:pPr>
      <w:r>
        <w:rPr>
          <w:b w:val="false"/>
          <w:bCs w:val="false"/>
          <w:i w:val="false"/>
          <w:iCs w:val="false"/>
        </w:rPr>
        <w:t xml:space="preserve">No materialized views (Not Found).</w:t>
      </w:r>
    </w:p>
    <w:p>
      <w:pPr>
        <w:pStyle w:val="ListParagraph"/>
        <w:numPr>
          <w:ilvl w:val="0"/>
          <w:numId w:val="2"/>
        </w:numPr>
        <w:spacing w:after="60" w:line="264"/>
      </w:pPr>
      <w:r>
        <w:rPr>
          <w:b w:val="false"/>
          <w:bCs w:val="false"/>
          <w:i w:val="false"/>
          <w:iCs w:val="false"/>
        </w:rPr>
        <w:t xml:space="preserve">Finance posting does not create accounting journals on receipt post.</w:t>
      </w:r>
    </w:p>
    <w:p>
      <w:pPr>
        <w:pStyle w:val="ListParagraph"/>
        <w:numPr>
          <w:ilvl w:val="0"/>
          <w:numId w:val="2"/>
        </w:numPr>
        <w:spacing w:after="60" w:line="264"/>
      </w:pPr>
      <w:r>
        <w:rPr>
          <w:b w:val="false"/>
          <w:bCs w:val="false"/>
          <w:i w:val="false"/>
          <w:iCs w:val="false"/>
        </w:rPr>
        <w:t xml:space="preserve">Student rows are not auto-created from CRM/admission events.</w:t>
      </w:r>
    </w:p>
    <w:p>
      <w:pPr>
        <w:pStyle w:val="ListParagraph"/>
        <w:numPr>
          <w:ilvl w:val="0"/>
          <w:numId w:val="2"/>
        </w:numPr>
        <w:spacing w:after="60" w:line="264"/>
      </w:pPr>
      <w:r>
        <w:rPr>
          <w:b w:val="false"/>
          <w:bCs w:val="false"/>
          <w:i w:val="false"/>
          <w:iCs w:val="false"/>
        </w:rPr>
        <w:t xml:space="preserve">Global dashboard lacks drill-down navigation into institution workflows.</w:t>
      </w:r>
    </w:p>
    <w:p>
      <w:pPr>
        <w:pStyle w:val="ListParagraph"/>
        <w:numPr>
          <w:ilvl w:val="0"/>
          <w:numId w:val="2"/>
        </w:numPr>
        <w:spacing w:after="60" w:line="264"/>
      </w:pPr>
      <w:r>
        <w:rPr>
          <w:b w:val="false"/>
          <w:bCs w:val="false"/>
          <w:i w:val="false"/>
          <w:iCs w:val="false"/>
        </w:rPr>
        <w:t xml:space="preserve">Separate Commission Administration and Reports routes are Not Found.</w:t>
      </w:r>
    </w:p>
    <w:p>
      <w:r>
        <w:br w:type="page"/>
      </w:r>
    </w:p>
    <w:p>
      <w:pPr>
        <w:pStyle w:val="Heading1"/>
      </w:pPr>
      <w:r>
        <w:t xml:space="preserve">2. Database Architecture</w:t>
      </w:r>
    </w:p>
    <w:p>
      <w:pPr>
        <w:spacing w:after="140" w:before="0" w:line="276"/>
      </w:pPr>
      <w:r>
        <w:rPr>
          <w:b w:val="false"/>
          <w:bCs w:val="false"/>
          <w:i w:val="false"/>
          <w:iCs w:val="false"/>
        </w:rPr>
        <w:t xml:space="preserve">The commission schema is delivered across sequential Supabase migrations (</w:t>
      </w:r>
      <w:r>
        <w:rPr>
          <w:rFonts w:ascii="Consolas" w:cs="Consolas" w:eastAsia="Consolas" w:hAnsi="Consolas"/>
          <w:b w:val="false"/>
          <w:bCs w:val="false"/>
          <w:i w:val="false"/>
          <w:iCs w:val="false"/>
          <w:sz w:val="20"/>
          <w:szCs w:val="20"/>
        </w:rPr>
        <w:t xml:space="preserve">20260723120000</w:t>
      </w:r>
      <w:r>
        <w:rPr>
          <w:b w:val="false"/>
          <w:bCs w:val="false"/>
          <w:i w:val="false"/>
          <w:iCs w:val="false"/>
        </w:rPr>
        <w:t xml:space="preserve"> through </w:t>
      </w:r>
      <w:r>
        <w:rPr>
          <w:rFonts w:ascii="Consolas" w:cs="Consolas" w:eastAsia="Consolas" w:hAnsi="Consolas"/>
          <w:b w:val="false"/>
          <w:bCs w:val="false"/>
          <w:i w:val="false"/>
          <w:iCs w:val="false"/>
          <w:sz w:val="20"/>
          <w:szCs w:val="20"/>
        </w:rPr>
        <w:t xml:space="preserve">20260815120500</w:t>
      </w:r>
      <w:r>
        <w:rPr>
          <w:b w:val="false"/>
          <w:bCs w:val="false"/>
          <w:i w:val="false"/>
          <w:iCs w:val="false"/>
        </w:rPr>
        <w:t xml:space="preserve">), with earlier UPI institution migrations providing host tables. The concatenated DDL is available in docs/database/COMMISSION_SCHEMA.sql. All commission entities are prefixed upi_commission* or scoped under the upi_ namespace.</w:t>
      </w:r>
    </w:p>
    <w:p>
      <w:pPr>
        <w:pStyle w:val="Heading2"/>
      </w:pPr>
      <w:r>
        <w:t xml:space="preserve">2.1 Core setup &amp; master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1360"/>
        <w:gridCol w:w="4100"/>
      </w:tblGrid>
      <w:tr>
        <w:trPr>
          <w:tblHeader/>
        </w:trPr>
        <w:tc>
          <w:tcPr>
            <w:tcW w:type="dxa" w:w="3900"/>
            <w:tcBorders>
              <w:top w:val="single" w:color="C9D2E3" w:sz="1"/>
              <w:left w:val="single" w:color="C9D2E3" w:sz="1"/>
              <w:bottom w:val="single" w:color="C9D2E3" w:sz="1"/>
              <w:right w:val="single" w:color="C9D2E3" w:sz="1"/>
            </w:tcBorders>
            <w:shd w:fill="1F2A5A" w:val="clear"/>
            <w:tcMar>
              <w:top w:type="dxa" w:w="60"/>
              <w:left w:type="dxa" w:w="110"/>
              <w:bottom w:type="dxa" w:w="60"/>
              <w:right w:type="dxa" w:w="110"/>
            </w:tcMar>
            <w:vAlign w:val="center"/>
          </w:tcPr>
          <w:p>
            <w:pPr>
              <w:spacing w:after="0" w:line="240"/>
            </w:pPr>
            <w:r>
              <w:rPr>
                <w:b/>
                <w:bCs/>
                <w:i w:val="false"/>
                <w:iCs w:val="false"/>
                <w:color w:val="FFFFFF"/>
                <w:sz w:val="18"/>
                <w:szCs w:val="18"/>
              </w:rPr>
              <w:t xml:space="preserve">Table</w:t>
            </w:r>
          </w:p>
        </w:tc>
        <w:tc>
          <w:tcPr>
            <w:tcW w:type="dxa" w:w="1360"/>
            <w:tcBorders>
              <w:top w:val="single" w:color="C9D2E3" w:sz="1"/>
              <w:left w:val="single" w:color="C9D2E3" w:sz="1"/>
              <w:bottom w:val="single" w:color="C9D2E3" w:sz="1"/>
              <w:right w:val="single" w:color="C9D2E3" w:sz="1"/>
            </w:tcBorders>
            <w:shd w:fill="1F2A5A" w:val="clear"/>
            <w:tcMar>
              <w:top w:type="dxa" w:w="60"/>
              <w:left w:type="dxa" w:w="110"/>
              <w:bottom w:type="dxa" w:w="60"/>
              <w:right w:type="dxa" w:w="110"/>
            </w:tcMar>
            <w:vAlign w:val="center"/>
          </w:tcPr>
          <w:p>
            <w:pPr>
              <w:spacing w:after="0" w:line="240"/>
            </w:pPr>
            <w:r>
              <w:rPr>
                <w:b/>
                <w:bCs/>
                <w:i w:val="false"/>
                <w:iCs w:val="false"/>
                <w:color w:val="FFFFFF"/>
                <w:sz w:val="18"/>
                <w:szCs w:val="18"/>
              </w:rPr>
              <w:t xml:space="preserve">PK</w:t>
            </w:r>
          </w:p>
        </w:tc>
        <w:tc>
          <w:tcPr>
            <w:tcW w:type="dxa" w:w="4100"/>
            <w:tcBorders>
              <w:top w:val="single" w:color="C9D2E3" w:sz="1"/>
              <w:left w:val="single" w:color="C9D2E3" w:sz="1"/>
              <w:bottom w:val="single" w:color="C9D2E3" w:sz="1"/>
              <w:right w:val="single" w:color="C9D2E3" w:sz="1"/>
            </w:tcBorders>
            <w:shd w:fill="1F2A5A" w:val="clear"/>
            <w:tcMar>
              <w:top w:type="dxa" w:w="60"/>
              <w:left w:type="dxa" w:w="110"/>
              <w:bottom w:type="dxa" w:w="60"/>
              <w:right w:type="dxa" w:w="110"/>
            </w:tcMar>
            <w:vAlign w:val="center"/>
          </w:tcPr>
          <w:p>
            <w:pPr>
              <w:spacing w:after="0" w:line="240"/>
            </w:pPr>
            <w:r>
              <w:rPr>
                <w:b/>
                <w:bCs/>
                <w:i w:val="false"/>
                <w:iCs w:val="false"/>
                <w:color w:val="FFFFFF"/>
                <w:sz w:val="18"/>
                <w:szCs w:val="18"/>
              </w:rPr>
              <w:t xml:space="preserve">Purpose</w:t>
            </w:r>
          </w:p>
        </w:tc>
      </w:tr>
      <w:tr>
        <w:tc>
          <w:tcPr>
            <w:tcW w:type="dxa" w:w="39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upi_agreements</w:t>
            </w:r>
          </w:p>
        </w:tc>
        <w:tc>
          <w:tcPr>
            <w:tcW w:type="dxa" w:w="13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rFonts w:ascii="Consolas" w:cs="Consolas" w:eastAsia="Consolas" w:hAnsi="Consolas"/>
                <w:b w:val="false"/>
                <w:bCs w:val="false"/>
                <w:i w:val="false"/>
                <w:iCs w:val="false"/>
                <w:sz w:val="18"/>
                <w:szCs w:val="18"/>
              </w:rPr>
              <w:t xml:space="preserve">id uuid</w:t>
            </w:r>
          </w:p>
        </w:tc>
        <w:tc>
          <w:tcPr>
            <w:tcW w:type="dxa" w:w="41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Institution commercial agreements</w:t>
            </w:r>
          </w:p>
        </w:tc>
      </w:tr>
      <w:tr>
        <w:tc>
          <w:tcPr>
            <w:tcW w:type="dxa" w:w="39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upi_agreement_versions</w:t>
            </w:r>
          </w:p>
        </w:tc>
        <w:tc>
          <w:tcPr>
            <w:tcW w:type="dxa" w:w="13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rFonts w:ascii="Consolas" w:cs="Consolas" w:eastAsia="Consolas" w:hAnsi="Consolas"/>
                <w:b w:val="false"/>
                <w:bCs w:val="false"/>
                <w:i w:val="false"/>
                <w:iCs w:val="false"/>
                <w:sz w:val="18"/>
                <w:szCs w:val="18"/>
              </w:rPr>
              <w:t xml:space="preserve">id uuid</w:t>
            </w:r>
          </w:p>
        </w:tc>
        <w:tc>
          <w:tcPr>
            <w:tcW w:type="dxa" w:w="41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Versioned agreement files/terms</w:t>
            </w:r>
          </w:p>
        </w:tc>
      </w:tr>
      <w:tr>
        <w:tc>
          <w:tcPr>
            <w:tcW w:type="dxa" w:w="39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upi_billing_profiles</w:t>
            </w:r>
          </w:p>
        </w:tc>
        <w:tc>
          <w:tcPr>
            <w:tcW w:type="dxa" w:w="13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rFonts w:ascii="Consolas" w:cs="Consolas" w:eastAsia="Consolas" w:hAnsi="Consolas"/>
                <w:b w:val="false"/>
                <w:bCs w:val="false"/>
                <w:i w:val="false"/>
                <w:iCs w:val="false"/>
                <w:sz w:val="18"/>
                <w:szCs w:val="18"/>
              </w:rPr>
              <w:t xml:space="preserve">id uuid</w:t>
            </w:r>
          </w:p>
        </w:tc>
        <w:tc>
          <w:tcPr>
            <w:tcW w:type="dxa" w:w="41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Billing entities (institution or aggregator-scoped)</w:t>
            </w:r>
          </w:p>
        </w:tc>
      </w:tr>
      <w:tr>
        <w:tc>
          <w:tcPr>
            <w:tcW w:type="dxa" w:w="39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upi_commissions</w:t>
            </w:r>
          </w:p>
        </w:tc>
        <w:tc>
          <w:tcPr>
            <w:tcW w:type="dxa" w:w="13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rFonts w:ascii="Consolas" w:cs="Consolas" w:eastAsia="Consolas" w:hAnsi="Consolas"/>
                <w:b w:val="false"/>
                <w:bCs w:val="false"/>
                <w:i w:val="false"/>
                <w:iCs w:val="false"/>
                <w:sz w:val="18"/>
                <w:szCs w:val="18"/>
              </w:rPr>
              <w:t xml:space="preserve">id uuid</w:t>
            </w:r>
          </w:p>
        </w:tc>
        <w:tc>
          <w:tcPr>
            <w:tcW w:type="dxa" w:w="41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Commission plan definitions (no separate plan table)</w:t>
            </w:r>
          </w:p>
        </w:tc>
      </w:tr>
      <w:tr>
        <w:tc>
          <w:tcPr>
            <w:tcW w:type="dxa" w:w="39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upi_commission_rules</w:t>
            </w:r>
          </w:p>
        </w:tc>
        <w:tc>
          <w:tcPr>
            <w:tcW w:type="dxa" w:w="13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rFonts w:ascii="Consolas" w:cs="Consolas" w:eastAsia="Consolas" w:hAnsi="Consolas"/>
                <w:b w:val="false"/>
                <w:bCs w:val="false"/>
                <w:i w:val="false"/>
                <w:iCs w:val="false"/>
                <w:sz w:val="18"/>
                <w:szCs w:val="18"/>
              </w:rPr>
              <w:t xml:space="preserve">id uuid</w:t>
            </w:r>
          </w:p>
        </w:tc>
        <w:tc>
          <w:tcPr>
            <w:tcW w:type="dxa" w:w="41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Scoped payout rules (slabs, bonuses, conditions)</w:t>
            </w:r>
          </w:p>
        </w:tc>
      </w:tr>
      <w:tr>
        <w:tc>
          <w:tcPr>
            <w:tcW w:type="dxa" w:w="39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upi_commission_eligibility_configs</w:t>
            </w:r>
          </w:p>
        </w:tc>
        <w:tc>
          <w:tcPr>
            <w:tcW w:type="dxa" w:w="13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rFonts w:ascii="Consolas" w:cs="Consolas" w:eastAsia="Consolas" w:hAnsi="Consolas"/>
                <w:b w:val="false"/>
                <w:bCs w:val="false"/>
                <w:i w:val="false"/>
                <w:iCs w:val="false"/>
                <w:sz w:val="18"/>
                <w:szCs w:val="18"/>
              </w:rPr>
              <w:t xml:space="preserve">id uuid</w:t>
            </w:r>
          </w:p>
        </w:tc>
        <w:tc>
          <w:tcPr>
            <w:tcW w:type="dxa" w:w="41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Published student eligibility triggers</w:t>
            </w:r>
          </w:p>
        </w:tc>
      </w:tr>
      <w:tr>
        <w:tc>
          <w:tcPr>
            <w:tcW w:type="dxa" w:w="39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upi_commission_hold_reasons</w:t>
            </w:r>
          </w:p>
        </w:tc>
        <w:tc>
          <w:tcPr>
            <w:tcW w:type="dxa" w:w="13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rFonts w:ascii="Consolas" w:cs="Consolas" w:eastAsia="Consolas" w:hAnsi="Consolas"/>
                <w:b w:val="false"/>
                <w:bCs w:val="false"/>
                <w:i w:val="false"/>
                <w:iCs w:val="false"/>
                <w:sz w:val="18"/>
                <w:szCs w:val="18"/>
              </w:rPr>
              <w:t xml:space="preserve">code text</w:t>
            </w:r>
          </w:p>
        </w:tc>
        <w:tc>
          <w:tcPr>
            <w:tcW w:type="dxa" w:w="41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11 hold/deferral reason codes</w:t>
            </w:r>
          </w:p>
        </w:tc>
      </w:tr>
      <w:tr>
        <w:tc>
          <w:tcPr>
            <w:tcW w:type="dxa" w:w="39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upi_commission_periods</w:t>
            </w:r>
          </w:p>
        </w:tc>
        <w:tc>
          <w:tcPr>
            <w:tcW w:type="dxa" w:w="13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rFonts w:ascii="Consolas" w:cs="Consolas" w:eastAsia="Consolas" w:hAnsi="Consolas"/>
                <w:b w:val="false"/>
                <w:bCs w:val="false"/>
                <w:i w:val="false"/>
                <w:iCs w:val="false"/>
                <w:sz w:val="18"/>
                <w:szCs w:val="18"/>
              </w:rPr>
              <w:t xml:space="preserve">code text</w:t>
            </w:r>
          </w:p>
        </w:tc>
        <w:tc>
          <w:tcPr>
            <w:tcW w:type="dxa" w:w="41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Commission period master (application → year_1)</w:t>
            </w:r>
          </w:p>
        </w:tc>
      </w:tr>
      <w:tr>
        <w:tc>
          <w:tcPr>
            <w:tcW w:type="dxa" w:w="39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upi_partnership_routes</w:t>
            </w:r>
          </w:p>
        </w:tc>
        <w:tc>
          <w:tcPr>
            <w:tcW w:type="dxa" w:w="13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rFonts w:ascii="Consolas" w:cs="Consolas" w:eastAsia="Consolas" w:hAnsi="Consolas"/>
                <w:b w:val="false"/>
                <w:bCs w:val="false"/>
                <w:i w:val="false"/>
                <w:iCs w:val="false"/>
                <w:sz w:val="18"/>
                <w:szCs w:val="18"/>
              </w:rPr>
              <w:t xml:space="preserve">id uuid</w:t>
            </w:r>
          </w:p>
        </w:tc>
        <w:tc>
          <w:tcPr>
            <w:tcW w:type="dxa" w:w="41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Routes with default_commission_id FK</w:t>
            </w:r>
          </w:p>
        </w:tc>
      </w:tr>
      <w:tr>
        <w:tc>
          <w:tcPr>
            <w:tcW w:type="dxa" w:w="39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upi_aggregators</w:t>
            </w:r>
          </w:p>
        </w:tc>
        <w:tc>
          <w:tcPr>
            <w:tcW w:type="dxa" w:w="13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rFonts w:ascii="Consolas" w:cs="Consolas" w:eastAsia="Consolas" w:hAnsi="Consolas"/>
                <w:b w:val="false"/>
                <w:bCs w:val="false"/>
                <w:i w:val="false"/>
                <w:iCs w:val="false"/>
                <w:sz w:val="18"/>
                <w:szCs w:val="18"/>
              </w:rPr>
              <w:t xml:space="preserve">id uuid</w:t>
            </w:r>
          </w:p>
        </w:tc>
        <w:tc>
          <w:tcPr>
            <w:tcW w:type="dxa" w:w="41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Aggregator partners (Phase 2B)</w:t>
            </w:r>
          </w:p>
        </w:tc>
      </w:tr>
    </w:tbl>
    <w:p>
      <w:pPr>
        <w:pStyle w:val="Heading2"/>
      </w:pPr>
      <w:r>
        <w:t xml:space="preserve">2.2 Operational / transactional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1260"/>
        <w:gridCol w:w="3800"/>
      </w:tblGrid>
      <w:tr>
        <w:trPr>
          <w:tblHeader/>
        </w:trPr>
        <w:tc>
          <w:tcPr>
            <w:tcW w:type="dxa" w:w="4300"/>
            <w:tcBorders>
              <w:top w:val="single" w:color="C9D2E3" w:sz="1"/>
              <w:left w:val="single" w:color="C9D2E3" w:sz="1"/>
              <w:bottom w:val="single" w:color="C9D2E3" w:sz="1"/>
              <w:right w:val="single" w:color="C9D2E3" w:sz="1"/>
            </w:tcBorders>
            <w:shd w:fill="1F2A5A" w:val="clear"/>
            <w:tcMar>
              <w:top w:type="dxa" w:w="60"/>
              <w:left w:type="dxa" w:w="110"/>
              <w:bottom w:type="dxa" w:w="60"/>
              <w:right w:type="dxa" w:w="110"/>
            </w:tcMar>
            <w:vAlign w:val="center"/>
          </w:tcPr>
          <w:p>
            <w:pPr>
              <w:spacing w:after="0" w:line="240"/>
            </w:pPr>
            <w:r>
              <w:rPr>
                <w:b/>
                <w:bCs/>
                <w:i w:val="false"/>
                <w:iCs w:val="false"/>
                <w:color w:val="FFFFFF"/>
                <w:sz w:val="18"/>
                <w:szCs w:val="18"/>
              </w:rPr>
              <w:t xml:space="preserve">Table</w:t>
            </w:r>
          </w:p>
        </w:tc>
        <w:tc>
          <w:tcPr>
            <w:tcW w:type="dxa" w:w="1260"/>
            <w:tcBorders>
              <w:top w:val="single" w:color="C9D2E3" w:sz="1"/>
              <w:left w:val="single" w:color="C9D2E3" w:sz="1"/>
              <w:bottom w:val="single" w:color="C9D2E3" w:sz="1"/>
              <w:right w:val="single" w:color="C9D2E3" w:sz="1"/>
            </w:tcBorders>
            <w:shd w:fill="1F2A5A" w:val="clear"/>
            <w:tcMar>
              <w:top w:type="dxa" w:w="60"/>
              <w:left w:type="dxa" w:w="110"/>
              <w:bottom w:type="dxa" w:w="60"/>
              <w:right w:type="dxa" w:w="110"/>
            </w:tcMar>
            <w:vAlign w:val="center"/>
          </w:tcPr>
          <w:p>
            <w:pPr>
              <w:spacing w:after="0" w:line="240"/>
            </w:pPr>
            <w:r>
              <w:rPr>
                <w:b/>
                <w:bCs/>
                <w:i w:val="false"/>
                <w:iCs w:val="false"/>
                <w:color w:val="FFFFFF"/>
                <w:sz w:val="18"/>
                <w:szCs w:val="18"/>
              </w:rPr>
              <w:t xml:space="preserve">PK</w:t>
            </w:r>
          </w:p>
        </w:tc>
        <w:tc>
          <w:tcPr>
            <w:tcW w:type="dxa" w:w="3800"/>
            <w:tcBorders>
              <w:top w:val="single" w:color="C9D2E3" w:sz="1"/>
              <w:left w:val="single" w:color="C9D2E3" w:sz="1"/>
              <w:bottom w:val="single" w:color="C9D2E3" w:sz="1"/>
              <w:right w:val="single" w:color="C9D2E3" w:sz="1"/>
            </w:tcBorders>
            <w:shd w:fill="1F2A5A" w:val="clear"/>
            <w:tcMar>
              <w:top w:type="dxa" w:w="60"/>
              <w:left w:type="dxa" w:w="110"/>
              <w:bottom w:type="dxa" w:w="60"/>
              <w:right w:type="dxa" w:w="110"/>
            </w:tcMar>
            <w:vAlign w:val="center"/>
          </w:tcPr>
          <w:p>
            <w:pPr>
              <w:spacing w:after="0" w:line="240"/>
            </w:pPr>
            <w:r>
              <w:rPr>
                <w:b/>
                <w:bCs/>
                <w:i w:val="false"/>
                <w:iCs w:val="false"/>
                <w:color w:val="FFFFFF"/>
                <w:sz w:val="18"/>
                <w:szCs w:val="18"/>
              </w:rPr>
              <w:t xml:space="preserve">Purpose</w:t>
            </w:r>
          </w:p>
        </w:tc>
      </w:tr>
      <w:tr>
        <w:tc>
          <w:tcPr>
            <w:tcW w:type="dxa" w:w="43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upi_claim_cycles</w:t>
            </w:r>
          </w:p>
        </w:tc>
        <w:tc>
          <w:tcPr>
            <w:tcW w:type="dxa" w:w="12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rFonts w:ascii="Consolas" w:cs="Consolas" w:eastAsia="Consolas" w:hAnsi="Consolas"/>
                <w:b w:val="false"/>
                <w:bCs w:val="false"/>
                <w:i w:val="false"/>
                <w:iCs w:val="false"/>
                <w:sz w:val="18"/>
                <w:szCs w:val="18"/>
              </w:rPr>
              <w:t xml:space="preserve">id uuid</w:t>
            </w:r>
          </w:p>
        </w:tc>
        <w:tc>
          <w:tcPr>
            <w:tcW w:type="dxa" w:w="38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Claim submission cycles per institution</w:t>
            </w:r>
          </w:p>
        </w:tc>
      </w:tr>
      <w:tr>
        <w:tc>
          <w:tcPr>
            <w:tcW w:type="dxa" w:w="43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upi_commission_students</w:t>
            </w:r>
          </w:p>
        </w:tc>
        <w:tc>
          <w:tcPr>
            <w:tcW w:type="dxa" w:w="12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rFonts w:ascii="Consolas" w:cs="Consolas" w:eastAsia="Consolas" w:hAnsi="Consolas"/>
                <w:b w:val="false"/>
                <w:bCs w:val="false"/>
                <w:i w:val="false"/>
                <w:iCs w:val="false"/>
                <w:sz w:val="18"/>
                <w:szCs w:val="18"/>
              </w:rPr>
              <w:t xml:space="preserve">id uuid</w:t>
            </w:r>
          </w:p>
        </w:tc>
        <w:tc>
          <w:tcPr>
            <w:tcW w:type="dxa" w:w="38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Per-student commission row (3-axis lifecycle)</w:t>
            </w:r>
          </w:p>
        </w:tc>
      </w:tr>
      <w:tr>
        <w:tc>
          <w:tcPr>
            <w:tcW w:type="dxa" w:w="43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upi_commission_snapshots</w:t>
            </w:r>
          </w:p>
        </w:tc>
        <w:tc>
          <w:tcPr>
            <w:tcW w:type="dxa" w:w="12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rFonts w:ascii="Consolas" w:cs="Consolas" w:eastAsia="Consolas" w:hAnsi="Consolas"/>
                <w:b w:val="false"/>
                <w:bCs w:val="false"/>
                <w:i w:val="false"/>
                <w:iCs w:val="false"/>
                <w:sz w:val="18"/>
                <w:szCs w:val="18"/>
              </w:rPr>
              <w:t xml:space="preserve">id uuid</w:t>
            </w:r>
          </w:p>
        </w:tc>
        <w:tc>
          <w:tcPr>
            <w:tcW w:type="dxa" w:w="38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Immutable calculation audit records</w:t>
            </w:r>
          </w:p>
        </w:tc>
      </w:tr>
      <w:tr>
        <w:tc>
          <w:tcPr>
            <w:tcW w:type="dxa" w:w="43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upi_commission_transfer_events</w:t>
            </w:r>
          </w:p>
        </w:tc>
        <w:tc>
          <w:tcPr>
            <w:tcW w:type="dxa" w:w="12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rFonts w:ascii="Consolas" w:cs="Consolas" w:eastAsia="Consolas" w:hAnsi="Consolas"/>
                <w:b w:val="false"/>
                <w:bCs w:val="false"/>
                <w:i w:val="false"/>
                <w:iCs w:val="false"/>
                <w:sz w:val="18"/>
                <w:szCs w:val="18"/>
              </w:rPr>
              <w:t xml:space="preserve">id uuid</w:t>
            </w:r>
          </w:p>
        </w:tc>
        <w:tc>
          <w:tcPr>
            <w:tcW w:type="dxa" w:w="38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Transfer / amendment / cancellation events</w:t>
            </w:r>
          </w:p>
        </w:tc>
      </w:tr>
      <w:tr>
        <w:tc>
          <w:tcPr>
            <w:tcW w:type="dxa" w:w="43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upi_commission_invoices</w:t>
            </w:r>
          </w:p>
        </w:tc>
        <w:tc>
          <w:tcPr>
            <w:tcW w:type="dxa" w:w="12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rFonts w:ascii="Consolas" w:cs="Consolas" w:eastAsia="Consolas" w:hAnsi="Consolas"/>
                <w:b w:val="false"/>
                <w:bCs w:val="false"/>
                <w:i w:val="false"/>
                <w:iCs w:val="false"/>
                <w:sz w:val="18"/>
                <w:szCs w:val="18"/>
              </w:rPr>
              <w:t xml:space="preserve">id uuid</w:t>
            </w:r>
          </w:p>
        </w:tc>
        <w:tc>
          <w:tcPr>
            <w:tcW w:type="dxa" w:w="38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Commission invoices to institutions</w:t>
            </w:r>
          </w:p>
        </w:tc>
      </w:tr>
      <w:tr>
        <w:tc>
          <w:tcPr>
            <w:tcW w:type="dxa" w:w="43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upi_invoice_line_items</w:t>
            </w:r>
          </w:p>
        </w:tc>
        <w:tc>
          <w:tcPr>
            <w:tcW w:type="dxa" w:w="12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rFonts w:ascii="Consolas" w:cs="Consolas" w:eastAsia="Consolas" w:hAnsi="Consolas"/>
                <w:b w:val="false"/>
                <w:bCs w:val="false"/>
                <w:i w:val="false"/>
                <w:iCs w:val="false"/>
                <w:sz w:val="18"/>
                <w:szCs w:val="18"/>
              </w:rPr>
              <w:t xml:space="preserve">id uuid</w:t>
            </w:r>
          </w:p>
        </w:tc>
        <w:tc>
          <w:tcPr>
            <w:tcW w:type="dxa" w:w="38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Invoice lines linked to students/snapshots</w:t>
            </w:r>
          </w:p>
        </w:tc>
      </w:tr>
      <w:tr>
        <w:tc>
          <w:tcPr>
            <w:tcW w:type="dxa" w:w="43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upi_commission_receipts</w:t>
            </w:r>
          </w:p>
        </w:tc>
        <w:tc>
          <w:tcPr>
            <w:tcW w:type="dxa" w:w="12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rFonts w:ascii="Consolas" w:cs="Consolas" w:eastAsia="Consolas" w:hAnsi="Consolas"/>
                <w:b w:val="false"/>
                <w:bCs w:val="false"/>
                <w:i w:val="false"/>
                <w:iCs w:val="false"/>
                <w:sz w:val="18"/>
                <w:szCs w:val="18"/>
              </w:rPr>
              <w:t xml:space="preserve">id uuid</w:t>
            </w:r>
          </w:p>
        </w:tc>
        <w:tc>
          <w:tcPr>
            <w:tcW w:type="dxa" w:w="38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Payment receipts (Phase 2A)</w:t>
            </w:r>
          </w:p>
        </w:tc>
      </w:tr>
      <w:tr>
        <w:tc>
          <w:tcPr>
            <w:tcW w:type="dxa" w:w="43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upi_commission_receipt_invoice_allocations</w:t>
            </w:r>
          </w:p>
        </w:tc>
        <w:tc>
          <w:tcPr>
            <w:tcW w:type="dxa" w:w="12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rFonts w:ascii="Consolas" w:cs="Consolas" w:eastAsia="Consolas" w:hAnsi="Consolas"/>
                <w:b w:val="false"/>
                <w:bCs w:val="false"/>
                <w:i w:val="false"/>
                <w:iCs w:val="false"/>
                <w:sz w:val="18"/>
                <w:szCs w:val="18"/>
              </w:rPr>
              <w:t xml:space="preserve">id uuid</w:t>
            </w:r>
          </w:p>
        </w:tc>
        <w:tc>
          <w:tcPr>
            <w:tcW w:type="dxa" w:w="38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Receipt → invoice allocation</w:t>
            </w:r>
          </w:p>
        </w:tc>
      </w:tr>
      <w:tr>
        <w:tc>
          <w:tcPr>
            <w:tcW w:type="dxa" w:w="43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upi_commission_receipt_student_allocations</w:t>
            </w:r>
          </w:p>
        </w:tc>
        <w:tc>
          <w:tcPr>
            <w:tcW w:type="dxa" w:w="12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rFonts w:ascii="Consolas" w:cs="Consolas" w:eastAsia="Consolas" w:hAnsi="Consolas"/>
                <w:b w:val="false"/>
                <w:bCs w:val="false"/>
                <w:i w:val="false"/>
                <w:iCs w:val="false"/>
                <w:sz w:val="18"/>
                <w:szCs w:val="18"/>
              </w:rPr>
              <w:t xml:space="preserve">id uuid</w:t>
            </w:r>
          </w:p>
        </w:tc>
        <w:tc>
          <w:tcPr>
            <w:tcW w:type="dxa" w:w="38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Receipt → student allocation</w:t>
            </w:r>
          </w:p>
        </w:tc>
      </w:tr>
      <w:tr>
        <w:tc>
          <w:tcPr>
            <w:tcW w:type="dxa" w:w="43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upi_commission_receipt_attachments</w:t>
            </w:r>
          </w:p>
        </w:tc>
        <w:tc>
          <w:tcPr>
            <w:tcW w:type="dxa" w:w="12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rFonts w:ascii="Consolas" w:cs="Consolas" w:eastAsia="Consolas" w:hAnsi="Consolas"/>
                <w:b w:val="false"/>
                <w:bCs w:val="false"/>
                <w:i w:val="false"/>
                <w:iCs w:val="false"/>
                <w:sz w:val="18"/>
                <w:szCs w:val="18"/>
              </w:rPr>
              <w:t xml:space="preserve">id uuid</w:t>
            </w:r>
          </w:p>
        </w:tc>
        <w:tc>
          <w:tcPr>
            <w:tcW w:type="dxa" w:w="38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Receipt file attachments</w:t>
            </w:r>
          </w:p>
        </w:tc>
      </w:tr>
      <w:tr>
        <w:tc>
          <w:tcPr>
            <w:tcW w:type="dxa" w:w="43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upi_commission_remittance_batches</w:t>
            </w:r>
          </w:p>
        </w:tc>
        <w:tc>
          <w:tcPr>
            <w:tcW w:type="dxa" w:w="12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rFonts w:ascii="Consolas" w:cs="Consolas" w:eastAsia="Consolas" w:hAnsi="Consolas"/>
                <w:b w:val="false"/>
                <w:bCs w:val="false"/>
                <w:i w:val="false"/>
                <w:iCs w:val="false"/>
                <w:sz w:val="18"/>
                <w:szCs w:val="18"/>
              </w:rPr>
              <w:t xml:space="preserve">id uuid</w:t>
            </w:r>
          </w:p>
        </w:tc>
        <w:tc>
          <w:tcPr>
            <w:tcW w:type="dxa" w:w="38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Remittance batch grouping (Phase 2B)</w:t>
            </w:r>
          </w:p>
        </w:tc>
      </w:tr>
      <w:tr>
        <w:tc>
          <w:tcPr>
            <w:tcW w:type="dxa" w:w="43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upi_commission_remittance_batch_statements</w:t>
            </w:r>
          </w:p>
        </w:tc>
        <w:tc>
          <w:tcPr>
            <w:tcW w:type="dxa" w:w="12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rFonts w:ascii="Consolas" w:cs="Consolas" w:eastAsia="Consolas" w:hAnsi="Consolas"/>
                <w:b w:val="false"/>
                <w:bCs w:val="false"/>
                <w:i w:val="false"/>
                <w:iCs w:val="false"/>
                <w:sz w:val="18"/>
                <w:szCs w:val="18"/>
              </w:rPr>
              <w:t xml:space="preserve">id uuid</w:t>
            </w:r>
          </w:p>
        </w:tc>
        <w:tc>
          <w:tcPr>
            <w:tcW w:type="dxa" w:w="38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Batch statement files (Phase 2B)</w:t>
            </w:r>
          </w:p>
        </w:tc>
      </w:tr>
      <w:tr>
        <w:tc>
          <w:tcPr>
            <w:tcW w:type="dxa" w:w="43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upi_commission_aggregator_invoices</w:t>
            </w:r>
          </w:p>
        </w:tc>
        <w:tc>
          <w:tcPr>
            <w:tcW w:type="dxa" w:w="12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rFonts w:ascii="Consolas" w:cs="Consolas" w:eastAsia="Consolas" w:hAnsi="Consolas"/>
                <w:b w:val="false"/>
                <w:bCs w:val="false"/>
                <w:i w:val="false"/>
                <w:iCs w:val="false"/>
                <w:sz w:val="18"/>
                <w:szCs w:val="18"/>
              </w:rPr>
              <w:t xml:space="preserve">id uuid</w:t>
            </w:r>
          </w:p>
        </w:tc>
        <w:tc>
          <w:tcPr>
            <w:tcW w:type="dxa" w:w="38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Aggregator-level invoices (Phase 2B; not in types.ts)</w:t>
            </w:r>
          </w:p>
        </w:tc>
      </w:tr>
      <w:tr>
        <w:tc>
          <w:tcPr>
            <w:tcW w:type="dxa" w:w="43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upi_commission_aggregator_invoice_lines</w:t>
            </w:r>
          </w:p>
        </w:tc>
        <w:tc>
          <w:tcPr>
            <w:tcW w:type="dxa" w:w="12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rFonts w:ascii="Consolas" w:cs="Consolas" w:eastAsia="Consolas" w:hAnsi="Consolas"/>
                <w:b w:val="false"/>
                <w:bCs w:val="false"/>
                <w:i w:val="false"/>
                <w:iCs w:val="false"/>
                <w:sz w:val="18"/>
                <w:szCs w:val="18"/>
              </w:rPr>
              <w:t xml:space="preserve">id uuid</w:t>
            </w:r>
          </w:p>
        </w:tc>
        <w:tc>
          <w:tcPr>
            <w:tcW w:type="dxa" w:w="38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Lines on aggregator invoices (not in types.ts)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F6E5" w:sz="1"/>
              <w:left w:val="single" w:color="9A6A12" w:sz="18"/>
              <w:bottom w:val="single" w:color="FFF6E5" w:sz="1"/>
              <w:right w:val="single" w:color="FFF6E5" w:sz="1"/>
            </w:tcBorders>
            <w:shd w:fill="FFF6E5" w:val="clear"/>
            <w:tcMar>
              <w:top w:type="dxa" w:w="100"/>
              <w:left w:type="dxa" w:w="180"/>
              <w:bottom w:type="dxa" w:w="100"/>
              <w:right w:type="dxa" w:w="140"/>
            </w:tcMar>
          </w:tcPr>
          <w:p>
            <w:pPr>
              <w:spacing w:after="0" w:line="268"/>
            </w:pPr>
            <w:r>
              <w:rPr>
                <w:b/>
                <w:bCs/>
                <w:color w:val="9A6A12"/>
                <w:sz w:val="19"/>
                <w:szCs w:val="19"/>
              </w:rPr>
              <w:t xml:space="preserve">Terminology note:  </w:t>
            </w:r>
            <w:r>
              <w:rPr>
                <w:sz w:val="20"/>
                <w:szCs w:val="20"/>
              </w:rPr>
              <w:t xml:space="preserve">“Commission Plan” in the UI maps to the upi_commissions table — there is no separate commission_plan entity. A legacy upi_invoices table also exists separately from upi_commission_invoices (institution-module invoices vs. commission invoices).</w:t>
            </w:r>
          </w:p>
        </w:tc>
      </w:tr>
    </w:tbl>
    <w:p>
      <w:pPr>
        <w:pStyle w:val="Heading2"/>
      </w:pPr>
      <w:r>
        <w:t xml:space="preserve">2.3 Key columns (selected)</w:t>
      </w:r>
    </w:p>
    <w:p>
      <w:pPr>
        <w:spacing w:after="140" w:before="0" w:line="276"/>
      </w:pPr>
      <w:r>
        <w:rPr>
          <w:b/>
          <w:bCs/>
          <w:i w:val="false"/>
          <w:iCs w:val="false"/>
        </w:rPr>
        <w:t xml:space="preserve">upi_commissions: </w:t>
      </w:r>
      <w:r>
        <w:rPr>
          <w:b w:val="false"/>
          <w:bCs w:val="false"/>
          <w:i w:val="false"/>
          <w:iCs w:val="false"/>
        </w:rPr>
        <w:t xml:space="preserve">institution_id, agreement_id, name, model_type (fixed/percentage/slab/…), currency, is_active, is_proposed, effective_from/to, base_rate_percent, agreement_version_id, published_at/by.</w:t>
      </w:r>
    </w:p>
    <w:p>
      <w:pPr>
        <w:spacing w:after="140" w:before="0" w:line="276"/>
      </w:pPr>
      <w:r>
        <w:rPr>
          <w:b/>
          <w:bCs/>
          <w:i w:val="false"/>
          <w:iCs w:val="false"/>
        </w:rPr>
        <w:t xml:space="preserve">upi_commission_rules: </w:t>
      </w:r>
      <w:r>
        <w:rPr>
          <w:b w:val="false"/>
          <w:bCs w:val="false"/>
          <w:i w:val="false"/>
          <w:iCs w:val="false"/>
        </w:rPr>
        <w:t xml:space="preserve">rule_type (base/slab_tier/bonus/…), condition_field/operator/value, payout_amount, payout_type, scope_* (country, campus, program, intake, promotion), precedence_rank.</w:t>
      </w:r>
    </w:p>
    <w:p>
      <w:pPr>
        <w:spacing w:after="140" w:before="0" w:line="276"/>
      </w:pPr>
      <w:r>
        <w:rPr>
          <w:b/>
          <w:bCs/>
          <w:i w:val="false"/>
          <w:iCs w:val="false"/>
        </w:rPr>
        <w:t xml:space="preserve">upi_commission_students </w:t>
      </w:r>
      <w:r>
        <w:rPr>
          <w:b w:val="false"/>
          <w:bCs w:val="false"/>
          <w:i w:val="false"/>
          <w:iCs w:val="false"/>
        </w:rPr>
        <w:t xml:space="preserve">carries a three-axis lifecycle plus amounts, hold, and link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D2E3" w:sz="1"/>
              <w:left w:val="single" w:color="C9D2E3" w:sz="1"/>
              <w:bottom w:val="single" w:color="C9D2E3" w:sz="1"/>
              <w:right w:val="single" w:color="C9D2E3" w:sz="1"/>
            </w:tcBorders>
            <w:shd w:fill="1F2A5A" w:val="clear"/>
            <w:tcMar>
              <w:top w:type="dxa" w:w="60"/>
              <w:left w:type="dxa" w:w="110"/>
              <w:bottom w:type="dxa" w:w="60"/>
              <w:right w:type="dxa" w:w="110"/>
            </w:tcMar>
            <w:vAlign w:val="center"/>
          </w:tcPr>
          <w:p>
            <w:pPr>
              <w:spacing w:after="0" w:line="240"/>
            </w:pPr>
            <w:r>
              <w:rPr>
                <w:b/>
                <w:bCs/>
                <w:i w:val="false"/>
                <w:iCs w:val="false"/>
                <w:color w:val="FFFFFF"/>
                <w:sz w:val="18"/>
                <w:szCs w:val="18"/>
              </w:rPr>
              <w:t xml:space="preserve">Axis / group</w:t>
            </w:r>
          </w:p>
        </w:tc>
        <w:tc>
          <w:tcPr>
            <w:tcW w:type="dxa" w:w="6760"/>
            <w:tcBorders>
              <w:top w:val="single" w:color="C9D2E3" w:sz="1"/>
              <w:left w:val="single" w:color="C9D2E3" w:sz="1"/>
              <w:bottom w:val="single" w:color="C9D2E3" w:sz="1"/>
              <w:right w:val="single" w:color="C9D2E3" w:sz="1"/>
            </w:tcBorders>
            <w:shd w:fill="1F2A5A" w:val="clear"/>
            <w:tcMar>
              <w:top w:type="dxa" w:w="60"/>
              <w:left w:type="dxa" w:w="110"/>
              <w:bottom w:type="dxa" w:w="60"/>
              <w:right w:type="dxa" w:w="110"/>
            </w:tcMar>
            <w:vAlign w:val="center"/>
          </w:tcPr>
          <w:p>
            <w:pPr>
              <w:spacing w:after="0" w:line="240"/>
            </w:pPr>
            <w:r>
              <w:rPr>
                <w:b/>
                <w:bCs/>
                <w:i w:val="false"/>
                <w:iCs w:val="false"/>
                <w:color w:val="FFFFFF"/>
                <w:sz w:val="18"/>
                <w:szCs w:val="18"/>
              </w:rPr>
              <w:t xml:space="preserve">Columns &amp; states</w:t>
            </w:r>
          </w:p>
        </w:tc>
      </w:tr>
      <w:tr>
        <w:tc>
          <w:tcPr>
            <w:tcW w:type="dxa" w:w="26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Eligibility axis</w:t>
            </w:r>
          </w:p>
        </w:tc>
        <w:tc>
          <w:tcPr>
            <w:tcW w:type="dxa" w:w="67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eligibility_status: pending / eligible / ineligible / cancelled</w:t>
            </w:r>
          </w:p>
        </w:tc>
      </w:tr>
      <w:tr>
        <w:tc>
          <w:tcPr>
            <w:tcW w:type="dxa" w:w="26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Claim axis</w:t>
            </w:r>
          </w:p>
        </w:tc>
        <w:tc>
          <w:tcPr>
            <w:tcW w:type="dxa" w:w="67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claim_status: not_ready / ready / submitted / approved / rejected / carried_forward</w:t>
            </w:r>
          </w:p>
        </w:tc>
      </w:tr>
      <w:tr>
        <w:tc>
          <w:tcPr>
            <w:tcW w:type="dxa" w:w="26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Payment axis</w:t>
            </w:r>
          </w:p>
        </w:tc>
        <w:tc>
          <w:tcPr>
            <w:tcW w:type="dxa" w:w="67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payment_status: unpaid / partially_paid / paid / written_off</w:t>
            </w:r>
          </w:p>
        </w:tc>
      </w:tr>
      <w:tr>
        <w:tc>
          <w:tcPr>
            <w:tcW w:type="dxa" w:w="26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Amounts</w:t>
            </w:r>
          </w:p>
        </w:tc>
        <w:tc>
          <w:tcPr>
            <w:tcW w:type="dxa" w:w="67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expected_amount, amended_expected_amount, amount_received, amount_outstanding</w:t>
            </w:r>
          </w:p>
        </w:tc>
      </w:tr>
      <w:tr>
        <w:tc>
          <w:tcPr>
            <w:tcW w:type="dxa" w:w="26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Hold</w:t>
            </w:r>
          </w:p>
        </w:tc>
        <w:tc>
          <w:tcPr>
            <w:tcW w:type="dxa" w:w="67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hold_status, hold_reason → FK to hold-reasons master</w:t>
            </w:r>
          </w:p>
        </w:tc>
      </w:tr>
      <w:tr>
        <w:tc>
          <w:tcPr>
            <w:tcW w:type="dxa" w:w="26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Links</w:t>
            </w:r>
          </w:p>
        </w:tc>
        <w:tc>
          <w:tcPr>
            <w:tcW w:type="dxa" w:w="67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client_id, claim_cycle_id, commission_id, partnership_route_id, commission_snapshot_id, billing_profile_id</w:t>
            </w:r>
          </w:p>
        </w:tc>
      </w:tr>
      <w:tr>
        <w:tc>
          <w:tcPr>
            <w:tcW w:type="dxa" w:w="26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Reserved</w:t>
            </w:r>
          </w:p>
        </w:tc>
        <w:tc>
          <w:tcPr>
            <w:tcW w:type="dxa" w:w="67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clawback_amount, clawback_status (columns only; logic Not Found)</w:t>
            </w:r>
          </w:p>
        </w:tc>
      </w:tr>
    </w:tbl>
    <w:p>
      <w:pPr>
        <w:pStyle w:val="Heading2"/>
      </w:pPr>
      <w:r>
        <w:t xml:space="preserve">2.4 Views</w:t>
      </w:r>
    </w:p>
    <w:p>
      <w:pPr>
        <w:spacing w:after="140" w:before="0" w:line="276"/>
      </w:pPr>
      <w:r>
        <w:rPr>
          <w:b w:val="false"/>
          <w:bCs w:val="false"/>
          <w:i w:val="false"/>
          <w:iCs w:val="false"/>
        </w:rPr>
        <w:t xml:space="preserve">Views split into those exposed through the generated Supabase types.ts (used directly by the app) and Phase 2B aggregator views accessed via casts.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00"/>
        <w:gridCol w:w="1360"/>
        <w:gridCol w:w="3900"/>
      </w:tblGrid>
      <w:tr>
        <w:trPr>
          <w:tblHeader/>
        </w:trPr>
        <w:tc>
          <w:tcPr>
            <w:tcW w:type="dxa" w:w="4100"/>
            <w:tcBorders>
              <w:top w:val="single" w:color="C9D2E3" w:sz="1"/>
              <w:left w:val="single" w:color="C9D2E3" w:sz="1"/>
              <w:bottom w:val="single" w:color="C9D2E3" w:sz="1"/>
              <w:right w:val="single" w:color="C9D2E3" w:sz="1"/>
            </w:tcBorders>
            <w:shd w:fill="1F2A5A" w:val="clear"/>
            <w:tcMar>
              <w:top w:type="dxa" w:w="60"/>
              <w:left w:type="dxa" w:w="110"/>
              <w:bottom w:type="dxa" w:w="60"/>
              <w:right w:type="dxa" w:w="110"/>
            </w:tcMar>
            <w:vAlign w:val="center"/>
          </w:tcPr>
          <w:p>
            <w:pPr>
              <w:spacing w:after="0" w:line="240"/>
            </w:pPr>
            <w:r>
              <w:rPr>
                <w:b/>
                <w:bCs/>
                <w:i w:val="false"/>
                <w:iCs w:val="false"/>
                <w:color w:val="FFFFFF"/>
                <w:sz w:val="18"/>
                <w:szCs w:val="18"/>
              </w:rPr>
              <w:t xml:space="preserve">View</w:t>
            </w:r>
          </w:p>
        </w:tc>
        <w:tc>
          <w:tcPr>
            <w:tcW w:type="dxa" w:w="1360"/>
            <w:tcBorders>
              <w:top w:val="single" w:color="C9D2E3" w:sz="1"/>
              <w:left w:val="single" w:color="C9D2E3" w:sz="1"/>
              <w:bottom w:val="single" w:color="C9D2E3" w:sz="1"/>
              <w:right w:val="single" w:color="C9D2E3" w:sz="1"/>
            </w:tcBorders>
            <w:shd w:fill="1F2A5A" w:val="clear"/>
            <w:tcMar>
              <w:top w:type="dxa" w:w="60"/>
              <w:left w:type="dxa" w:w="110"/>
              <w:bottom w:type="dxa" w:w="60"/>
              <w:right w:type="dxa" w:w="110"/>
            </w:tcMar>
            <w:vAlign w:val="center"/>
          </w:tcPr>
          <w:p>
            <w:pPr>
              <w:spacing w:after="0" w:line="240"/>
            </w:pPr>
            <w:r>
              <w:rPr>
                <w:b/>
                <w:bCs/>
                <w:i w:val="false"/>
                <w:iCs w:val="false"/>
                <w:color w:val="FFFFFF"/>
                <w:sz w:val="18"/>
                <w:szCs w:val="18"/>
              </w:rPr>
              <w:t xml:space="preserve">In types.ts</w:t>
            </w:r>
          </w:p>
        </w:tc>
        <w:tc>
          <w:tcPr>
            <w:tcW w:type="dxa" w:w="3900"/>
            <w:tcBorders>
              <w:top w:val="single" w:color="C9D2E3" w:sz="1"/>
              <w:left w:val="single" w:color="C9D2E3" w:sz="1"/>
              <w:bottom w:val="single" w:color="C9D2E3" w:sz="1"/>
              <w:right w:val="single" w:color="C9D2E3" w:sz="1"/>
            </w:tcBorders>
            <w:shd w:fill="1F2A5A" w:val="clear"/>
            <w:tcMar>
              <w:top w:type="dxa" w:w="60"/>
              <w:left w:type="dxa" w:w="110"/>
              <w:bottom w:type="dxa" w:w="60"/>
              <w:right w:type="dxa" w:w="110"/>
            </w:tcMar>
            <w:vAlign w:val="center"/>
          </w:tcPr>
          <w:p>
            <w:pPr>
              <w:spacing w:after="0" w:line="240"/>
            </w:pPr>
            <w:r>
              <w:rPr>
                <w:b/>
                <w:bCs/>
                <w:i w:val="false"/>
                <w:iCs w:val="false"/>
                <w:color w:val="FFFFFF"/>
                <w:sz w:val="18"/>
                <w:szCs w:val="18"/>
              </w:rPr>
              <w:t xml:space="preserve">Purpose</w:t>
            </w:r>
          </w:p>
        </w:tc>
      </w:tr>
      <w:tr>
        <w:tc>
          <w:tcPr>
            <w:tcW w:type="dxa" w:w="41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v_client_commission_status</w:t>
            </w:r>
          </w:p>
        </w:tc>
        <w:tc>
          <w:tcPr>
            <w:tcW w:type="dxa" w:w="13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color w:val="1B7A46"/>
                <w:sz w:val="19"/>
                <w:szCs w:val="19"/>
              </w:rPr>
              <w:t xml:space="preserve">Yes</w:t>
            </w:r>
          </w:p>
        </w:tc>
        <w:tc>
          <w:tcPr>
            <w:tcW w:type="dxa" w:w="39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Counselor-safe status (no amounts)</w:t>
            </w:r>
          </w:p>
        </w:tc>
      </w:tr>
      <w:tr>
        <w:tc>
          <w:tcPr>
            <w:tcW w:type="dxa" w:w="41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v_commission_receipt_open_items</w:t>
            </w:r>
          </w:p>
        </w:tc>
        <w:tc>
          <w:tcPr>
            <w:tcW w:type="dxa" w:w="13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color w:val="1B7A46"/>
                <w:sz w:val="19"/>
                <w:szCs w:val="19"/>
              </w:rPr>
              <w:t xml:space="preserve">Yes</w:t>
            </w:r>
          </w:p>
        </w:tc>
        <w:tc>
          <w:tcPr>
            <w:tcW w:type="dxa" w:w="39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Open items for receipt allocation</w:t>
            </w:r>
          </w:p>
        </w:tc>
      </w:tr>
      <w:tr>
        <w:tc>
          <w:tcPr>
            <w:tcW w:type="dxa" w:w="41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v_commission_receipts_in_progress</w:t>
            </w:r>
          </w:p>
        </w:tc>
        <w:tc>
          <w:tcPr>
            <w:tcW w:type="dxa" w:w="13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color w:val="1B7A46"/>
                <w:sz w:val="19"/>
                <w:szCs w:val="19"/>
              </w:rPr>
              <w:t xml:space="preserve">Yes</w:t>
            </w:r>
          </w:p>
        </w:tc>
        <w:tc>
          <w:tcPr>
            <w:tcW w:type="dxa" w:w="39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In-progress receipts</w:t>
            </w:r>
          </w:p>
        </w:tc>
      </w:tr>
      <w:tr>
        <w:tc>
          <w:tcPr>
            <w:tcW w:type="dxa" w:w="41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v_commission_student_receipt_ledger</w:t>
            </w:r>
          </w:p>
        </w:tc>
        <w:tc>
          <w:tcPr>
            <w:tcW w:type="dxa" w:w="13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color w:val="1B7A46"/>
                <w:sz w:val="19"/>
                <w:szCs w:val="19"/>
              </w:rPr>
              <w:t xml:space="preserve">Yes</w:t>
            </w:r>
          </w:p>
        </w:tc>
        <w:tc>
          <w:tcPr>
            <w:tcW w:type="dxa" w:w="39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Student receipt ledger</w:t>
            </w:r>
          </w:p>
        </w:tc>
      </w:tr>
      <w:tr>
        <w:tc>
          <w:tcPr>
            <w:tcW w:type="dxa" w:w="41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v_commission_aggregator_student_rows</w:t>
            </w:r>
          </w:p>
        </w:tc>
        <w:tc>
          <w:tcPr>
            <w:tcW w:type="dxa" w:w="13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color w:val="9A6A12"/>
                <w:sz w:val="19"/>
                <w:szCs w:val="19"/>
              </w:rPr>
              <w:t xml:space="preserve">No</w:t>
            </w:r>
          </w:p>
        </w:tc>
        <w:tc>
          <w:tcPr>
            <w:tcW w:type="dxa" w:w="39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Aggregator workbench student rows</w:t>
            </w:r>
          </w:p>
        </w:tc>
      </w:tr>
      <w:tr>
        <w:tc>
          <w:tcPr>
            <w:tcW w:type="dxa" w:w="41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v_commission_institution_metrics_agg</w:t>
            </w:r>
          </w:p>
        </w:tc>
        <w:tc>
          <w:tcPr>
            <w:tcW w:type="dxa" w:w="13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color w:val="9A6A12"/>
                <w:sz w:val="19"/>
                <w:szCs w:val="19"/>
              </w:rPr>
              <w:t xml:space="preserve">No</w:t>
            </w:r>
          </w:p>
        </w:tc>
        <w:tc>
          <w:tcPr>
            <w:tcW w:type="dxa" w:w="39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Institution metrics for aggregator</w:t>
            </w:r>
          </w:p>
        </w:tc>
      </w:tr>
      <w:tr>
        <w:tc>
          <w:tcPr>
            <w:tcW w:type="dxa" w:w="41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v_commission_aggregator_metrics</w:t>
            </w:r>
          </w:p>
        </w:tc>
        <w:tc>
          <w:tcPr>
            <w:tcW w:type="dxa" w:w="13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color w:val="9A6A12"/>
                <w:sz w:val="19"/>
                <w:szCs w:val="19"/>
              </w:rPr>
              <w:t xml:space="preserve">No</w:t>
            </w:r>
          </w:p>
        </w:tc>
        <w:tc>
          <w:tcPr>
            <w:tcW w:type="dxa" w:w="39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Aggregator KPI metrics</w:t>
            </w:r>
          </w:p>
        </w:tc>
      </w:tr>
      <w:tr>
        <w:tc>
          <w:tcPr>
            <w:tcW w:type="dxa" w:w="41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v_commission_batch_reconciliation</w:t>
            </w:r>
          </w:p>
        </w:tc>
        <w:tc>
          <w:tcPr>
            <w:tcW w:type="dxa" w:w="13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color w:val="9A6A12"/>
                <w:sz w:val="19"/>
                <w:szCs w:val="19"/>
              </w:rPr>
              <w:t xml:space="preserve">No</w:t>
            </w:r>
          </w:p>
        </w:tc>
        <w:tc>
          <w:tcPr>
            <w:tcW w:type="dxa" w:w="39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Batch reconciliation</w:t>
            </w:r>
          </w:p>
        </w:tc>
      </w:tr>
    </w:tbl>
    <w:p>
      <w:pPr>
        <w:spacing w:after="140" w:before="0" w:line="276"/>
      </w:pPr>
      <w:r>
        <w:rPr>
          <w:b/>
          <w:bCs/>
          <w:i w:val="false"/>
          <w:iCs w:val="false"/>
        </w:rPr>
        <w:t xml:space="preserve">Materialized views: </w:t>
      </w:r>
      <w:r>
        <w:rPr>
          <w:b w:val="false"/>
          <w:bCs w:val="false"/>
          <w:i w:val="false"/>
          <w:iCs w:val="false"/>
          <w:color w:val="B23A3A"/>
        </w:rPr>
        <w:t xml:space="preserve">Not Found.</w:t>
      </w:r>
    </w:p>
    <w:p>
      <w:pPr>
        <w:pStyle w:val="Heading2"/>
      </w:pPr>
      <w:r>
        <w:t xml:space="preserve">2.5 Functions / stored procedures (PostgreSQL RPCs)</w:t>
      </w:r>
    </w:p>
    <w:p>
      <w:pPr>
        <w:spacing w:after="140" w:before="0" w:line="276"/>
      </w:pPr>
      <w:r>
        <w:rPr>
          <w:b w:val="false"/>
          <w:bCs w:val="false"/>
          <w:i w:val="false"/>
          <w:iCs w:val="false"/>
        </w:rPr>
        <w:t xml:space="preserve">All business writes flow through SECURITY DEFINER RPCs rather than direct table mutation. Thirty-eight commission RPCs are grouped by phase.</w:t>
      </w:r>
    </w:p>
    <w:p>
      <w:pPr>
        <w:pStyle w:val="Heading3"/>
      </w:pPr>
      <w:r>
        <w:t xml:space="preserve">Phase 1 — lifecycle &amp; calculation</w:t>
      </w:r>
    </w:p>
    <w:p>
      <w:pPr>
        <w:spacing w:after="140" w:before="0" w:line="276"/>
      </w:pPr>
      <w:r>
        <w:rPr>
          <w:rFonts w:ascii="Consolas" w:cs="Consolas" w:eastAsia="Consolas" w:hAnsi="Consolas"/>
          <w:b w:val="false"/>
          <w:bCs w:val="false"/>
          <w:i w:val="false"/>
          <w:iCs w:val="false"/>
          <w:sz w:val="20"/>
          <w:szCs w:val="20"/>
        </w:rPr>
        <w:t xml:space="preserve">fn_resolve_commission_rule, fn_evaluate_eligibility, fn_create_commission_snapshot, fn_mark_student_eligible, fn_publish_commission_rules, fn_apply_commission_hold, fn_release_commission_hold, fn_initiate_commission_transfer, fn_create_replacement_commission, fn_process_transfer_outcome, is_commission_admin.</w:t>
      </w:r>
    </w:p>
    <w:p>
      <w:pPr>
        <w:pStyle w:val="Heading3"/>
      </w:pPr>
      <w:r>
        <w:t xml:space="preserve">Phase 2A — receipts</w:t>
      </w:r>
    </w:p>
    <w:p>
      <w:pPr>
        <w:spacing w:after="140" w:before="0" w:line="276"/>
      </w:pPr>
      <w:r>
        <w:rPr>
          <w:rFonts w:ascii="Consolas" w:cs="Consolas" w:eastAsia="Consolas" w:hAnsi="Consolas"/>
          <w:b w:val="false"/>
          <w:bCs w:val="false"/>
          <w:i w:val="false"/>
          <w:iCs w:val="false"/>
          <w:sz w:val="20"/>
          <w:szCs w:val="20"/>
        </w:rPr>
        <w:t xml:space="preserve">fn_create_commission_receipt, fn_update_commission_receipt, fn_upsert_receipt_invoice_allocations, fn_upsert_receipt_student_allocations, fn_approve_receipt_fx_review, fn_mark_receipt_ready, fn_post_commission_receipt, fn_void_commission_receipt, fn_reopen_receipt, fn_receipt_summary, fn_register_receipt_attachment, fn_sync_student_from_receipts, fn_sync_invoice_from_receipts, fn_student_commission_expected, fn_validate_receipt_allocations, fn_refresh_receipt_allocation_totals, fn_refresh_receipt_fx_review, fn_assert_commission_receipt_actor.</w:t>
      </w:r>
    </w:p>
    <w:p>
      <w:pPr>
        <w:pStyle w:val="Heading3"/>
      </w:pPr>
      <w:r>
        <w:t xml:space="preserve">Phase 2B — aggregator</w:t>
      </w:r>
    </w:p>
    <w:p>
      <w:pPr>
        <w:spacing w:after="140" w:before="0" w:line="276"/>
      </w:pPr>
      <w:r>
        <w:rPr>
          <w:rFonts w:ascii="Consolas" w:cs="Consolas" w:eastAsia="Consolas" w:hAnsi="Consolas"/>
          <w:b w:val="false"/>
          <w:bCs w:val="false"/>
          <w:i w:val="false"/>
          <w:iCs w:val="false"/>
          <w:sz w:val="20"/>
          <w:szCs w:val="20"/>
        </w:rPr>
        <w:t xml:space="preserve">fn_create_remittance_batch, fn_dispute_remittance_batch, fn_resolve_batch_dispute, fn_register_batch_statement, fn_create_aggregator_invoice, fn_add_invoices_to_aggregator_invoice, fn_submit_aggregator_invoice, fn_get_aggregator_workbench_summary, fn_assert_commission_aggregator_actor, fn_refresh_remittance_batch_totals, fn_refresh_aggregator_invoice_totals.</w:t>
      </w:r>
    </w:p>
    <w:p>
      <w:pPr>
        <w:pStyle w:val="Heading2"/>
      </w:pPr>
      <w:r>
        <w:t xml:space="preserve">2.6 Triggers (observed)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900"/>
        <w:gridCol w:w="3260"/>
      </w:tblGrid>
      <w:tr>
        <w:trPr>
          <w:tblHeader/>
        </w:trPr>
        <w:tc>
          <w:tcPr>
            <w:tcW w:type="dxa" w:w="3200"/>
            <w:tcBorders>
              <w:top w:val="single" w:color="C9D2E3" w:sz="1"/>
              <w:left w:val="single" w:color="C9D2E3" w:sz="1"/>
              <w:bottom w:val="single" w:color="C9D2E3" w:sz="1"/>
              <w:right w:val="single" w:color="C9D2E3" w:sz="1"/>
            </w:tcBorders>
            <w:shd w:fill="1F2A5A" w:val="clear"/>
            <w:tcMar>
              <w:top w:type="dxa" w:w="60"/>
              <w:left w:type="dxa" w:w="110"/>
              <w:bottom w:type="dxa" w:w="60"/>
              <w:right w:type="dxa" w:w="110"/>
            </w:tcMar>
            <w:vAlign w:val="center"/>
          </w:tcPr>
          <w:p>
            <w:pPr>
              <w:spacing w:after="0" w:line="240"/>
            </w:pPr>
            <w:r>
              <w:rPr>
                <w:b/>
                <w:bCs/>
                <w:i w:val="false"/>
                <w:iCs w:val="false"/>
                <w:color w:val="FFFFFF"/>
                <w:sz w:val="18"/>
                <w:szCs w:val="18"/>
              </w:rPr>
              <w:t xml:space="preserve">Trigger</w:t>
            </w:r>
          </w:p>
        </w:tc>
        <w:tc>
          <w:tcPr>
            <w:tcW w:type="dxa" w:w="2900"/>
            <w:tcBorders>
              <w:top w:val="single" w:color="C9D2E3" w:sz="1"/>
              <w:left w:val="single" w:color="C9D2E3" w:sz="1"/>
              <w:bottom w:val="single" w:color="C9D2E3" w:sz="1"/>
              <w:right w:val="single" w:color="C9D2E3" w:sz="1"/>
            </w:tcBorders>
            <w:shd w:fill="1F2A5A" w:val="clear"/>
            <w:tcMar>
              <w:top w:type="dxa" w:w="60"/>
              <w:left w:type="dxa" w:w="110"/>
              <w:bottom w:type="dxa" w:w="60"/>
              <w:right w:type="dxa" w:w="110"/>
            </w:tcMar>
            <w:vAlign w:val="center"/>
          </w:tcPr>
          <w:p>
            <w:pPr>
              <w:spacing w:after="0" w:line="240"/>
            </w:pPr>
            <w:r>
              <w:rPr>
                <w:b/>
                <w:bCs/>
                <w:i w:val="false"/>
                <w:iCs w:val="false"/>
                <w:color w:val="FFFFFF"/>
                <w:sz w:val="18"/>
                <w:szCs w:val="18"/>
              </w:rPr>
              <w:t xml:space="preserve">Table</w:t>
            </w:r>
          </w:p>
        </w:tc>
        <w:tc>
          <w:tcPr>
            <w:tcW w:type="dxa" w:w="3260"/>
            <w:tcBorders>
              <w:top w:val="single" w:color="C9D2E3" w:sz="1"/>
              <w:left w:val="single" w:color="C9D2E3" w:sz="1"/>
              <w:bottom w:val="single" w:color="C9D2E3" w:sz="1"/>
              <w:right w:val="single" w:color="C9D2E3" w:sz="1"/>
            </w:tcBorders>
            <w:shd w:fill="1F2A5A" w:val="clear"/>
            <w:tcMar>
              <w:top w:type="dxa" w:w="60"/>
              <w:left w:type="dxa" w:w="110"/>
              <w:bottom w:type="dxa" w:w="60"/>
              <w:right w:type="dxa" w:w="110"/>
            </w:tcMar>
            <w:vAlign w:val="center"/>
          </w:tcPr>
          <w:p>
            <w:pPr>
              <w:spacing w:after="0" w:line="240"/>
            </w:pPr>
            <w:r>
              <w:rPr>
                <w:b/>
                <w:bCs/>
                <w:i w:val="false"/>
                <w:iCs w:val="false"/>
                <w:color w:val="FFFFFF"/>
                <w:sz w:val="18"/>
                <w:szCs w:val="18"/>
              </w:rPr>
              <w:t xml:space="preserve">Purpose</w:t>
            </w:r>
          </w:p>
        </w:tc>
      </w:tr>
      <w:tr>
        <w:tc>
          <w:tcPr>
            <w:tcW w:type="dxa" w:w="32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trg_block_snapshot_update</w:t>
            </w:r>
          </w:p>
        </w:tc>
        <w:tc>
          <w:tcPr>
            <w:tcW w:type="dxa" w:w="29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upi_commission_snapshots</w:t>
            </w:r>
          </w:p>
        </w:tc>
        <w:tc>
          <w:tcPr>
            <w:tcW w:type="dxa" w:w="32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Immutability — blocks UPDATE/DELETE</w:t>
            </w:r>
          </w:p>
        </w:tc>
      </w:tr>
      <w:tr>
        <w:tc>
          <w:tcPr>
            <w:tcW w:type="dxa" w:w="32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trg_block_receipt_edit</w:t>
            </w:r>
          </w:p>
        </w:tc>
        <w:tc>
          <w:tcPr>
            <w:tcW w:type="dxa" w:w="29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upi_commission_receipts</w:t>
            </w:r>
          </w:p>
        </w:tc>
        <w:tc>
          <w:tcPr>
            <w:tcW w:type="dxa" w:w="32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Blocks edits on posted/voided receipts</w:t>
            </w:r>
          </w:p>
        </w:tc>
      </w:tr>
      <w:tr>
        <w:tc>
          <w:tcPr>
            <w:tcW w:type="dxa" w:w="32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trg_sync_ucs_legacy_status</w:t>
            </w:r>
          </w:p>
        </w:tc>
        <w:tc>
          <w:tcPr>
            <w:tcW w:type="dxa" w:w="29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upi_commission_students</w:t>
            </w:r>
          </w:p>
        </w:tc>
        <w:tc>
          <w:tcPr>
            <w:tcW w:type="dxa" w:w="32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Syncs legacy commission_status from 3-axis fields</w:t>
            </w:r>
          </w:p>
        </w:tc>
      </w:tr>
      <w:tr>
        <w:tc>
          <w:tcPr>
            <w:tcW w:type="dxa" w:w="32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trg_sync_is_partner_on_route</w:t>
            </w:r>
          </w:p>
        </w:tc>
        <w:tc>
          <w:tcPr>
            <w:tcW w:type="dxa" w:w="29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upi_partnership_routes</w:t>
            </w:r>
          </w:p>
        </w:tc>
        <w:tc>
          <w:tcPr>
            <w:tcW w:type="dxa" w:w="32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Maintains partner flag on route change</w:t>
            </w:r>
          </w:p>
        </w:tc>
      </w:tr>
      <w:tr>
        <w:tc>
          <w:tcPr>
            <w:tcW w:type="dxa" w:w="32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trg_*_updated_at</w:t>
            </w:r>
          </w:p>
        </w:tc>
        <w:tc>
          <w:tcPr>
            <w:tcW w:type="dxa" w:w="29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Multiple</w:t>
            </w:r>
          </w:p>
        </w:tc>
        <w:tc>
          <w:tcPr>
            <w:tcW w:type="dxa" w:w="32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touch_updated_at() on UPDATE across commission tables</w:t>
            </w:r>
          </w:p>
        </w:tc>
      </w:tr>
    </w:tbl>
    <w:p>
      <w:pPr>
        <w:pStyle w:val="Heading2"/>
      </w:pPr>
      <w:r>
        <w:t xml:space="preserve">2.7 Indexes, storage buckets &amp; RLS</w:t>
      </w:r>
    </w:p>
    <w:p>
      <w:pPr>
        <w:spacing w:after="140" w:before="0" w:line="276"/>
      </w:pPr>
      <w:r>
        <w:rPr>
          <w:b/>
          <w:bCs/>
          <w:i w:val="false"/>
          <w:iCs w:val="false"/>
        </w:rPr>
        <w:t xml:space="preserve">Indexes (selected): </w:t>
      </w:r>
      <w:r>
        <w:rPr>
          <w:b w:val="false"/>
          <w:bCs w:val="false"/>
          <w:i w:val="false"/>
          <w:iCs w:val="false"/>
        </w:rPr>
        <w:t xml:space="preserve">idx_upi_billing_profiles_inst and a unique partial index for default billing profiles; idx_ucs_cycle, idx_ucs_inst, idx_ucs_status, idx_ucs_lifecycle, idx_ucs_period on students; a unique (client_id, partnership_route_id, commission_period_code) where client_id NOT NULL; receipt indexes on status, payer, and remittance reference.</w:t>
      </w:r>
    </w:p>
    <w:p>
      <w:pPr>
        <w:spacing w:after="140" w:before="0" w:line="276"/>
      </w:pPr>
      <w:r>
        <w:rPr>
          <w:b/>
          <w:bCs/>
          <w:i w:val="false"/>
          <w:iCs w:val="false"/>
        </w:rPr>
        <w:t xml:space="preserve">Storage buckets: </w:t>
      </w:r>
      <w:r>
        <w:rPr>
          <w:rFonts w:ascii="Consolas" w:cs="Consolas" w:eastAsia="Consolas" w:hAnsi="Consolas"/>
          <w:b w:val="false"/>
          <w:bCs w:val="false"/>
          <w:i w:val="false"/>
          <w:iCs w:val="false"/>
          <w:sz w:val="20"/>
          <w:szCs w:val="20"/>
        </w:rPr>
        <w:t xml:space="preserve">upi-commission-receipts</w:t>
      </w:r>
      <w:r>
        <w:rPr>
          <w:b w:val="false"/>
          <w:bCs w:val="false"/>
          <w:i w:val="false"/>
          <w:iCs w:val="false"/>
        </w:rPr>
        <w:t xml:space="preserve"> (receipt attachments) and </w:t>
      </w:r>
      <w:r>
        <w:rPr>
          <w:rFonts w:ascii="Consolas" w:cs="Consolas" w:eastAsia="Consolas" w:hAnsi="Consolas"/>
          <w:b w:val="false"/>
          <w:bCs w:val="false"/>
          <w:i w:val="false"/>
          <w:iCs w:val="false"/>
          <w:sz w:val="20"/>
          <w:szCs w:val="20"/>
        </w:rPr>
        <w:t xml:space="preserve">upi-commission-aggregator-statements</w:t>
      </w:r>
      <w:r>
        <w:rPr>
          <w:b w:val="false"/>
          <w:bCs w:val="false"/>
          <w:i w:val="false"/>
          <w:iCs w:val="false"/>
        </w:rPr>
        <w:t xml:space="preserve"> (aggregator batch statements).</w:t>
      </w:r>
    </w:p>
    <w:p>
      <w:pPr>
        <w:spacing w:after="140" w:before="0" w:line="276"/>
      </w:pPr>
      <w:r>
        <w:rPr>
          <w:b/>
          <w:bCs/>
          <w:i w:val="false"/>
          <w:iCs w:val="false"/>
        </w:rPr>
        <w:t xml:space="preserve">Row-level security: </w:t>
      </w:r>
      <w:r>
        <w:rPr>
          <w:b w:val="false"/>
          <w:bCs w:val="false"/>
          <w:i w:val="false"/>
          <w:iCs w:val="false"/>
        </w:rPr>
        <w:t xml:space="preserve">Confidential tables (billing profiles, eligibility configs, transfer events, snapshots) use a can_view_upi_confidential(auth.uid()) policy. Hold reasons and periods are readable by all authenticated users. An early upi_commission_students policy remains permissive (authenticated USING true) — flagged in Technical Debt.</w:t>
      </w:r>
    </w:p>
    <w:p>
      <w:pPr>
        <w:pStyle w:val="Heading2"/>
      </w:pPr>
      <w:r>
        <w:t xml:space="preserve">2.8 Existing data flow</w:t>
      </w:r>
    </w:p>
    <w:p>
      <w:pPr>
        <w:spacing w:after="140" w:before="0" w:line="276"/>
      </w:pPr>
      <w:r>
        <w:rPr>
          <w:b w:val="false"/>
          <w:bCs w:val="false"/>
          <w:i w:val="false"/>
          <w:iCs w:val="false"/>
        </w:rPr>
        <w:t xml:space="preserve">The end-to-end persistence flow moves from institution setup, through per-student calculation, into claims and invoicing, then receipts, and finally aggregator reconciliation:</w:t>
      </w:r>
    </w:p>
    <w:p>
      <w:pPr>
        <w:pStyle w:val="ListParagraph"/>
        <w:numPr>
          <w:ilvl w:val="0"/>
          <w:numId w:val="2"/>
        </w:numPr>
        <w:spacing w:after="60" w:line="264"/>
      </w:pPr>
      <w:r>
        <w:rPr>
          <w:b w:val="false"/>
          <w:bCs w:val="false"/>
          <w:i w:val="false"/>
          <w:iCs w:val="false"/>
        </w:rPr>
        <w:t xml:space="preserve">Setup: billing profiles, agreement versions, eligibility configs, and commissions+rules are authored per institution; partnership routes carry a default_commission_id.</w:t>
      </w:r>
    </w:p>
    <w:p>
      <w:pPr>
        <w:pStyle w:val="ListParagraph"/>
        <w:numPr>
          <w:ilvl w:val="0"/>
          <w:numId w:val="2"/>
        </w:numPr>
        <w:spacing w:after="60" w:line="264"/>
      </w:pPr>
      <w:r>
        <w:rPr>
          <w:b w:val="false"/>
          <w:bCs w:val="false"/>
          <w:i w:val="false"/>
          <w:iCs w:val="false"/>
        </w:rPr>
        <w:t xml:space="preserve">Per-student: upi_commission_students rows are calculated against a published commission, producing an immutable upi_commission_snapshots record; transfer events branch replacement rows.</w:t>
      </w:r>
    </w:p>
    <w:p>
      <w:pPr>
        <w:pStyle w:val="ListParagraph"/>
        <w:numPr>
          <w:ilvl w:val="0"/>
          <w:numId w:val="2"/>
        </w:numPr>
        <w:spacing w:after="60" w:line="264"/>
      </w:pPr>
      <w:r>
        <w:rPr>
          <w:b w:val="false"/>
          <w:bCs w:val="false"/>
          <w:i w:val="false"/>
          <w:iCs w:val="false"/>
        </w:rPr>
        <w:t xml:space="preserve">Claims: students are grouped into upi_claim_cycles; submitting a cycle generates upi_commission_invoices with upi_invoice_line_items.</w:t>
      </w:r>
    </w:p>
    <w:p>
      <w:pPr>
        <w:pStyle w:val="ListParagraph"/>
        <w:numPr>
          <w:ilvl w:val="0"/>
          <w:numId w:val="2"/>
        </w:numPr>
        <w:spacing w:after="60" w:line="264"/>
      </w:pPr>
      <w:r>
        <w:rPr>
          <w:b w:val="false"/>
          <w:bCs w:val="false"/>
          <w:i w:val="false"/>
          <w:iCs w:val="false"/>
        </w:rPr>
        <w:t xml:space="preserve">Receipts (2A): upi_commission_receipts are allocated to invoices and students; posting updates payment_status columns.</w:t>
      </w:r>
    </w:p>
    <w:p>
      <w:pPr>
        <w:pStyle w:val="ListParagraph"/>
        <w:numPr>
          <w:ilvl w:val="0"/>
          <w:numId w:val="2"/>
        </w:numPr>
        <w:spacing w:after="60" w:line="264"/>
      </w:pPr>
      <w:r>
        <w:rPr>
          <w:b w:val="false"/>
          <w:bCs w:val="false"/>
          <w:i w:val="false"/>
          <w:iCs w:val="false"/>
        </w:rPr>
        <w:t xml:space="preserve">Aggregator (2B): remittance_batches and aggregator_invoices group receipts and invoices for reconciliation.</w:t>
      </w:r>
    </w:p>
    <w:p>
      <w:pPr>
        <w:spacing w:after="80"/>
      </w:pPr>
      <w:r>
        <w:t xml:space="preserve"/>
      </w:r>
    </w:p>
    <w:p>
      <w:pPr>
        <w:spacing w:after="140" w:before="0" w:line="276"/>
      </w:pPr>
      <w:r>
        <w:rPr>
          <w:b/>
          <w:bCs/>
          <w:i w:val="false"/>
          <w:iCs w:val="false"/>
        </w:rPr>
        <w:t xml:space="preserve">ER diagram: </w:t>
      </w:r>
      <w:r>
        <w:rPr>
          <w:b w:val="false"/>
          <w:bCs w:val="false"/>
          <w:i w:val="false"/>
          <w:iCs w:val="false"/>
        </w:rPr>
        <w:t xml:space="preserve">docs/system-map/diagrams/generated/15_commissions.mmd (Mermaid) captures 54 relationships across UPI commission entities, institutions, aggregators, partnership routes, and profiles. A copy travels in the handoff package at docs/architecture/15_commissions-er.mmd.</w:t>
      </w:r>
    </w:p>
    <w:p>
      <w:r>
        <w:br w:type="page"/>
      </w:r>
    </w:p>
    <w:p>
      <w:pPr>
        <w:pStyle w:val="Heading1"/>
      </w:pPr>
      <w:r>
        <w:t xml:space="preserve">3. Business Process Architecture</w:t>
      </w:r>
    </w:p>
    <w:p>
      <w:pPr>
        <w:spacing w:after="140" w:before="0" w:line="276"/>
      </w:pPr>
      <w:r>
        <w:rPr>
          <w:b w:val="false"/>
          <w:bCs w:val="false"/>
          <w:i w:val="false"/>
          <w:iCs w:val="false"/>
        </w:rPr>
        <w:t xml:space="preserve">The commission workflow is a linear pipeline with two branch points (hold/deferral and transfer). Each stage below lists its inputs, outputs, dependencies, and current implementation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4560"/>
        <w:gridCol w:w="2100"/>
      </w:tblGrid>
      <w:tr>
        <w:trPr>
          <w:tblHeader/>
        </w:trPr>
        <w:tc>
          <w:tcPr>
            <w:tcW w:type="dxa" w:w="2700"/>
            <w:tcBorders>
              <w:top w:val="single" w:color="C9D2E3" w:sz="1"/>
              <w:left w:val="single" w:color="C9D2E3" w:sz="1"/>
              <w:bottom w:val="single" w:color="C9D2E3" w:sz="1"/>
              <w:right w:val="single" w:color="C9D2E3" w:sz="1"/>
            </w:tcBorders>
            <w:shd w:fill="1F2A5A" w:val="clear"/>
            <w:tcMar>
              <w:top w:type="dxa" w:w="60"/>
              <w:left w:type="dxa" w:w="110"/>
              <w:bottom w:type="dxa" w:w="60"/>
              <w:right w:type="dxa" w:w="110"/>
            </w:tcMar>
            <w:vAlign w:val="center"/>
          </w:tcPr>
          <w:p>
            <w:pPr>
              <w:spacing w:after="0" w:line="240"/>
            </w:pPr>
            <w:r>
              <w:rPr>
                <w:b/>
                <w:bCs/>
                <w:i w:val="false"/>
                <w:iCs w:val="false"/>
                <w:color w:val="FFFFFF"/>
                <w:sz w:val="18"/>
                <w:szCs w:val="18"/>
              </w:rPr>
              <w:t xml:space="preserve">Stage</w:t>
            </w:r>
          </w:p>
        </w:tc>
        <w:tc>
          <w:tcPr>
            <w:tcW w:type="dxa" w:w="4560"/>
            <w:tcBorders>
              <w:top w:val="single" w:color="C9D2E3" w:sz="1"/>
              <w:left w:val="single" w:color="C9D2E3" w:sz="1"/>
              <w:bottom w:val="single" w:color="C9D2E3" w:sz="1"/>
              <w:right w:val="single" w:color="C9D2E3" w:sz="1"/>
            </w:tcBorders>
            <w:shd w:fill="1F2A5A" w:val="clear"/>
            <w:tcMar>
              <w:top w:type="dxa" w:w="60"/>
              <w:left w:type="dxa" w:w="110"/>
              <w:bottom w:type="dxa" w:w="60"/>
              <w:right w:type="dxa" w:w="110"/>
            </w:tcMar>
            <w:vAlign w:val="center"/>
          </w:tcPr>
          <w:p>
            <w:pPr>
              <w:spacing w:after="0" w:line="240"/>
            </w:pPr>
            <w:r>
              <w:rPr>
                <w:b/>
                <w:bCs/>
                <w:i w:val="false"/>
                <w:iCs w:val="false"/>
                <w:color w:val="FFFFFF"/>
                <w:sz w:val="18"/>
                <w:szCs w:val="18"/>
              </w:rPr>
              <w:t xml:space="preserve">Purpose → Output</w:t>
            </w:r>
          </w:p>
        </w:tc>
        <w:tc>
          <w:tcPr>
            <w:tcW w:type="dxa" w:w="2100"/>
            <w:tcBorders>
              <w:top w:val="single" w:color="C9D2E3" w:sz="1"/>
              <w:left w:val="single" w:color="C9D2E3" w:sz="1"/>
              <w:bottom w:val="single" w:color="C9D2E3" w:sz="1"/>
              <w:right w:val="single" w:color="C9D2E3" w:sz="1"/>
            </w:tcBorders>
            <w:shd w:fill="1F2A5A" w:val="clear"/>
            <w:tcMar>
              <w:top w:type="dxa" w:w="60"/>
              <w:left w:type="dxa" w:w="110"/>
              <w:bottom w:type="dxa" w:w="60"/>
              <w:right w:type="dxa" w:w="110"/>
            </w:tcMar>
            <w:vAlign w:val="center"/>
          </w:tcPr>
          <w:p>
            <w:pPr>
              <w:spacing w:after="0" w:line="240"/>
            </w:pPr>
            <w:r>
              <w:rPr>
                <w:b/>
                <w:bCs/>
                <w:i w:val="false"/>
                <w:iCs w:val="false"/>
                <w:color w:val="FFFFFF"/>
                <w:sz w:val="18"/>
                <w:szCs w:val="18"/>
              </w:rPr>
              <w:t xml:space="preserve">Status</w:t>
            </w:r>
          </w:p>
        </w:tc>
      </w:tr>
      <w:tr>
        <w:tc>
          <w:tcPr>
            <w:tcW w:type="dxa" w:w="27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Institution Agreement</w:t>
            </w:r>
          </w:p>
        </w:tc>
        <w:tc>
          <w:tcPr>
            <w:tcW w:type="dxa" w:w="45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Legal/commercial basis → upi_agreements + versions</w:t>
            </w:r>
          </w:p>
        </w:tc>
        <w:tc>
          <w:tcPr>
            <w:tcW w:type="dxa" w:w="21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color w:val="1B7A46"/>
                <w:sz w:val="19"/>
                <w:szCs w:val="19"/>
              </w:rPr>
              <w:t xml:space="preserve">Implemented</w:t>
            </w:r>
          </w:p>
        </w:tc>
      </w:tr>
      <w:tr>
        <w:tc>
          <w:tcPr>
            <w:tcW w:type="dxa" w:w="27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Commission Plan</w:t>
            </w:r>
          </w:p>
        </w:tc>
        <w:tc>
          <w:tcPr>
            <w:tcW w:type="dxa" w:w="45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Payout structure → upi_commissions + rules</w:t>
            </w:r>
          </w:p>
        </w:tc>
        <w:tc>
          <w:tcPr>
            <w:tcW w:type="dxa" w:w="21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color w:val="1B7A46"/>
                <w:sz w:val="19"/>
                <w:szCs w:val="19"/>
              </w:rPr>
              <w:t xml:space="preserve">Implemented</w:t>
            </w:r>
          </w:p>
        </w:tc>
      </w:tr>
      <w:tr>
        <w:tc>
          <w:tcPr>
            <w:tcW w:type="dxa" w:w="27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Billing Profile</w:t>
            </w:r>
          </w:p>
        </w:tc>
        <w:tc>
          <w:tcPr>
            <w:tcW w:type="dxa" w:w="45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Invoice/remittance identity → upi_billing_profiles</w:t>
            </w:r>
          </w:p>
        </w:tc>
        <w:tc>
          <w:tcPr>
            <w:tcW w:type="dxa" w:w="21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color w:val="1B7A46"/>
                <w:sz w:val="19"/>
                <w:szCs w:val="19"/>
              </w:rPr>
              <w:t xml:space="preserve">Implemented</w:t>
            </w:r>
          </w:p>
        </w:tc>
      </w:tr>
      <w:tr>
        <w:tc>
          <w:tcPr>
            <w:tcW w:type="dxa" w:w="27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Eligibility Config</w:t>
            </w:r>
          </w:p>
        </w:tc>
        <w:tc>
          <w:tcPr>
            <w:tcW w:type="dxa" w:w="45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When a student becomes eligible → published config</w:t>
            </w:r>
          </w:p>
        </w:tc>
        <w:tc>
          <w:tcPr>
            <w:tcW w:type="dxa" w:w="21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color w:val="1B7A46"/>
                <w:sz w:val="19"/>
                <w:szCs w:val="19"/>
              </w:rPr>
              <w:t xml:space="preserve">Implemented*</w:t>
            </w:r>
          </w:p>
        </w:tc>
      </w:tr>
      <w:tr>
        <w:tc>
          <w:tcPr>
            <w:tcW w:type="dxa" w:w="27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Partnership Route Link</w:t>
            </w:r>
          </w:p>
        </w:tc>
        <w:tc>
          <w:tcPr>
            <w:tcW w:type="dxa" w:w="45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Route-specific commission → default_commission_id</w:t>
            </w:r>
          </w:p>
        </w:tc>
        <w:tc>
          <w:tcPr>
            <w:tcW w:type="dxa" w:w="21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color w:val="1B7A46"/>
                <w:sz w:val="19"/>
                <w:szCs w:val="19"/>
              </w:rPr>
              <w:t xml:space="preserve">Implemented</w:t>
            </w:r>
          </w:p>
        </w:tc>
      </w:tr>
      <w:tr>
        <w:tc>
          <w:tcPr>
            <w:tcW w:type="dxa" w:w="27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Student Row Creation</w:t>
            </w:r>
          </w:p>
        </w:tc>
        <w:tc>
          <w:tcPr>
            <w:tcW w:type="dxa" w:w="45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Track per-student commission → upi_commission_students</w:t>
            </w:r>
          </w:p>
        </w:tc>
        <w:tc>
          <w:tcPr>
            <w:tcW w:type="dxa" w:w="21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color w:val="9A6A12"/>
                <w:sz w:val="19"/>
                <w:szCs w:val="19"/>
              </w:rPr>
              <w:t xml:space="preserve">Partial</w:t>
            </w:r>
          </w:p>
        </w:tc>
      </w:tr>
      <w:tr>
        <w:tc>
          <w:tcPr>
            <w:tcW w:type="dxa" w:w="27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Commission Calculation</w:t>
            </w:r>
          </w:p>
        </w:tc>
        <w:tc>
          <w:tcPr>
            <w:tcW w:type="dxa" w:w="45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Compute expected → expected_amount, matched_rule_id</w:t>
            </w:r>
          </w:p>
        </w:tc>
        <w:tc>
          <w:tcPr>
            <w:tcW w:type="dxa" w:w="21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color w:val="1B7A46"/>
                <w:sz w:val="19"/>
                <w:szCs w:val="19"/>
              </w:rPr>
              <w:t xml:space="preserve">Implemented</w:t>
            </w:r>
          </w:p>
        </w:tc>
      </w:tr>
      <w:tr>
        <w:tc>
          <w:tcPr>
            <w:tcW w:type="dxa" w:w="27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Eligibility Evaluation</w:t>
            </w:r>
          </w:p>
        </w:tc>
        <w:tc>
          <w:tcPr>
            <w:tcW w:type="dxa" w:w="45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Mark eligible → eligibility_status, snapshot</w:t>
            </w:r>
          </w:p>
        </w:tc>
        <w:tc>
          <w:tcPr>
            <w:tcW w:type="dxa" w:w="21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color w:val="1B7A46"/>
                <w:sz w:val="19"/>
                <w:szCs w:val="19"/>
              </w:rPr>
              <w:t xml:space="preserve">Implemented</w:t>
            </w:r>
          </w:p>
        </w:tc>
      </w:tr>
      <w:tr>
        <w:tc>
          <w:tcPr>
            <w:tcW w:type="dxa" w:w="27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Hold / Deferral</w:t>
            </w:r>
          </w:p>
        </w:tc>
        <w:tc>
          <w:tcPr>
            <w:tcW w:type="dxa" w:w="45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Block claim temporarily → hold_status=active</w:t>
            </w:r>
          </w:p>
        </w:tc>
        <w:tc>
          <w:tcPr>
            <w:tcW w:type="dxa" w:w="21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color w:val="1B7A46"/>
                <w:sz w:val="19"/>
                <w:szCs w:val="19"/>
              </w:rPr>
              <w:t xml:space="preserve">Implemented</w:t>
            </w:r>
          </w:p>
        </w:tc>
      </w:tr>
      <w:tr>
        <w:tc>
          <w:tcPr>
            <w:tcW w:type="dxa" w:w="27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Transfer</w:t>
            </w:r>
          </w:p>
        </w:tc>
        <w:tc>
          <w:tcPr>
            <w:tcW w:type="dxa" w:w="45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Route/institution change → transfer event + replacement</w:t>
            </w:r>
          </w:p>
        </w:tc>
        <w:tc>
          <w:tcPr>
            <w:tcW w:type="dxa" w:w="21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color w:val="1B7A46"/>
                <w:sz w:val="19"/>
                <w:szCs w:val="19"/>
              </w:rPr>
              <w:t xml:space="preserve">Implemented</w:t>
            </w:r>
          </w:p>
        </w:tc>
      </w:tr>
      <w:tr>
        <w:tc>
          <w:tcPr>
            <w:tcW w:type="dxa" w:w="27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Claim Creation</w:t>
            </w:r>
          </w:p>
        </w:tc>
        <w:tc>
          <w:tcPr>
            <w:tcW w:type="dxa" w:w="45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Submit eligible students → claim_status=submitted</w:t>
            </w:r>
          </w:p>
        </w:tc>
        <w:tc>
          <w:tcPr>
            <w:tcW w:type="dxa" w:w="21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color w:val="1B7A46"/>
                <w:sz w:val="19"/>
                <w:szCs w:val="19"/>
              </w:rPr>
              <w:t xml:space="preserve">Implemented</w:t>
            </w:r>
          </w:p>
        </w:tc>
      </w:tr>
      <w:tr>
        <w:tc>
          <w:tcPr>
            <w:tcW w:type="dxa" w:w="27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Invoice Generation</w:t>
            </w:r>
          </w:p>
        </w:tc>
        <w:tc>
          <w:tcPr>
            <w:tcW w:type="dxa" w:w="45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Bill institution → upi_commission_invoices + lines</w:t>
            </w:r>
          </w:p>
        </w:tc>
        <w:tc>
          <w:tcPr>
            <w:tcW w:type="dxa" w:w="21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color w:val="1B7A46"/>
                <w:sz w:val="19"/>
                <w:szCs w:val="19"/>
              </w:rPr>
              <w:t xml:space="preserve">Implemented</w:t>
            </w:r>
          </w:p>
        </w:tc>
      </w:tr>
      <w:tr>
        <w:tc>
          <w:tcPr>
            <w:tcW w:type="dxa" w:w="27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Receipt Posting</w:t>
            </w:r>
          </w:p>
        </w:tc>
        <w:tc>
          <w:tcPr>
            <w:tcW w:type="dxa" w:w="45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Record payment → posted receipt, payment_status</w:t>
            </w:r>
          </w:p>
        </w:tc>
        <w:tc>
          <w:tcPr>
            <w:tcW w:type="dxa" w:w="21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color w:val="1B7A46"/>
                <w:sz w:val="19"/>
                <w:szCs w:val="19"/>
              </w:rPr>
              <w:t xml:space="preserve">Implemented†</w:t>
            </w:r>
          </w:p>
        </w:tc>
      </w:tr>
      <w:tr>
        <w:tc>
          <w:tcPr>
            <w:tcW w:type="dxa" w:w="27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Aggregator Reconciliation</w:t>
            </w:r>
          </w:p>
        </w:tc>
        <w:tc>
          <w:tcPr>
            <w:tcW w:type="dxa" w:w="45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Match remittance → reconciled batch</w:t>
            </w:r>
          </w:p>
        </w:tc>
        <w:tc>
          <w:tcPr>
            <w:tcW w:type="dxa" w:w="21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color w:val="1B7A46"/>
                <w:sz w:val="19"/>
                <w:szCs w:val="19"/>
              </w:rPr>
              <w:t xml:space="preserve">Implemented</w:t>
            </w:r>
          </w:p>
        </w:tc>
      </w:tr>
      <w:tr>
        <w:tc>
          <w:tcPr>
            <w:tcW w:type="dxa" w:w="27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Finance (GL posting)</w:t>
            </w:r>
          </w:p>
        </w:tc>
        <w:tc>
          <w:tcPr>
            <w:tcW w:type="dxa" w:w="45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Posted receipts → accounting journals</w:t>
            </w:r>
          </w:p>
        </w:tc>
        <w:tc>
          <w:tcPr>
            <w:tcW w:type="dxa" w:w="21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color w:val="B23A3A"/>
                <w:sz w:val="19"/>
                <w:szCs w:val="19"/>
              </w:rPr>
              <w:t xml:space="preserve">Not Found</w:t>
            </w:r>
          </w:p>
        </w:tc>
      </w:tr>
      <w:tr>
        <w:tc>
          <w:tcPr>
            <w:tcW w:type="dxa" w:w="27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Performance Hub</w:t>
            </w:r>
          </w:p>
        </w:tc>
        <w:tc>
          <w:tcPr>
            <w:tcW w:type="dxa" w:w="45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Finance oversight → INR KPIs, ledger</w:t>
            </w:r>
          </w:p>
        </w:tc>
        <w:tc>
          <w:tcPr>
            <w:tcW w:type="dxa" w:w="21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color w:val="9A6A12"/>
                <w:sz w:val="19"/>
                <w:szCs w:val="19"/>
              </w:rPr>
              <w:t xml:space="preserve">Partial</w:t>
            </w:r>
          </w:p>
        </w:tc>
      </w:tr>
    </w:tbl>
    <w:p>
      <w:pPr>
        <w:spacing w:after="40" w:before="0" w:line="276"/>
      </w:pPr>
      <w:r>
        <w:rPr>
          <w:b/>
          <w:bCs/>
          <w:i w:val="false"/>
          <w:iCs w:val="false"/>
        </w:rPr>
        <w:t xml:space="preserve">* </w:t>
      </w:r>
      <w:r>
        <w:rPr>
          <w:b w:val="false"/>
          <w:bCs w:val="false"/>
          <w:i w:val="false"/>
          <w:iCs w:val="false"/>
        </w:rPr>
        <w:t xml:space="preserve">custom trigger type Not Implemented.  </w:t>
      </w:r>
      <w:r>
        <w:rPr>
          <w:b/>
          <w:bCs/>
          <w:i w:val="false"/>
          <w:iCs w:val="false"/>
        </w:rPr>
        <w:t xml:space="preserve">† </w:t>
      </w:r>
      <w:r>
        <w:rPr>
          <w:b w:val="false"/>
          <w:bCs w:val="false"/>
          <w:i w:val="false"/>
          <w:iCs w:val="false"/>
        </w:rPr>
        <w:t xml:space="preserve">no general-ledger journal created on post.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F6E5" w:sz="1"/>
              <w:left w:val="single" w:color="9A6A12" w:sz="18"/>
              <w:bottom w:val="single" w:color="FFF6E5" w:sz="1"/>
              <w:right w:val="single" w:color="FFF6E5" w:sz="1"/>
            </w:tcBorders>
            <w:shd w:fill="FFF6E5" w:val="clear"/>
            <w:tcMar>
              <w:top w:type="dxa" w:w="100"/>
              <w:left w:type="dxa" w:w="180"/>
              <w:bottom w:type="dxa" w:w="100"/>
              <w:right w:type="dxa" w:w="140"/>
            </w:tcMar>
          </w:tcPr>
          <w:p>
            <w:pPr>
              <w:spacing w:after="0" w:line="268"/>
            </w:pPr>
            <w:r>
              <w:rPr>
                <w:b/>
                <w:bCs/>
                <w:color w:val="9A6A12"/>
                <w:sz w:val="19"/>
                <w:szCs w:val="19"/>
              </w:rPr>
              <w:t xml:space="preserve">Manual, not event-driven:  </w:t>
            </w:r>
            <w:r>
              <w:rPr>
                <w:sz w:val="20"/>
                <w:szCs w:val="20"/>
              </w:rPr>
              <w:t xml:space="preserve">Student rows are created by manual entry or institution import; CRM/admission auto-creation is Not Found (the bridge is dormant). Claim creation and invoice generation are operator-initiated from the Claims panel rather than triggered automatically.</w:t>
            </w:r>
          </w:p>
        </w:tc>
      </w:tr>
    </w:tbl>
    <w:p>
      <w:r>
        <w:br w:type="page"/>
      </w:r>
    </w:p>
    <w:p>
      <w:pPr>
        <w:pStyle w:val="Heading1"/>
      </w:pPr>
      <w:r>
        <w:t xml:space="preserve">4. Backend Architecture</w:t>
      </w:r>
    </w:p>
    <w:p>
      <w:pPr>
        <w:spacing w:after="140" w:before="0" w:line="276"/>
      </w:pPr>
      <w:r>
        <w:rPr>
          <w:b w:val="false"/>
          <w:bCs w:val="false"/>
          <w:i w:val="false"/>
          <w:iCs w:val="false"/>
        </w:rPr>
        <w:t xml:space="preserve">The pattern is </w:t>
      </w:r>
      <w:r>
        <w:rPr>
          <w:b/>
          <w:bCs/>
          <w:i w:val="false"/>
          <w:iCs w:val="false"/>
        </w:rPr>
        <w:t xml:space="preserve">Supabase-first</w:t>
      </w:r>
      <w:r>
        <w:rPr>
          <w:b w:val="false"/>
          <w:bCs w:val="false"/>
          <w:i w:val="false"/>
          <w:iCs w:val="false"/>
        </w:rPr>
        <w:t xml:space="preserve">: React panels call the Supabase client directly for reads and invoke RPCs for writes. There are </w:t>
      </w:r>
      <w:r>
        <w:rPr>
          <w:b/>
          <w:bCs/>
          <w:i w:val="false"/>
          <w:iCs w:val="false"/>
        </w:rPr>
        <w:t xml:space="preserve">no dedicated commission REST controllers</w:t>
      </w:r>
      <w:r>
        <w:rPr>
          <w:b w:val="false"/>
          <w:bCs w:val="false"/>
          <w:i w:val="false"/>
          <w:iCs w:val="false"/>
        </w:rPr>
        <w:t xml:space="preserve"> (Not Found) and no separate service tier — “services” here are the React panel + repository/library + RPC groupings that own each domain.</w:t>
      </w:r>
    </w:p>
    <w:p>
      <w:pPr>
        <w:pStyle w:val="Heading2"/>
      </w:pPr>
      <w:r>
        <w:t xml:space="preserve">4.1 Service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50"/>
        <w:gridCol w:w="5010"/>
        <w:gridCol w:w="1900"/>
      </w:tblGrid>
      <w:tr>
        <w:trPr>
          <w:tblHeader/>
        </w:trPr>
        <w:tc>
          <w:tcPr>
            <w:tcW w:type="dxa" w:w="2450"/>
            <w:tcBorders>
              <w:top w:val="single" w:color="C9D2E3" w:sz="1"/>
              <w:left w:val="single" w:color="C9D2E3" w:sz="1"/>
              <w:bottom w:val="single" w:color="C9D2E3" w:sz="1"/>
              <w:right w:val="single" w:color="C9D2E3" w:sz="1"/>
            </w:tcBorders>
            <w:shd w:fill="1F2A5A" w:val="clear"/>
            <w:tcMar>
              <w:top w:type="dxa" w:w="60"/>
              <w:left w:type="dxa" w:w="110"/>
              <w:bottom w:type="dxa" w:w="60"/>
              <w:right w:type="dxa" w:w="110"/>
            </w:tcMar>
            <w:vAlign w:val="center"/>
          </w:tcPr>
          <w:p>
            <w:pPr>
              <w:spacing w:after="0" w:line="240"/>
            </w:pPr>
            <w:r>
              <w:rPr>
                <w:b/>
                <w:bCs/>
                <w:i w:val="false"/>
                <w:iCs w:val="false"/>
                <w:color w:val="FFFFFF"/>
                <w:sz w:val="18"/>
                <w:szCs w:val="18"/>
              </w:rPr>
              <w:t xml:space="preserve">Domain</w:t>
            </w:r>
          </w:p>
        </w:tc>
        <w:tc>
          <w:tcPr>
            <w:tcW w:type="dxa" w:w="5010"/>
            <w:tcBorders>
              <w:top w:val="single" w:color="C9D2E3" w:sz="1"/>
              <w:left w:val="single" w:color="C9D2E3" w:sz="1"/>
              <w:bottom w:val="single" w:color="C9D2E3" w:sz="1"/>
              <w:right w:val="single" w:color="C9D2E3" w:sz="1"/>
            </w:tcBorders>
            <w:shd w:fill="1F2A5A" w:val="clear"/>
            <w:tcMar>
              <w:top w:type="dxa" w:w="60"/>
              <w:left w:type="dxa" w:w="110"/>
              <w:bottom w:type="dxa" w:w="60"/>
              <w:right w:type="dxa" w:w="110"/>
            </w:tcMar>
            <w:vAlign w:val="center"/>
          </w:tcPr>
          <w:p>
            <w:pPr>
              <w:spacing w:after="0" w:line="240"/>
            </w:pPr>
            <w:r>
              <w:rPr>
                <w:b/>
                <w:bCs/>
                <w:i w:val="false"/>
                <w:iCs w:val="false"/>
                <w:color w:val="FFFFFF"/>
                <w:sz w:val="18"/>
                <w:szCs w:val="18"/>
              </w:rPr>
              <w:t xml:space="preserve">Files / entry point</w:t>
            </w:r>
          </w:p>
        </w:tc>
        <w:tc>
          <w:tcPr>
            <w:tcW w:type="dxa" w:w="1900"/>
            <w:tcBorders>
              <w:top w:val="single" w:color="C9D2E3" w:sz="1"/>
              <w:left w:val="single" w:color="C9D2E3" w:sz="1"/>
              <w:bottom w:val="single" w:color="C9D2E3" w:sz="1"/>
              <w:right w:val="single" w:color="C9D2E3" w:sz="1"/>
            </w:tcBorders>
            <w:shd w:fill="1F2A5A" w:val="clear"/>
            <w:tcMar>
              <w:top w:type="dxa" w:w="60"/>
              <w:left w:type="dxa" w:w="110"/>
              <w:bottom w:type="dxa" w:w="60"/>
              <w:right w:type="dxa" w:w="110"/>
            </w:tcMar>
            <w:vAlign w:val="center"/>
          </w:tcPr>
          <w:p>
            <w:pPr>
              <w:spacing w:after="0" w:line="240"/>
            </w:pPr>
            <w:r>
              <w:rPr>
                <w:b/>
                <w:bCs/>
                <w:i w:val="false"/>
                <w:iCs w:val="false"/>
                <w:color w:val="FFFFFF"/>
                <w:sz w:val="18"/>
                <w:szCs w:val="18"/>
              </w:rPr>
              <w:t xml:space="preserve">Status</w:t>
            </w:r>
          </w:p>
        </w:tc>
      </w:tr>
      <w:tr>
        <w:tc>
          <w:tcPr>
            <w:tcW w:type="dxa" w:w="245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Agreements</w:t>
            </w:r>
          </w:p>
        </w:tc>
        <w:tc>
          <w:tcPr>
            <w:tcW w:type="dxa" w:w="501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AgreementsPanel.tsx, agreementsRepo — Institution → Agreements</w:t>
            </w:r>
          </w:p>
        </w:tc>
        <w:tc>
          <w:tcPr>
            <w:tcW w:type="dxa" w:w="19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color w:val="1B7A46"/>
                <w:sz w:val="19"/>
                <w:szCs w:val="19"/>
              </w:rPr>
              <w:t xml:space="preserve">Implemented</w:t>
            </w:r>
          </w:p>
        </w:tc>
      </w:tr>
      <w:tr>
        <w:tc>
          <w:tcPr>
            <w:tcW w:type="dxa" w:w="245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Commission Plans</w:t>
            </w:r>
          </w:p>
        </w:tc>
        <w:tc>
          <w:tcPr>
            <w:tcW w:type="dxa" w:w="501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CommissionsPanel.tsx, commissionsRepo — Institution → Commissions</w:t>
            </w:r>
          </w:p>
        </w:tc>
        <w:tc>
          <w:tcPr>
            <w:tcW w:type="dxa" w:w="19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color w:val="1B7A46"/>
                <w:sz w:val="19"/>
                <w:szCs w:val="19"/>
              </w:rPr>
              <w:t xml:space="preserve">Implemented</w:t>
            </w:r>
          </w:p>
        </w:tc>
      </w:tr>
      <w:tr>
        <w:tc>
          <w:tcPr>
            <w:tcW w:type="dxa" w:w="245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Billing</w:t>
            </w:r>
          </w:p>
        </w:tc>
        <w:tc>
          <w:tcPr>
            <w:tcW w:type="dxa" w:w="501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BillingProfilesPanel.tsx — Institution → Billing</w:t>
            </w:r>
          </w:p>
        </w:tc>
        <w:tc>
          <w:tcPr>
            <w:tcW w:type="dxa" w:w="19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color w:val="1B7A46"/>
                <w:sz w:val="19"/>
                <w:szCs w:val="19"/>
              </w:rPr>
              <w:t xml:space="preserve">Implemented</w:t>
            </w:r>
          </w:p>
        </w:tc>
      </w:tr>
      <w:tr>
        <w:tc>
          <w:tcPr>
            <w:tcW w:type="dxa" w:w="245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Eligibility</w:t>
            </w:r>
          </w:p>
        </w:tc>
        <w:tc>
          <w:tcPr>
            <w:tcW w:type="dxa" w:w="501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EligibilityConfigPanel.tsx, commissionEligibilityEvaluator.ts</w:t>
            </w:r>
          </w:p>
        </w:tc>
        <w:tc>
          <w:tcPr>
            <w:tcW w:type="dxa" w:w="19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color w:val="9A6A12"/>
                <w:sz w:val="19"/>
                <w:szCs w:val="19"/>
              </w:rPr>
              <w:t xml:space="preserve">Implemented (gap)</w:t>
            </w:r>
          </w:p>
        </w:tc>
      </w:tr>
      <w:tr>
        <w:tc>
          <w:tcPr>
            <w:tcW w:type="dxa" w:w="245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Claims</w:t>
            </w:r>
          </w:p>
        </w:tc>
        <w:tc>
          <w:tcPr>
            <w:tcW w:type="dxa" w:w="501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ClaimsPanel.tsx, claimCyclesRepo, studentsRepo</w:t>
            </w:r>
          </w:p>
        </w:tc>
        <w:tc>
          <w:tcPr>
            <w:tcW w:type="dxa" w:w="19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color w:val="1B7A46"/>
                <w:sz w:val="19"/>
                <w:szCs w:val="19"/>
              </w:rPr>
              <w:t xml:space="preserve">Implemented</w:t>
            </w:r>
          </w:p>
        </w:tc>
      </w:tr>
      <w:tr>
        <w:tc>
          <w:tcPr>
            <w:tcW w:type="dxa" w:w="245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Calculations</w:t>
            </w:r>
          </w:p>
        </w:tc>
        <w:tc>
          <w:tcPr>
            <w:tcW w:type="dxa" w:w="501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commissionEngine.ts, commissionRuleResolver.ts</w:t>
            </w:r>
          </w:p>
        </w:tc>
        <w:tc>
          <w:tcPr>
            <w:tcW w:type="dxa" w:w="19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color w:val="1B7A46"/>
                <w:sz w:val="19"/>
                <w:szCs w:val="19"/>
              </w:rPr>
              <w:t xml:space="preserve">Implemented</w:t>
            </w:r>
          </w:p>
        </w:tc>
      </w:tr>
      <w:tr>
        <w:tc>
          <w:tcPr>
            <w:tcW w:type="dxa" w:w="245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Lifecycle</w:t>
            </w:r>
          </w:p>
        </w:tc>
        <w:tc>
          <w:tcPr>
            <w:tcW w:type="dxa" w:w="501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CommissionLifecycleDialog.tsx, Phase 1 RPCs</w:t>
            </w:r>
          </w:p>
        </w:tc>
        <w:tc>
          <w:tcPr>
            <w:tcW w:type="dxa" w:w="19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color w:val="1B7A46"/>
                <w:sz w:val="19"/>
                <w:szCs w:val="19"/>
              </w:rPr>
              <w:t xml:space="preserve">Implemented</w:t>
            </w:r>
          </w:p>
        </w:tc>
      </w:tr>
      <w:tr>
        <w:tc>
          <w:tcPr>
            <w:tcW w:type="dxa" w:w="245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Invoicing</w:t>
            </w:r>
          </w:p>
        </w:tc>
        <w:tc>
          <w:tcPr>
            <w:tcW w:type="dxa" w:w="501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ClaimsPanel.tsx (generate invoice)</w:t>
            </w:r>
          </w:p>
        </w:tc>
        <w:tc>
          <w:tcPr>
            <w:tcW w:type="dxa" w:w="19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color w:val="1B7A46"/>
                <w:sz w:val="19"/>
                <w:szCs w:val="19"/>
              </w:rPr>
              <w:t xml:space="preserve">Implemented</w:t>
            </w:r>
          </w:p>
        </w:tc>
      </w:tr>
      <w:tr>
        <w:tc>
          <w:tcPr>
            <w:tcW w:type="dxa" w:w="245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Receipts</w:t>
            </w:r>
          </w:p>
        </w:tc>
        <w:tc>
          <w:tcPr>
            <w:tcW w:type="dxa" w:w="501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CommissionReceiptsPanel.tsx, CommissionReceiptWizard.tsx, RPCs</w:t>
            </w:r>
          </w:p>
        </w:tc>
        <w:tc>
          <w:tcPr>
            <w:tcW w:type="dxa" w:w="19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color w:val="1B7A46"/>
                <w:sz w:val="19"/>
                <w:szCs w:val="19"/>
              </w:rPr>
              <w:t xml:space="preserve">Implemented</w:t>
            </w:r>
          </w:p>
        </w:tc>
      </w:tr>
      <w:tr>
        <w:tc>
          <w:tcPr>
            <w:tcW w:type="dxa" w:w="245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Aggregator</w:t>
            </w:r>
          </w:p>
        </w:tc>
        <w:tc>
          <w:tcPr>
            <w:tcW w:type="dxa" w:w="501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AggregatorWorkbenchPage.tsx, aggregator RPCs</w:t>
            </w:r>
          </w:p>
        </w:tc>
        <w:tc>
          <w:tcPr>
            <w:tcW w:type="dxa" w:w="19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color w:val="9A6A12"/>
                <w:sz w:val="19"/>
                <w:szCs w:val="19"/>
              </w:rPr>
              <w:t xml:space="preserve">Implemented (types)</w:t>
            </w:r>
          </w:p>
        </w:tc>
      </w:tr>
      <w:tr>
        <w:tc>
          <w:tcPr>
            <w:tcW w:type="dxa" w:w="245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Institution Integration</w:t>
            </w:r>
          </w:p>
        </w:tc>
        <w:tc>
          <w:tcPr>
            <w:tcW w:type="dxa" w:w="501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PartnershipRoutesPanel.tsx, InstitutionDetailPage.tsx</w:t>
            </w:r>
          </w:p>
        </w:tc>
        <w:tc>
          <w:tcPr>
            <w:tcW w:type="dxa" w:w="19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color w:val="1B7A46"/>
                <w:sz w:val="19"/>
                <w:szCs w:val="19"/>
              </w:rPr>
              <w:t xml:space="preserve">Implemented</w:t>
            </w:r>
          </w:p>
        </w:tc>
      </w:tr>
      <w:tr>
        <w:tc>
          <w:tcPr>
            <w:tcW w:type="dxa" w:w="245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Student Integration</w:t>
            </w:r>
          </w:p>
        </w:tc>
        <w:tc>
          <w:tcPr>
            <w:tcW w:type="dxa" w:w="501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ClientCommissionStatusPanel.tsx, v_client_commission_status</w:t>
            </w:r>
          </w:p>
        </w:tc>
        <w:tc>
          <w:tcPr>
            <w:tcW w:type="dxa" w:w="19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color w:val="9A6A12"/>
                <w:sz w:val="19"/>
                <w:szCs w:val="19"/>
              </w:rPr>
              <w:t xml:space="preserve">Partial</w:t>
            </w:r>
          </w:p>
        </w:tc>
      </w:tr>
      <w:tr>
        <w:tc>
          <w:tcPr>
            <w:tcW w:type="dxa" w:w="245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CRM Integration</w:t>
            </w:r>
          </w:p>
        </w:tc>
        <w:tc>
          <w:tcPr>
            <w:tcW w:type="dxa" w:w="501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planned/clientIntegrationBridge.ts (not imported at runtime)</w:t>
            </w:r>
          </w:p>
        </w:tc>
        <w:tc>
          <w:tcPr>
            <w:tcW w:type="dxa" w:w="19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color w:val="B23A3A"/>
                <w:sz w:val="19"/>
                <w:szCs w:val="19"/>
              </w:rPr>
              <w:t xml:space="preserve">Stub / dormant</w:t>
            </w:r>
          </w:p>
        </w:tc>
      </w:tr>
      <w:tr>
        <w:tc>
          <w:tcPr>
            <w:tcW w:type="dxa" w:w="245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Finance Integration</w:t>
            </w:r>
          </w:p>
        </w:tc>
        <w:tc>
          <w:tcPr>
            <w:tcW w:type="dxa" w:w="501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Receipt accounting_journal_id column</w:t>
            </w:r>
          </w:p>
        </w:tc>
        <w:tc>
          <w:tcPr>
            <w:tcW w:type="dxa" w:w="19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color w:val="B23A3A"/>
                <w:sz w:val="19"/>
                <w:szCs w:val="19"/>
              </w:rPr>
              <w:t xml:space="preserve">Not implemented</w:t>
            </w:r>
          </w:p>
        </w:tc>
      </w:tr>
      <w:tr>
        <w:tc>
          <w:tcPr>
            <w:tcW w:type="dxa" w:w="245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Performance Hub</w:t>
            </w:r>
          </w:p>
        </w:tc>
        <w:tc>
          <w:tcPr>
            <w:tcW w:type="dxa" w:w="501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PerformanceCommissions.tsx, commissionTrackingCmsLogic.ts</w:t>
            </w:r>
          </w:p>
        </w:tc>
        <w:tc>
          <w:tcPr>
            <w:tcW w:type="dxa" w:w="19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color w:val="9A6A12"/>
                <w:sz w:val="19"/>
                <w:szCs w:val="19"/>
              </w:rPr>
              <w:t xml:space="preserve">Read-only</w:t>
            </w:r>
          </w:p>
        </w:tc>
      </w:tr>
      <w:tr>
        <w:tc>
          <w:tcPr>
            <w:tcW w:type="dxa" w:w="245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Referral / B2B</w:t>
            </w:r>
          </w:p>
        </w:tc>
        <w:tc>
          <w:tcPr>
            <w:tcW w:type="dxa" w:w="501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w:t>
            </w:r>
          </w:p>
        </w:tc>
        <w:tc>
          <w:tcPr>
            <w:tcW w:type="dxa" w:w="19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color w:val="B23A3A"/>
                <w:sz w:val="19"/>
                <w:szCs w:val="19"/>
              </w:rPr>
              <w:t xml:space="preserve">Not Found</w:t>
            </w:r>
          </w:p>
        </w:tc>
      </w:tr>
      <w:tr>
        <w:tc>
          <w:tcPr>
            <w:tcW w:type="dxa" w:w="245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AI Extraction</w:t>
            </w:r>
          </w:p>
        </w:tc>
        <w:tc>
          <w:tcPr>
            <w:tcW w:type="dxa" w:w="501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supabase/functions/upi-extract-commission-sheet/</w:t>
            </w:r>
          </w:p>
        </w:tc>
        <w:tc>
          <w:tcPr>
            <w:tcW w:type="dxa" w:w="19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color w:val="1B7A46"/>
                <w:sz w:val="19"/>
                <w:szCs w:val="19"/>
              </w:rPr>
              <w:t xml:space="preserve">Implemented</w:t>
            </w:r>
          </w:p>
        </w:tc>
      </w:tr>
    </w:tbl>
    <w:p>
      <w:pPr>
        <w:pStyle w:val="Heading2"/>
      </w:pPr>
      <w:r>
        <w:t xml:space="preserve">4.2 Edge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9D2E3" w:sz="1"/>
              <w:left w:val="single" w:color="C9D2E3" w:sz="1"/>
              <w:bottom w:val="single" w:color="C9D2E3" w:sz="1"/>
              <w:right w:val="single" w:color="C9D2E3" w:sz="1"/>
            </w:tcBorders>
            <w:shd w:fill="1F2A5A" w:val="clear"/>
            <w:tcMar>
              <w:top w:type="dxa" w:w="60"/>
              <w:left w:type="dxa" w:w="110"/>
              <w:bottom w:type="dxa" w:w="60"/>
              <w:right w:type="dxa" w:w="110"/>
            </w:tcMar>
            <w:vAlign w:val="center"/>
          </w:tcPr>
          <w:p>
            <w:pPr>
              <w:spacing w:after="0" w:line="240"/>
            </w:pPr>
            <w:r>
              <w:rPr>
                <w:b/>
                <w:bCs/>
                <w:i w:val="false"/>
                <w:iCs w:val="false"/>
                <w:color w:val="FFFFFF"/>
                <w:sz w:val="18"/>
                <w:szCs w:val="18"/>
              </w:rPr>
              <w:t xml:space="preserve">Function</w:t>
            </w:r>
          </w:p>
        </w:tc>
        <w:tc>
          <w:tcPr>
            <w:tcW w:type="dxa" w:w="5760"/>
            <w:tcBorders>
              <w:top w:val="single" w:color="C9D2E3" w:sz="1"/>
              <w:left w:val="single" w:color="C9D2E3" w:sz="1"/>
              <w:bottom w:val="single" w:color="C9D2E3" w:sz="1"/>
              <w:right w:val="single" w:color="C9D2E3" w:sz="1"/>
            </w:tcBorders>
            <w:shd w:fill="1F2A5A" w:val="clear"/>
            <w:tcMar>
              <w:top w:type="dxa" w:w="60"/>
              <w:left w:type="dxa" w:w="110"/>
              <w:bottom w:type="dxa" w:w="60"/>
              <w:right w:type="dxa" w:w="110"/>
            </w:tcMar>
            <w:vAlign w:val="center"/>
          </w:tcPr>
          <w:p>
            <w:pPr>
              <w:spacing w:after="0" w:line="240"/>
            </w:pPr>
            <w:r>
              <w:rPr>
                <w:b/>
                <w:bCs/>
                <w:i w:val="false"/>
                <w:iCs w:val="false"/>
                <w:color w:val="FFFFFF"/>
                <w:sz w:val="18"/>
                <w:szCs w:val="18"/>
              </w:rPr>
              <w:t xml:space="preserve">Purpose</w:t>
            </w:r>
          </w:p>
        </w:tc>
      </w:tr>
      <w:tr>
        <w:tc>
          <w:tcPr>
            <w:tcW w:type="dxa" w:w="36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upi-extract-commission-sheet</w:t>
            </w:r>
          </w:p>
        </w:tc>
        <w:tc>
          <w:tcPr>
            <w:tcW w:type="dxa" w:w="57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AI extraction of commission terms from uploaded sheets</w:t>
            </w:r>
          </w:p>
        </w:tc>
      </w:tr>
      <w:tr>
        <w:tc>
          <w:tcPr>
            <w:tcW w:type="dxa" w:w="36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upi-analyze-agreement</w:t>
            </w:r>
          </w:p>
        </w:tc>
        <w:tc>
          <w:tcPr>
            <w:tcW w:type="dxa" w:w="57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Agreement analysis (commission-adjacent)</w:t>
            </w:r>
          </w:p>
        </w:tc>
      </w:tr>
    </w:tbl>
    <w:p>
      <w:pPr>
        <w:pStyle w:val="Heading2"/>
      </w:pPr>
      <w:r>
        <w:t xml:space="preserve">4.3 Background jobs, scheduled tasks &amp; event listeners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9D2E3" w:sz="1"/>
              <w:left w:val="single" w:color="C9D2E3" w:sz="1"/>
              <w:bottom w:val="single" w:color="C9D2E3" w:sz="1"/>
              <w:right w:val="single" w:color="C9D2E3" w:sz="1"/>
            </w:tcBorders>
            <w:shd w:fill="1F2A5A" w:val="clear"/>
            <w:tcMar>
              <w:top w:type="dxa" w:w="60"/>
              <w:left w:type="dxa" w:w="110"/>
              <w:bottom w:type="dxa" w:w="60"/>
              <w:right w:type="dxa" w:w="110"/>
            </w:tcMar>
            <w:vAlign w:val="center"/>
          </w:tcPr>
          <w:p>
            <w:pPr>
              <w:spacing w:after="0" w:line="240"/>
            </w:pPr>
            <w:r>
              <w:rPr>
                <w:b/>
                <w:bCs/>
                <w:i w:val="false"/>
                <w:iCs w:val="false"/>
                <w:color w:val="FFFFFF"/>
                <w:sz w:val="18"/>
                <w:szCs w:val="18"/>
              </w:rPr>
              <w:t xml:space="preserve">Type</w:t>
            </w:r>
          </w:p>
        </w:tc>
        <w:tc>
          <w:tcPr>
            <w:tcW w:type="dxa" w:w="5160"/>
            <w:tcBorders>
              <w:top w:val="single" w:color="C9D2E3" w:sz="1"/>
              <w:left w:val="single" w:color="C9D2E3" w:sz="1"/>
              <w:bottom w:val="single" w:color="C9D2E3" w:sz="1"/>
              <w:right w:val="single" w:color="C9D2E3" w:sz="1"/>
            </w:tcBorders>
            <w:shd w:fill="1F2A5A" w:val="clear"/>
            <w:tcMar>
              <w:top w:type="dxa" w:w="60"/>
              <w:left w:type="dxa" w:w="110"/>
              <w:bottom w:type="dxa" w:w="60"/>
              <w:right w:type="dxa" w:w="110"/>
            </w:tcMar>
            <w:vAlign w:val="center"/>
          </w:tcPr>
          <w:p>
            <w:pPr>
              <w:spacing w:after="0" w:line="240"/>
            </w:pPr>
            <w:r>
              <w:rPr>
                <w:b/>
                <w:bCs/>
                <w:i w:val="false"/>
                <w:iCs w:val="false"/>
                <w:color w:val="FFFFFF"/>
                <w:sz w:val="18"/>
                <w:szCs w:val="18"/>
              </w:rPr>
              <w:t xml:space="preserve">Status</w:t>
            </w:r>
          </w:p>
        </w:tc>
      </w:tr>
      <w:tr>
        <w:tc>
          <w:tcPr>
            <w:tcW w:type="dxa" w:w="42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pg_cron commission jobs</w:t>
            </w:r>
          </w:p>
        </w:tc>
        <w:tc>
          <w:tcPr>
            <w:tcW w:type="dxa" w:w="51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color w:val="B23A3A"/>
                <w:sz w:val="19"/>
                <w:szCs w:val="19"/>
              </w:rPr>
              <w:t xml:space="preserve">Not Found</w:t>
            </w:r>
          </w:p>
        </w:tc>
      </w:tr>
      <w:tr>
        <w:tc>
          <w:tcPr>
            <w:tcW w:type="dxa" w:w="42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Queue workers</w:t>
            </w:r>
          </w:p>
        </w:tc>
        <w:tc>
          <w:tcPr>
            <w:tcW w:type="dxa" w:w="51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color w:val="B23A3A"/>
                <w:sz w:val="19"/>
                <w:szCs w:val="19"/>
              </w:rPr>
              <w:t xml:space="preserve">Not Found</w:t>
            </w:r>
          </w:p>
        </w:tc>
      </w:tr>
      <w:tr>
        <w:tc>
          <w:tcPr>
            <w:tcW w:type="dxa" w:w="42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CRM event listeners (visa, tuition, enrollment)</w:t>
            </w:r>
          </w:p>
        </w:tc>
        <w:tc>
          <w:tcPr>
            <w:tcW w:type="dxa" w:w="51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color w:val="9A6A12"/>
                <w:sz w:val="19"/>
                <w:szCs w:val="19"/>
              </w:rPr>
              <w:t xml:space="preserve">Stub only — clientIntegrationBridge.ts (BRIDGE_ENABLED=false)</w:t>
            </w:r>
          </w:p>
        </w:tc>
      </w:tr>
    </w:tbl>
    <w:p>
      <w:pPr>
        <w:spacing w:after="80"/>
      </w:pPr>
      <w:r>
        <w:t xml:space="preserve"/>
      </w:r>
    </w:p>
    <w:p>
      <w:pPr>
        <w:spacing w:after="140" w:before="0" w:line="276"/>
      </w:pPr>
      <w:r>
        <w:rPr>
          <w:b/>
          <w:bCs/>
          <w:i w:val="false"/>
          <w:iCs w:val="false"/>
        </w:rPr>
        <w:t xml:space="preserve">Implication: </w:t>
      </w:r>
      <w:r>
        <w:rPr>
          <w:b w:val="false"/>
          <w:bCs w:val="false"/>
          <w:i w:val="false"/>
          <w:iCs w:val="false"/>
        </w:rPr>
        <w:t xml:space="preserve">the module has no autonomous background processing. Every state transition — recalculation, eligibility evaluation, claim submission, invoice generation, receipt posting — is initiated by an operator action in the UI, which calls an RPC synchronously.</w:t>
      </w:r>
    </w:p>
    <w:p>
      <w:r>
        <w:br w:type="page"/>
      </w:r>
    </w:p>
    <w:p>
      <w:pPr>
        <w:pStyle w:val="Heading1"/>
      </w:pPr>
      <w:r>
        <w:t xml:space="preserve">5. Frontend Architecture</w:t>
      </w:r>
    </w:p>
    <w:p>
      <w:pPr>
        <w:pStyle w:val="Heading2"/>
      </w:pPr>
      <w:r>
        <w:t xml:space="preserve">5.1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2860"/>
        <w:gridCol w:w="2600"/>
      </w:tblGrid>
      <w:tr>
        <w:trPr>
          <w:tblHeader/>
        </w:trPr>
        <w:tc>
          <w:tcPr>
            <w:tcW w:type="dxa" w:w="3900"/>
            <w:tcBorders>
              <w:top w:val="single" w:color="C9D2E3" w:sz="1"/>
              <w:left w:val="single" w:color="C9D2E3" w:sz="1"/>
              <w:bottom w:val="single" w:color="C9D2E3" w:sz="1"/>
              <w:right w:val="single" w:color="C9D2E3" w:sz="1"/>
            </w:tcBorders>
            <w:shd w:fill="1F2A5A" w:val="clear"/>
            <w:tcMar>
              <w:top w:type="dxa" w:w="60"/>
              <w:left w:type="dxa" w:w="110"/>
              <w:bottom w:type="dxa" w:w="60"/>
              <w:right w:type="dxa" w:w="110"/>
            </w:tcMar>
            <w:vAlign w:val="center"/>
          </w:tcPr>
          <w:p>
            <w:pPr>
              <w:spacing w:after="0" w:line="240"/>
            </w:pPr>
            <w:r>
              <w:rPr>
                <w:b/>
                <w:bCs/>
                <w:i w:val="false"/>
                <w:iCs w:val="false"/>
                <w:color w:val="FFFFFF"/>
                <w:sz w:val="18"/>
                <w:szCs w:val="18"/>
              </w:rPr>
              <w:t xml:space="preserve">Route</w:t>
            </w:r>
          </w:p>
        </w:tc>
        <w:tc>
          <w:tcPr>
            <w:tcW w:type="dxa" w:w="2860"/>
            <w:tcBorders>
              <w:top w:val="single" w:color="C9D2E3" w:sz="1"/>
              <w:left w:val="single" w:color="C9D2E3" w:sz="1"/>
              <w:bottom w:val="single" w:color="C9D2E3" w:sz="1"/>
              <w:right w:val="single" w:color="C9D2E3" w:sz="1"/>
            </w:tcBorders>
            <w:shd w:fill="1F2A5A" w:val="clear"/>
            <w:tcMar>
              <w:top w:type="dxa" w:w="60"/>
              <w:left w:type="dxa" w:w="110"/>
              <w:bottom w:type="dxa" w:w="60"/>
              <w:right w:type="dxa" w:w="110"/>
            </w:tcMar>
            <w:vAlign w:val="center"/>
          </w:tcPr>
          <w:p>
            <w:pPr>
              <w:spacing w:after="0" w:line="240"/>
            </w:pPr>
            <w:r>
              <w:rPr>
                <w:b/>
                <w:bCs/>
                <w:i w:val="false"/>
                <w:iCs w:val="false"/>
                <w:color w:val="FFFFFF"/>
                <w:sz w:val="18"/>
                <w:szCs w:val="18"/>
              </w:rPr>
              <w:t xml:space="preserve">Component</w:t>
            </w:r>
          </w:p>
        </w:tc>
        <w:tc>
          <w:tcPr>
            <w:tcW w:type="dxa" w:w="2600"/>
            <w:tcBorders>
              <w:top w:val="single" w:color="C9D2E3" w:sz="1"/>
              <w:left w:val="single" w:color="C9D2E3" w:sz="1"/>
              <w:bottom w:val="single" w:color="C9D2E3" w:sz="1"/>
              <w:right w:val="single" w:color="C9D2E3" w:sz="1"/>
            </w:tcBorders>
            <w:shd w:fill="1F2A5A" w:val="clear"/>
            <w:tcMar>
              <w:top w:type="dxa" w:w="60"/>
              <w:left w:type="dxa" w:w="110"/>
              <w:bottom w:type="dxa" w:w="60"/>
              <w:right w:type="dxa" w:w="110"/>
            </w:tcMar>
            <w:vAlign w:val="center"/>
          </w:tcPr>
          <w:p>
            <w:pPr>
              <w:spacing w:after="0" w:line="240"/>
            </w:pPr>
            <w:r>
              <w:rPr>
                <w:b/>
                <w:bCs/>
                <w:i w:val="false"/>
                <w:iCs w:val="false"/>
                <w:color w:val="FFFFFF"/>
                <w:sz w:val="18"/>
                <w:szCs w:val="18"/>
              </w:rPr>
              <w:t xml:space="preserve">Access</w:t>
            </w:r>
          </w:p>
        </w:tc>
      </w:tr>
      <w:tr>
        <w:tc>
          <w:tcPr>
            <w:tcW w:type="dxa" w:w="39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rFonts w:ascii="Consolas" w:cs="Consolas" w:eastAsia="Consolas" w:hAnsi="Consolas"/>
                <w:b w:val="false"/>
                <w:bCs w:val="false"/>
                <w:i w:val="false"/>
                <w:iCs w:val="false"/>
                <w:sz w:val="18"/>
                <w:szCs w:val="18"/>
              </w:rPr>
              <w:t xml:space="preserve">/commissions</w:t>
            </w:r>
          </w:p>
        </w:tc>
        <w:tc>
          <w:tcPr>
            <w:tcW w:type="dxa" w:w="28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CommissionsPage</w:t>
            </w:r>
          </w:p>
        </w:tc>
        <w:tc>
          <w:tcPr>
            <w:tcW w:type="dxa" w:w="26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CommissionsProtectedRoute</w:t>
            </w:r>
          </w:p>
        </w:tc>
      </w:tr>
      <w:tr>
        <w:tc>
          <w:tcPr>
            <w:tcW w:type="dxa" w:w="39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rFonts w:ascii="Consolas" w:cs="Consolas" w:eastAsia="Consolas" w:hAnsi="Consolas"/>
                <w:b w:val="false"/>
                <w:bCs w:val="false"/>
                <w:i w:val="false"/>
                <w:iCs w:val="false"/>
                <w:sz w:val="18"/>
                <w:szCs w:val="18"/>
              </w:rPr>
              <w:t xml:space="preserve">/institutions/:id</w:t>
            </w:r>
          </w:p>
        </w:tc>
        <w:tc>
          <w:tcPr>
            <w:tcW w:type="dxa" w:w="28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InstitutionDetailPage (tabs)</w:t>
            </w:r>
          </w:p>
        </w:tc>
        <w:tc>
          <w:tcPr>
            <w:tcW w:type="dxa" w:w="26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isCommissionAdmin || isAccountingMember</w:t>
            </w:r>
          </w:p>
        </w:tc>
      </w:tr>
      <w:tr>
        <w:tc>
          <w:tcPr>
            <w:tcW w:type="dxa" w:w="39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rFonts w:ascii="Consolas" w:cs="Consolas" w:eastAsia="Consolas" w:hAnsi="Consolas"/>
                <w:b w:val="false"/>
                <w:bCs w:val="false"/>
                <w:i w:val="false"/>
                <w:iCs w:val="false"/>
                <w:sz w:val="18"/>
                <w:szCs w:val="18"/>
              </w:rPr>
              <w:t xml:space="preserve">/institutions/aggregators/:aggregatorId/workbench</w:t>
            </w:r>
          </w:p>
        </w:tc>
        <w:tc>
          <w:tcPr>
            <w:tcW w:type="dxa" w:w="28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AggregatorWorkbenchPage</w:t>
            </w:r>
          </w:p>
        </w:tc>
        <w:tc>
          <w:tcPr>
            <w:tcW w:type="dxa" w:w="26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CommissionsProtectedRoute</w:t>
            </w:r>
          </w:p>
        </w:tc>
      </w:tr>
      <w:tr>
        <w:tc>
          <w:tcPr>
            <w:tcW w:type="dxa" w:w="39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rFonts w:ascii="Consolas" w:cs="Consolas" w:eastAsia="Consolas" w:hAnsi="Consolas"/>
                <w:b w:val="false"/>
                <w:bCs w:val="false"/>
                <w:i w:val="false"/>
                <w:iCs w:val="false"/>
                <w:sz w:val="18"/>
                <w:szCs w:val="18"/>
              </w:rPr>
              <w:t xml:space="preserve">/performance/commissions</w:t>
            </w:r>
          </w:p>
        </w:tc>
        <w:tc>
          <w:tcPr>
            <w:tcW w:type="dxa" w:w="28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PerformanceCommissions</w:t>
            </w:r>
          </w:p>
        </w:tc>
        <w:tc>
          <w:tcPr>
            <w:tcW w:type="dxa" w:w="26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Admin/director/manager/viewer</w:t>
            </w:r>
          </w:p>
        </w:tc>
      </w:tr>
    </w:tbl>
    <w:p>
      <w:pPr>
        <w:spacing w:after="140" w:before="0" w:line="276"/>
      </w:pPr>
      <w:r>
        <w:rPr>
          <w:b/>
          <w:bCs/>
          <w:i w:val="false"/>
          <w:iCs w:val="false"/>
        </w:rPr>
        <w:t xml:space="preserve">Sidebar: </w:t>
      </w:r>
      <w:r>
        <w:rPr>
          <w:b w:val="false"/>
          <w:bCs w:val="false"/>
          <w:i w:val="false"/>
          <w:iCs w:val="false"/>
        </w:rPr>
        <w:t xml:space="preserve">AppLayout.tsx renders a “Commissions” section → /commissions when useModulePermission(“commissions”).canView is true.</w:t>
      </w:r>
    </w:p>
    <w:p>
      <w:pPr>
        <w:pStyle w:val="Heading2"/>
      </w:pPr>
      <w:r>
        <w:t xml:space="preserve">5.2 Institution workspace screens (/institutions/:id)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50"/>
        <w:gridCol w:w="3200"/>
        <w:gridCol w:w="4510"/>
      </w:tblGrid>
      <w:tr>
        <w:trPr>
          <w:tblHeader/>
        </w:trPr>
        <w:tc>
          <w:tcPr>
            <w:tcW w:type="dxa" w:w="1650"/>
            <w:tcBorders>
              <w:top w:val="single" w:color="C9D2E3" w:sz="1"/>
              <w:left w:val="single" w:color="C9D2E3" w:sz="1"/>
              <w:bottom w:val="single" w:color="C9D2E3" w:sz="1"/>
              <w:right w:val="single" w:color="C9D2E3" w:sz="1"/>
            </w:tcBorders>
            <w:shd w:fill="1F2A5A" w:val="clear"/>
            <w:tcMar>
              <w:top w:type="dxa" w:w="60"/>
              <w:left w:type="dxa" w:w="110"/>
              <w:bottom w:type="dxa" w:w="60"/>
              <w:right w:type="dxa" w:w="110"/>
            </w:tcMar>
            <w:vAlign w:val="center"/>
          </w:tcPr>
          <w:p>
            <w:pPr>
              <w:spacing w:after="0" w:line="240"/>
            </w:pPr>
            <w:r>
              <w:rPr>
                <w:b/>
                <w:bCs/>
                <w:i w:val="false"/>
                <w:iCs w:val="false"/>
                <w:color w:val="FFFFFF"/>
                <w:sz w:val="18"/>
                <w:szCs w:val="18"/>
              </w:rPr>
              <w:t xml:space="preserve">Tab</w:t>
            </w:r>
          </w:p>
        </w:tc>
        <w:tc>
          <w:tcPr>
            <w:tcW w:type="dxa" w:w="3200"/>
            <w:tcBorders>
              <w:top w:val="single" w:color="C9D2E3" w:sz="1"/>
              <w:left w:val="single" w:color="C9D2E3" w:sz="1"/>
              <w:bottom w:val="single" w:color="C9D2E3" w:sz="1"/>
              <w:right w:val="single" w:color="C9D2E3" w:sz="1"/>
            </w:tcBorders>
            <w:shd w:fill="1F2A5A" w:val="clear"/>
            <w:tcMar>
              <w:top w:type="dxa" w:w="60"/>
              <w:left w:type="dxa" w:w="110"/>
              <w:bottom w:type="dxa" w:w="60"/>
              <w:right w:type="dxa" w:w="110"/>
            </w:tcMar>
            <w:vAlign w:val="center"/>
          </w:tcPr>
          <w:p>
            <w:pPr>
              <w:spacing w:after="0" w:line="240"/>
            </w:pPr>
            <w:r>
              <w:rPr>
                <w:b/>
                <w:bCs/>
                <w:i w:val="false"/>
                <w:iCs w:val="false"/>
                <w:color w:val="FFFFFF"/>
                <w:sz w:val="18"/>
                <w:szCs w:val="18"/>
              </w:rPr>
              <w:t xml:space="preserve">Component(s)</w:t>
            </w:r>
          </w:p>
        </w:tc>
        <w:tc>
          <w:tcPr>
            <w:tcW w:type="dxa" w:w="4510"/>
            <w:tcBorders>
              <w:top w:val="single" w:color="C9D2E3" w:sz="1"/>
              <w:left w:val="single" w:color="C9D2E3" w:sz="1"/>
              <w:bottom w:val="single" w:color="C9D2E3" w:sz="1"/>
              <w:right w:val="single" w:color="C9D2E3" w:sz="1"/>
            </w:tcBorders>
            <w:shd w:fill="1F2A5A" w:val="clear"/>
            <w:tcMar>
              <w:top w:type="dxa" w:w="60"/>
              <w:left w:type="dxa" w:w="110"/>
              <w:bottom w:type="dxa" w:w="60"/>
              <w:right w:type="dxa" w:w="110"/>
            </w:tcMar>
            <w:vAlign w:val="center"/>
          </w:tcPr>
          <w:p>
            <w:pPr>
              <w:spacing w:after="0" w:line="240"/>
            </w:pPr>
            <w:r>
              <w:rPr>
                <w:b/>
                <w:bCs/>
                <w:i w:val="false"/>
                <w:iCs w:val="false"/>
                <w:color w:val="FFFFFF"/>
                <w:sz w:val="18"/>
                <w:szCs w:val="18"/>
              </w:rPr>
              <w:t xml:space="preserve">Functionality • Missing</w:t>
            </w:r>
          </w:p>
        </w:tc>
      </w:tr>
      <w:tr>
        <w:tc>
          <w:tcPr>
            <w:tcW w:type="dxa" w:w="165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Overview</w:t>
            </w:r>
          </w:p>
        </w:tc>
        <w:tc>
          <w:tcPr>
            <w:tcW w:type="dxa" w:w="32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OverviewPanel</w:t>
            </w:r>
          </w:p>
        </w:tc>
        <w:tc>
          <w:tcPr>
            <w:tcW w:type="dxa" w:w="451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Recent claim-cycles summary • not a dedicated commission overview</w:t>
            </w:r>
          </w:p>
        </w:tc>
      </w:tr>
      <w:tr>
        <w:tc>
          <w:tcPr>
            <w:tcW w:type="dxa" w:w="165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Billing</w:t>
            </w:r>
          </w:p>
        </w:tc>
        <w:tc>
          <w:tcPr>
            <w:tcW w:type="dxa" w:w="32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BillingProfilesPanel</w:t>
            </w:r>
          </w:p>
        </w:tc>
        <w:tc>
          <w:tcPr>
            <w:tcW w:type="dxa" w:w="451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Profile CRUD, default profile • —</w:t>
            </w:r>
          </w:p>
        </w:tc>
      </w:tr>
      <w:tr>
        <w:tc>
          <w:tcPr>
            <w:tcW w:type="dxa" w:w="165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Eligibility</w:t>
            </w:r>
          </w:p>
        </w:tc>
        <w:tc>
          <w:tcPr>
            <w:tcW w:type="dxa" w:w="32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EligibilityConfigPanel</w:t>
            </w:r>
          </w:p>
        </w:tc>
        <w:tc>
          <w:tcPr>
            <w:tcW w:type="dxa" w:w="451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Create/publish configs • custom-trigger UI</w:t>
            </w:r>
          </w:p>
        </w:tc>
      </w:tr>
      <w:tr>
        <w:tc>
          <w:tcPr>
            <w:tcW w:type="dxa" w:w="165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Agreements</w:t>
            </w:r>
          </w:p>
        </w:tc>
        <w:tc>
          <w:tcPr>
            <w:tcW w:type="dxa" w:w="32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AgreementsPanel</w:t>
            </w:r>
          </w:p>
        </w:tc>
        <w:tc>
          <w:tcPr>
            <w:tcW w:type="dxa" w:w="451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Agreement CRUD, version history • —</w:t>
            </w:r>
          </w:p>
        </w:tc>
      </w:tr>
      <w:tr>
        <w:tc>
          <w:tcPr>
            <w:tcW w:type="dxa" w:w="165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Commissions</w:t>
            </w:r>
          </w:p>
        </w:tc>
        <w:tc>
          <w:tcPr>
            <w:tcW w:type="dxa" w:w="32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CommissionsPanel</w:t>
            </w:r>
          </w:p>
        </w:tc>
        <w:tc>
          <w:tcPr>
            <w:tcW w:type="dxa" w:w="451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Rules, conflict detection, simulator, publish • dedicated plan wizard</w:t>
            </w:r>
          </w:p>
        </w:tc>
      </w:tr>
      <w:tr>
        <w:tc>
          <w:tcPr>
            <w:tcW w:type="dxa" w:w="165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Claims</w:t>
            </w:r>
          </w:p>
        </w:tc>
        <w:tc>
          <w:tcPr>
            <w:tcW w:type="dxa" w:w="32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ClaimsPanel + CommissionLifecycleDialog</w:t>
            </w:r>
          </w:p>
        </w:tc>
        <w:tc>
          <w:tcPr>
            <w:tcW w:type="dxa" w:w="451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Recalc, eligible, hold, transfer, submit, invoice, export • manual client-link UI</w:t>
            </w:r>
          </w:p>
        </w:tc>
      </w:tr>
      <w:tr>
        <w:tc>
          <w:tcPr>
            <w:tcW w:type="dxa" w:w="165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Receipts</w:t>
            </w:r>
          </w:p>
        </w:tc>
        <w:tc>
          <w:tcPr>
            <w:tcW w:type="dxa" w:w="32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CommissionReceiptsPanel + CommissionReceiptWizard</w:t>
            </w:r>
          </w:p>
        </w:tc>
        <w:tc>
          <w:tcPr>
            <w:tcW w:type="dxa" w:w="451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List, create wizard, post, void • —</w:t>
            </w:r>
          </w:p>
        </w:tc>
      </w:tr>
    </w:tbl>
    <w:p>
      <w:pPr>
        <w:pStyle w:val="Heading2"/>
      </w:pPr>
      <w:r>
        <w:t xml:space="preserve">5.3 Global, Performance Hub, aggregator &amp; CRM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60"/>
        <w:gridCol w:w="2700"/>
      </w:tblGrid>
      <w:tr>
        <w:trPr>
          <w:tblHeader/>
        </w:trPr>
        <w:tc>
          <w:tcPr>
            <w:tcW w:type="dxa" w:w="2400"/>
            <w:tcBorders>
              <w:top w:val="single" w:color="C9D2E3" w:sz="1"/>
              <w:left w:val="single" w:color="C9D2E3" w:sz="1"/>
              <w:bottom w:val="single" w:color="C9D2E3" w:sz="1"/>
              <w:right w:val="single" w:color="C9D2E3" w:sz="1"/>
            </w:tcBorders>
            <w:shd w:fill="1F2A5A" w:val="clear"/>
            <w:tcMar>
              <w:top w:type="dxa" w:w="60"/>
              <w:left w:type="dxa" w:w="110"/>
              <w:bottom w:type="dxa" w:w="60"/>
              <w:right w:type="dxa" w:w="110"/>
            </w:tcMar>
            <w:vAlign w:val="center"/>
          </w:tcPr>
          <w:p>
            <w:pPr>
              <w:spacing w:after="0" w:line="240"/>
            </w:pPr>
            <w:r>
              <w:rPr>
                <w:b/>
                <w:bCs/>
                <w:i w:val="false"/>
                <w:iCs w:val="false"/>
                <w:color w:val="FFFFFF"/>
                <w:sz w:val="18"/>
                <w:szCs w:val="18"/>
              </w:rPr>
              <w:t xml:space="preserve">Screen</w:t>
            </w:r>
          </w:p>
        </w:tc>
        <w:tc>
          <w:tcPr>
            <w:tcW w:type="dxa" w:w="4260"/>
            <w:tcBorders>
              <w:top w:val="single" w:color="C9D2E3" w:sz="1"/>
              <w:left w:val="single" w:color="C9D2E3" w:sz="1"/>
              <w:bottom w:val="single" w:color="C9D2E3" w:sz="1"/>
              <w:right w:val="single" w:color="C9D2E3" w:sz="1"/>
            </w:tcBorders>
            <w:shd w:fill="1F2A5A" w:val="clear"/>
            <w:tcMar>
              <w:top w:type="dxa" w:w="60"/>
              <w:left w:type="dxa" w:w="110"/>
              <w:bottom w:type="dxa" w:w="60"/>
              <w:right w:type="dxa" w:w="110"/>
            </w:tcMar>
            <w:vAlign w:val="center"/>
          </w:tcPr>
          <w:p>
            <w:pPr>
              <w:spacing w:after="0" w:line="240"/>
            </w:pPr>
            <w:r>
              <w:rPr>
                <w:b/>
                <w:bCs/>
                <w:i w:val="false"/>
                <w:iCs w:val="false"/>
                <w:color w:val="FFFFFF"/>
                <w:sz w:val="18"/>
                <w:szCs w:val="18"/>
              </w:rPr>
              <w:t xml:space="preserve">Route / location</w:t>
            </w:r>
          </w:p>
        </w:tc>
        <w:tc>
          <w:tcPr>
            <w:tcW w:type="dxa" w:w="2700"/>
            <w:tcBorders>
              <w:top w:val="single" w:color="C9D2E3" w:sz="1"/>
              <w:left w:val="single" w:color="C9D2E3" w:sz="1"/>
              <w:bottom w:val="single" w:color="C9D2E3" w:sz="1"/>
              <w:right w:val="single" w:color="C9D2E3" w:sz="1"/>
            </w:tcBorders>
            <w:shd w:fill="1F2A5A" w:val="clear"/>
            <w:tcMar>
              <w:top w:type="dxa" w:w="60"/>
              <w:left w:type="dxa" w:w="110"/>
              <w:bottom w:type="dxa" w:w="60"/>
              <w:right w:type="dxa" w:w="110"/>
            </w:tcMar>
            <w:vAlign w:val="center"/>
          </w:tcPr>
          <w:p>
            <w:pPr>
              <w:spacing w:after="0" w:line="240"/>
            </w:pPr>
            <w:r>
              <w:rPr>
                <w:b/>
                <w:bCs/>
                <w:i w:val="false"/>
                <w:iCs w:val="false"/>
                <w:color w:val="FFFFFF"/>
                <w:sz w:val="18"/>
                <w:szCs w:val="18"/>
              </w:rPr>
              <w:t xml:space="preserve">Status</w:t>
            </w:r>
          </w:p>
        </w:tc>
      </w:tr>
      <w:tr>
        <w:tc>
          <w:tcPr>
            <w:tcW w:type="dxa" w:w="24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Dashboard</w:t>
            </w:r>
          </w:p>
        </w:tc>
        <w:tc>
          <w:tcPr>
            <w:tcW w:type="dxa" w:w="42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/commissions</w:t>
            </w:r>
          </w:p>
        </w:tc>
        <w:tc>
          <w:tcPr>
            <w:tcW w:type="dxa" w:w="27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color w:val="9A6A12"/>
                <w:sz w:val="19"/>
                <w:szCs w:val="19"/>
              </w:rPr>
              <w:t xml:space="preserve">Partial — invoice counts + claim-cycles table only</w:t>
            </w:r>
          </w:p>
        </w:tc>
      </w:tr>
      <w:tr>
        <w:tc>
          <w:tcPr>
            <w:tcW w:type="dxa" w:w="24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Claim Cycles</w:t>
            </w:r>
          </w:p>
        </w:tc>
        <w:tc>
          <w:tcPr>
            <w:tcW w:type="dxa" w:w="42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/commissions + institution Claims tab</w:t>
            </w:r>
          </w:p>
        </w:tc>
        <w:tc>
          <w:tcPr>
            <w:tcW w:type="dxa" w:w="27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color w:val="9A6A12"/>
                <w:sz w:val="19"/>
                <w:szCs w:val="19"/>
              </w:rPr>
              <w:t xml:space="preserve">Partial — global list read-only</w:t>
            </w:r>
          </w:p>
        </w:tc>
      </w:tr>
      <w:tr>
        <w:tc>
          <w:tcPr>
            <w:tcW w:type="dxa" w:w="24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Pending Claims</w:t>
            </w:r>
          </w:p>
        </w:tc>
        <w:tc>
          <w:tcPr>
            <w:tcW w:type="dxa" w:w="42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w:t>
            </w:r>
          </w:p>
        </w:tc>
        <w:tc>
          <w:tcPr>
            <w:tcW w:type="dxa" w:w="27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color w:val="B23A3A"/>
                <w:sz w:val="19"/>
                <w:szCs w:val="19"/>
              </w:rPr>
              <w:t xml:space="preserve">Not Found (standalone)</w:t>
            </w:r>
          </w:p>
        </w:tc>
      </w:tr>
      <w:tr>
        <w:tc>
          <w:tcPr>
            <w:tcW w:type="dxa" w:w="24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Reports</w:t>
            </w:r>
          </w:p>
        </w:tc>
        <w:tc>
          <w:tcPr>
            <w:tcW w:type="dxa" w:w="42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w:t>
            </w:r>
          </w:p>
        </w:tc>
        <w:tc>
          <w:tcPr>
            <w:tcW w:type="dxa" w:w="27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color w:val="B23A3A"/>
                <w:sz w:val="19"/>
                <w:szCs w:val="19"/>
              </w:rPr>
              <w:t xml:space="preserve">Not Found</w:t>
            </w:r>
          </w:p>
        </w:tc>
      </w:tr>
      <w:tr>
        <w:tc>
          <w:tcPr>
            <w:tcW w:type="dxa" w:w="24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Administration</w:t>
            </w:r>
          </w:p>
        </w:tc>
        <w:tc>
          <w:tcPr>
            <w:tcW w:type="dxa" w:w="42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w:t>
            </w:r>
          </w:p>
        </w:tc>
        <w:tc>
          <w:tcPr>
            <w:tcW w:type="dxa" w:w="27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color w:val="B23A3A"/>
                <w:sz w:val="19"/>
                <w:szCs w:val="19"/>
              </w:rPr>
              <w:t xml:space="preserve">Not Found (commission-specific)</w:t>
            </w:r>
          </w:p>
        </w:tc>
      </w:tr>
      <w:tr>
        <w:tc>
          <w:tcPr>
            <w:tcW w:type="dxa" w:w="24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Commission CMS</w:t>
            </w:r>
          </w:p>
        </w:tc>
        <w:tc>
          <w:tcPr>
            <w:tcW w:type="dxa" w:w="42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/performance/commissions</w:t>
            </w:r>
          </w:p>
        </w:tc>
        <w:tc>
          <w:tcPr>
            <w:tcW w:type="dxa" w:w="27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color w:val="1B7A46"/>
                <w:sz w:val="19"/>
                <w:szCs w:val="19"/>
              </w:rPr>
              <w:t xml:space="preserve">Read-only ledger + KPIs</w:t>
            </w:r>
          </w:p>
        </w:tc>
      </w:tr>
      <w:tr>
        <w:tc>
          <w:tcPr>
            <w:tcW w:type="dxa" w:w="24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Aggregator Workbench</w:t>
            </w:r>
          </w:p>
        </w:tc>
        <w:tc>
          <w:tcPr>
            <w:tcW w:type="dxa" w:w="42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/institutions/aggregators/:id/workbench</w:t>
            </w:r>
          </w:p>
        </w:tc>
        <w:tc>
          <w:tcPr>
            <w:tcW w:type="dxa" w:w="27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color w:val="1B7A46"/>
                <w:sz w:val="19"/>
                <w:szCs w:val="19"/>
              </w:rPr>
              <w:t xml:space="preserve">KPIs, claims, batches, reconciliation</w:t>
            </w:r>
          </w:p>
        </w:tc>
      </w:tr>
      <w:tr>
        <w:tc>
          <w:tcPr>
            <w:tcW w:type="dxa" w:w="24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Client commission status</w:t>
            </w:r>
          </w:p>
        </w:tc>
        <w:tc>
          <w:tcPr>
            <w:tcW w:type="dxa" w:w="42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Client detail (Payments area)</w:t>
            </w:r>
          </w:p>
        </w:tc>
        <w:tc>
          <w:tcPr>
            <w:tcW w:type="dxa" w:w="27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color w:val="1B7A46"/>
                <w:sz w:val="19"/>
                <w:szCs w:val="19"/>
              </w:rPr>
              <w:t xml:space="preserve">Counselor-safe, no amounts</w:t>
            </w:r>
          </w:p>
        </w:tc>
      </w:tr>
    </w:tbl>
    <w:p>
      <w:pPr>
        <w:pStyle w:val="Heading2"/>
      </w:pPr>
      <w:r>
        <w:t xml:space="preserve">5.4 Screen hierarchy map</w:t>
      </w:r>
    </w:p>
    <w:p>
      <w:pPr>
        <w:pBdr>
          <w:left w:val="single" w:color="6D4AC0" w:sz="18" w:space="6"/>
        </w:pBdr>
        <w:shd w:fill="F5F6FA" w:val="clear"/>
        <w:spacing w:after="40" w:before="40" w:line="240"/>
      </w:pPr>
      <w:r>
        <w:rPr>
          <w:rFonts w:ascii="Consolas" w:cs="Consolas" w:eastAsia="Consolas" w:hAnsi="Consolas"/>
          <w:sz w:val="17"/>
          <w:szCs w:val="17"/>
        </w:rPr>
        <w:t xml:space="preserve">App</w:t>
      </w:r>
      <w:r>
        <w:rPr>
          <w:rFonts w:ascii="Consolas" w:cs="Consolas" w:eastAsia="Consolas" w:hAnsi="Consolas"/>
          <w:sz w:val="17"/>
          <w:szCs w:val="17"/>
        </w:rPr>
        <w:br/>
        <w:t xml:space="preserve">├─ Sidebar: Commissions → /commissions</w:t>
      </w:r>
      <w:r>
        <w:rPr>
          <w:rFonts w:ascii="Consolas" w:cs="Consolas" w:eastAsia="Consolas" w:hAnsi="Consolas"/>
          <w:sz w:val="17"/>
          <w:szCs w:val="17"/>
        </w:rPr>
        <w:br/>
        <w:t xml:space="preserve">│   └─ CommissionsPage (Dashboard — summary only)</w:t>
      </w:r>
      <w:r>
        <w:rPr>
          <w:rFonts w:ascii="Consolas" w:cs="Consolas" w:eastAsia="Consolas" w:hAnsi="Consolas"/>
          <w:sz w:val="17"/>
          <w:szCs w:val="17"/>
        </w:rPr>
        <w:br/>
        <w:t xml:space="preserve">│       ├─ Invoices by status (cards)</w:t>
      </w:r>
      <w:r>
        <w:rPr>
          <w:rFonts w:ascii="Consolas" w:cs="Consolas" w:eastAsia="Consolas" w:hAnsi="Consolas"/>
          <w:sz w:val="17"/>
          <w:szCs w:val="17"/>
        </w:rPr>
        <w:br/>
        <w:t xml:space="preserve">│       └─ Claim cycles (read-only table)</w:t>
      </w:r>
      <w:r>
        <w:rPr>
          <w:rFonts w:ascii="Consolas" w:cs="Consolas" w:eastAsia="Consolas" w:hAnsi="Consolas"/>
          <w:sz w:val="17"/>
          <w:szCs w:val="17"/>
        </w:rPr>
        <w:br/>
        <w:t xml:space="preserve">├─ Institutions → /institutions/:id</w:t>
      </w:r>
      <w:r>
        <w:rPr>
          <w:rFonts w:ascii="Consolas" w:cs="Consolas" w:eastAsia="Consolas" w:hAnsi="Consolas"/>
          <w:sz w:val="17"/>
          <w:szCs w:val="17"/>
        </w:rPr>
        <w:br/>
        <w:t xml:space="preserve">│   ├─ Overview (recent claim cycles snippet)</w:t>
      </w:r>
      <w:r>
        <w:rPr>
          <w:rFonts w:ascii="Consolas" w:cs="Consolas" w:eastAsia="Consolas" w:hAnsi="Consolas"/>
          <w:sz w:val="17"/>
          <w:szCs w:val="17"/>
        </w:rPr>
        <w:br/>
        <w:t xml:space="preserve">│   ├─ [Gated] Billing     → BillingProfilesPanel</w:t>
      </w:r>
      <w:r>
        <w:rPr>
          <w:rFonts w:ascii="Consolas" w:cs="Consolas" w:eastAsia="Consolas" w:hAnsi="Consolas"/>
          <w:sz w:val="17"/>
          <w:szCs w:val="17"/>
        </w:rPr>
        <w:br/>
        <w:t xml:space="preserve">│   ├─ [Gated] Eligibility → EligibilityConfigPanel</w:t>
      </w:r>
      <w:r>
        <w:rPr>
          <w:rFonts w:ascii="Consolas" w:cs="Consolas" w:eastAsia="Consolas" w:hAnsi="Consolas"/>
          <w:sz w:val="17"/>
          <w:szCs w:val="17"/>
        </w:rPr>
        <w:br/>
        <w:t xml:space="preserve">│   ├─ [Gated] Agreements  → AgreementsPanel</w:t>
      </w:r>
      <w:r>
        <w:rPr>
          <w:rFonts w:ascii="Consolas" w:cs="Consolas" w:eastAsia="Consolas" w:hAnsi="Consolas"/>
          <w:sz w:val="17"/>
          <w:szCs w:val="17"/>
        </w:rPr>
        <w:br/>
        <w:t xml:space="preserve">│   ├─ [Gated] Commissions → CommissionsPanel</w:t>
      </w:r>
      <w:r>
        <w:rPr>
          <w:rFonts w:ascii="Consolas" w:cs="Consolas" w:eastAsia="Consolas" w:hAnsi="Consolas"/>
          <w:sz w:val="17"/>
          <w:szCs w:val="17"/>
        </w:rPr>
        <w:br/>
        <w:t xml:space="preserve">│   ├─ [Gated] Claims      → ClaimsPanel</w:t>
      </w:r>
      <w:r>
        <w:rPr>
          <w:rFonts w:ascii="Consolas" w:cs="Consolas" w:eastAsia="Consolas" w:hAnsi="Consolas"/>
          <w:sz w:val="17"/>
          <w:szCs w:val="17"/>
        </w:rPr>
        <w:br/>
        <w:t xml:space="preserve">│   │                        └─ CommissionLifecycleDialog (modal)</w:t>
      </w:r>
      <w:r>
        <w:rPr>
          <w:rFonts w:ascii="Consolas" w:cs="Consolas" w:eastAsia="Consolas" w:hAnsi="Consolas"/>
          <w:sz w:val="17"/>
          <w:szCs w:val="17"/>
        </w:rPr>
        <w:br/>
        <w:t xml:space="preserve">│   └─ [Gated] Receipts    → CommissionReceiptsPanel</w:t>
      </w:r>
      <w:r>
        <w:rPr>
          <w:rFonts w:ascii="Consolas" w:cs="Consolas" w:eastAsia="Consolas" w:hAnsi="Consolas"/>
          <w:sz w:val="17"/>
          <w:szCs w:val="17"/>
        </w:rPr>
        <w:br/>
        <w:t xml:space="preserve">│                            └─ CommissionReceiptWizard (multi-step)</w:t>
      </w:r>
      <w:r>
        <w:rPr>
          <w:rFonts w:ascii="Consolas" w:cs="Consolas" w:eastAsia="Consolas" w:hAnsi="Consolas"/>
          <w:sz w:val="17"/>
          <w:szCs w:val="17"/>
        </w:rPr>
        <w:br/>
        <w:t xml:space="preserve">├─ Aggregators → /institutions/aggregators/:id/workbench</w:t>
      </w:r>
      <w:r>
        <w:rPr>
          <w:rFonts w:ascii="Consolas" w:cs="Consolas" w:eastAsia="Consolas" w:hAnsi="Consolas"/>
          <w:sz w:val="17"/>
          <w:szCs w:val="17"/>
        </w:rPr>
        <w:br/>
        <w:t xml:space="preserve">│   └─ AggregatorWorkbenchPage (KPIs, Claims, Batches, Reconciliation)</w:t>
      </w:r>
      <w:r>
        <w:rPr>
          <w:rFonts w:ascii="Consolas" w:cs="Consolas" w:eastAsia="Consolas" w:hAnsi="Consolas"/>
          <w:sz w:val="17"/>
          <w:szCs w:val="17"/>
        </w:rPr>
        <w:br/>
        <w:t xml:space="preserve">├─ Performance Hub → /performance/commissions</w:t>
      </w:r>
      <w:r>
        <w:rPr>
          <w:rFonts w:ascii="Consolas" w:cs="Consolas" w:eastAsia="Consolas" w:hAnsi="Consolas"/>
          <w:sz w:val="17"/>
          <w:szCs w:val="17"/>
        </w:rPr>
        <w:br/>
        <w:t xml:space="preserve">│   └─ PerformanceCommissions (read-only ledger + KPIs)</w:t>
      </w:r>
      <w:r>
        <w:rPr>
          <w:rFonts w:ascii="Consolas" w:cs="Consolas" w:eastAsia="Consolas" w:hAnsi="Consolas"/>
          <w:sz w:val="17"/>
          <w:szCs w:val="17"/>
        </w:rPr>
        <w:br/>
        <w:t xml:space="preserve">└─ Clients → Client detail</w:t>
      </w:r>
      <w:r>
        <w:rPr>
          <w:rFonts w:ascii="Consolas" w:cs="Consolas" w:eastAsia="Consolas" w:hAnsi="Consolas"/>
          <w:sz w:val="17"/>
          <w:szCs w:val="17"/>
        </w:rPr>
        <w:br/>
        <w:t xml:space="preserve">    └─ ClientCommissionStatusPanel (counselor-safe, no amounts)</w:t>
      </w:r>
    </w:p>
    <w:p>
      <w:pPr>
        <w:spacing w:after="80"/>
      </w:pPr>
      <w:r>
        <w:t xml:space="preserve"/>
      </w:r>
    </w:p>
    <w:p>
      <w:pPr>
        <w:spacing w:after="140" w:before="0" w:line="276"/>
      </w:pPr>
      <w:r>
        <w:rPr>
          <w:b/>
          <w:bCs/>
          <w:i w:val="false"/>
          <w:iCs w:val="false"/>
        </w:rPr>
        <w:t xml:space="preserve">Not Found as implemented screens: </w:t>
      </w:r>
      <w:r>
        <w:rPr>
          <w:b w:val="false"/>
          <w:bCs w:val="false"/>
          <w:i w:val="false"/>
          <w:iCs w:val="false"/>
          <w:color w:val="B23A3A"/>
        </w:rPr>
        <w:t xml:space="preserve">Commission Reports, Commission Administration, Pending Claims (standalone).</w:t>
      </w:r>
    </w:p>
    <w:p>
      <w:r>
        <w:br w:type="page"/>
      </w:r>
    </w:p>
    <w:p>
      <w:pPr>
        <w:pStyle w:val="Heading1"/>
      </w:pPr>
      <w:r>
        <w:t xml:space="preserve">6. Existing Business Logic</w:t>
      </w:r>
    </w:p>
    <w:p>
      <w:pPr>
        <w:spacing w:after="140" w:before="0" w:line="276"/>
      </w:pPr>
      <w:r>
        <w:rPr>
          <w:b w:val="false"/>
          <w:bCs w:val="false"/>
          <w:i w:val="false"/>
          <w:iCs w:val="false"/>
        </w:rPr>
        <w:t xml:space="preserve">Business rules are implemented twice by design: pure TypeScript functions power the client-side simulator and previews, while SQL RPCs are the authoritative source of truth for persisted writes. The two are intended to mirror each other.</w:t>
      </w:r>
    </w:p>
    <w:p>
      <w:pPr>
        <w:pStyle w:val="Heading2"/>
      </w:pPr>
      <w:r>
        <w:t xml:space="preserve">6.1 Rule resolution precedence</w:t>
      </w:r>
    </w:p>
    <w:p>
      <w:pPr>
        <w:spacing w:after="140" w:before="0" w:line="276"/>
      </w:pPr>
      <w:r>
        <w:rPr>
          <w:b/>
          <w:bCs/>
          <w:i w:val="false"/>
          <w:iCs w:val="false"/>
        </w:rPr>
        <w:t xml:space="preserve">Evidence: </w:t>
      </w:r>
      <w:r>
        <w:rPr>
          <w:b w:val="false"/>
          <w:bCs w:val="false"/>
          <w:i w:val="false"/>
          <w:iCs w:val="false"/>
        </w:rPr>
        <w:t xml:space="preserve">commissionRuleResolver.ts and fn_resolve_commission_rule. Rules are matched most-specific-first:</w:t>
      </w:r>
    </w:p>
    <w:p>
      <w:pPr>
        <w:spacing w:after="140" w:before="0" w:line="276"/>
      </w:pPr>
      <w:r>
        <w:rPr>
          <w:b/>
          <w:bCs/>
          <w:i w:val="false"/>
          <w:iCs w:val="false"/>
        </w:rPr>
        <w:t xml:space="preserve">Promotion → Intake → Program → Category → Campus → Country → Default.</w:t>
      </w:r>
    </w:p>
    <w:p>
      <w:pPr>
        <w:spacing w:after="140" w:before="0" w:line="276"/>
      </w:pPr>
      <w:r>
        <w:rPr>
          <w:b w:val="false"/>
          <w:bCs w:val="false"/>
          <w:i w:val="false"/>
          <w:iCs w:val="false"/>
        </w:rPr>
        <w:t xml:space="preserve">Commission selection resolves the partnership route’s default_commission_id first; if absent, it falls back to the institution’s active commission by effective_from.</w:t>
      </w:r>
    </w:p>
    <w:p>
      <w:pPr>
        <w:pStyle w:val="Heading2"/>
      </w:pPr>
      <w:r>
        <w:t xml:space="preserve">6.2 Commission calculation</w:t>
      </w:r>
    </w:p>
    <w:p>
      <w:pPr>
        <w:spacing w:after="140" w:before="0" w:line="276"/>
      </w:pPr>
      <w:r>
        <w:rPr>
          <w:b/>
          <w:bCs/>
          <w:i w:val="false"/>
          <w:iCs w:val="false"/>
        </w:rPr>
        <w:t xml:space="preserve">Evidence: </w:t>
      </w:r>
      <w:r>
        <w:rPr>
          <w:b w:val="false"/>
          <w:bCs w:val="false"/>
          <w:i w:val="false"/>
          <w:iCs w:val="false"/>
        </w:rPr>
        <w:t xml:space="preserve">commissionEngine.ts.</w:t>
      </w:r>
    </w:p>
    <w:p>
      <w:pPr>
        <w:pStyle w:val="ListParagraph"/>
        <w:numPr>
          <w:ilvl w:val="0"/>
          <w:numId w:val="2"/>
        </w:numPr>
        <w:spacing w:after="60" w:line="264"/>
      </w:pPr>
      <w:r>
        <w:rPr>
          <w:b w:val="false"/>
          <w:bCs w:val="false"/>
          <w:i w:val="false"/>
          <w:iCs w:val="false"/>
        </w:rPr>
        <w:t xml:space="preserve">Base: tuition × (base_rate_percent / 100).</w:t>
      </w:r>
    </w:p>
    <w:p>
      <w:pPr>
        <w:pStyle w:val="ListParagraph"/>
        <w:numPr>
          <w:ilvl w:val="0"/>
          <w:numId w:val="2"/>
        </w:numPr>
        <w:spacing w:after="60" w:line="264"/>
      </w:pPr>
      <w:r>
        <w:rPr>
          <w:b w:val="false"/>
          <w:bCs w:val="false"/>
          <w:i w:val="false"/>
          <w:iCs w:val="false"/>
        </w:rPr>
        <w:t xml:space="preserve">Rule payout types: fixed, percentage, multiplier.</w:t>
      </w:r>
    </w:p>
    <w:p>
      <w:pPr>
        <w:pStyle w:val="ListParagraph"/>
        <w:numPr>
          <w:ilvl w:val="0"/>
          <w:numId w:val="2"/>
        </w:numPr>
        <w:spacing w:after="60" w:line="264"/>
      </w:pPr>
      <w:r>
        <w:rPr>
          <w:b w:val="false"/>
          <w:bCs w:val="false"/>
          <w:i w:val="false"/>
          <w:iCs w:val="false"/>
        </w:rPr>
        <w:t xml:space="preserve">Slab tiers match on student_count against min_value / max_value.</w:t>
      </w:r>
    </w:p>
    <w:p>
      <w:pPr>
        <w:pStyle w:val="ListParagraph"/>
        <w:numPr>
          <w:ilvl w:val="0"/>
          <w:numId w:val="2"/>
        </w:numPr>
        <w:spacing w:after="60" w:line="264"/>
      </w:pPr>
      <w:r>
        <w:rPr>
          <w:b w:val="false"/>
          <w:bCs w:val="false"/>
          <w:i w:val="false"/>
          <w:iCs w:val="false"/>
        </w:rPr>
        <w:t xml:space="preserve">Conditional rules match condition_field/operator/value using =, !=, &gt;, &lt;, in.</w:t>
      </w:r>
    </w:p>
    <w:p>
      <w:pPr>
        <w:pStyle w:val="Heading2"/>
      </w:pPr>
      <w:r>
        <w:t xml:space="preserve">6.3 Eligibility</w:t>
      </w:r>
    </w:p>
    <w:p>
      <w:pPr>
        <w:spacing w:after="140" w:before="0" w:line="276"/>
      </w:pPr>
      <w:r>
        <w:rPr>
          <w:b/>
          <w:bCs/>
          <w:i w:val="false"/>
          <w:iCs w:val="false"/>
        </w:rPr>
        <w:t xml:space="preserve">Evidence: </w:t>
      </w:r>
      <w:r>
        <w:rPr>
          <w:b w:val="false"/>
          <w:bCs w:val="false"/>
          <w:i w:val="false"/>
          <w:iCs w:val="false"/>
        </w:rPr>
        <w:t xml:space="preserve">commissionEligibilityEvaluator.ts, fn_evaluate_eligibility.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9D2E3" w:sz="1"/>
              <w:left w:val="single" w:color="C9D2E3" w:sz="1"/>
              <w:bottom w:val="single" w:color="C9D2E3" w:sz="1"/>
              <w:right w:val="single" w:color="C9D2E3" w:sz="1"/>
            </w:tcBorders>
            <w:shd w:fill="1F2A5A" w:val="clear"/>
            <w:tcMar>
              <w:top w:type="dxa" w:w="60"/>
              <w:left w:type="dxa" w:w="110"/>
              <w:bottom w:type="dxa" w:w="60"/>
              <w:right w:type="dxa" w:w="110"/>
            </w:tcMar>
            <w:vAlign w:val="center"/>
          </w:tcPr>
          <w:p>
            <w:pPr>
              <w:spacing w:after="0" w:line="240"/>
            </w:pPr>
            <w:r>
              <w:rPr>
                <w:b/>
                <w:bCs/>
                <w:i w:val="false"/>
                <w:iCs w:val="false"/>
                <w:color w:val="FFFFFF"/>
                <w:sz w:val="18"/>
                <w:szCs w:val="18"/>
              </w:rPr>
              <w:t xml:space="preserve">Trigger</w:t>
            </w:r>
          </w:p>
        </w:tc>
        <w:tc>
          <w:tcPr>
            <w:tcW w:type="dxa" w:w="6960"/>
            <w:tcBorders>
              <w:top w:val="single" w:color="C9D2E3" w:sz="1"/>
              <w:left w:val="single" w:color="C9D2E3" w:sz="1"/>
              <w:bottom w:val="single" w:color="C9D2E3" w:sz="1"/>
              <w:right w:val="single" w:color="C9D2E3" w:sz="1"/>
            </w:tcBorders>
            <w:shd w:fill="1F2A5A" w:val="clear"/>
            <w:tcMar>
              <w:top w:type="dxa" w:w="60"/>
              <w:left w:type="dxa" w:w="110"/>
              <w:bottom w:type="dxa" w:w="60"/>
              <w:right w:type="dxa" w:w="110"/>
            </w:tcMar>
            <w:vAlign w:val="center"/>
          </w:tcPr>
          <w:p>
            <w:pPr>
              <w:spacing w:after="0" w:line="240"/>
            </w:pPr>
            <w:r>
              <w:rPr>
                <w:b/>
                <w:bCs/>
                <w:i w:val="false"/>
                <w:iCs w:val="false"/>
                <w:color w:val="FFFFFF"/>
                <w:sz w:val="18"/>
                <w:szCs w:val="18"/>
              </w:rPr>
              <w:t xml:space="preserve">Condition</w:t>
            </w:r>
          </w:p>
        </w:tc>
      </w:tr>
      <w:tr>
        <w:tc>
          <w:tcPr>
            <w:tcW w:type="dxa" w:w="24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deposit</w:t>
            </w:r>
          </w:p>
        </w:tc>
        <w:tc>
          <w:tcPr>
            <w:tcW w:type="dxa" w:w="69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tuition_paid_date OR tuition_paid_amount &gt; 0</w:t>
            </w:r>
          </w:p>
        </w:tc>
      </w:tr>
      <w:tr>
        <w:tc>
          <w:tcPr>
            <w:tcW w:type="dxa" w:w="24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visa</w:t>
            </w:r>
          </w:p>
        </w:tc>
        <w:tc>
          <w:tcPr>
            <w:tcW w:type="dxa" w:w="69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study_permit_approved_date is set</w:t>
            </w:r>
          </w:p>
        </w:tc>
      </w:tr>
      <w:tr>
        <w:tc>
          <w:tcPr>
            <w:tcW w:type="dxa" w:w="24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enrolled</w:t>
            </w:r>
          </w:p>
        </w:tc>
        <w:tc>
          <w:tcPr>
            <w:tcW w:type="dxa" w:w="69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enrollment_status = enrolled AND enrollment_confirmed_date</w:t>
            </w:r>
          </w:p>
        </w:tc>
      </w:tr>
      <w:tr>
        <w:tc>
          <w:tcPr>
            <w:tcW w:type="dxa" w:w="24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registered</w:t>
            </w:r>
          </w:p>
        </w:tc>
        <w:tc>
          <w:tcPr>
            <w:tcW w:type="dxa" w:w="69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registered_credits &gt; 0</w:t>
            </w:r>
          </w:p>
        </w:tc>
      </w:tr>
      <w:tr>
        <w:tc>
          <w:tcPr>
            <w:tcW w:type="dxa" w:w="24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started_classes</w:t>
            </w:r>
          </w:p>
        </w:tc>
        <w:tc>
          <w:tcPr>
            <w:tcW w:type="dxa" w:w="69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enrollment_status = enrolled</w:t>
            </w:r>
          </w:p>
        </w:tc>
      </w:tr>
      <w:tr>
        <w:tc>
          <w:tcPr>
            <w:tcW w:type="dxa" w:w="24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custom</w:t>
            </w:r>
          </w:p>
        </w:tc>
        <w:tc>
          <w:tcPr>
            <w:tcW w:type="dxa" w:w="69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color w:val="B23A3A"/>
                <w:sz w:val="19"/>
                <w:szCs w:val="19"/>
              </w:rPr>
              <w:t xml:space="preserve">Returns eligible:false, reason custom_not_implemented</w:t>
            </w:r>
          </w:p>
        </w:tc>
      </w:tr>
      <w:tr>
        <w:tc>
          <w:tcPr>
            <w:tcW w:type="dxa" w:w="24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(no config)</w:t>
            </w:r>
          </w:p>
        </w:tc>
        <w:tc>
          <w:tcPr>
            <w:tcW w:type="dxa" w:w="69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Fallback: deposit-paid check</w:t>
            </w:r>
          </w:p>
        </w:tc>
      </w:tr>
    </w:tbl>
    <w:p>
      <w:pPr>
        <w:spacing w:after="140" w:before="0" w:line="276"/>
      </w:pPr>
      <w:r>
        <w:rPr>
          <w:b w:val="false"/>
          <w:bCs w:val="false"/>
          <w:i w:val="false"/>
          <w:iCs w:val="false"/>
        </w:rPr>
        <w:t xml:space="preserve">Config selection: the route-specific published config (highest version) wins over the institution default.</w:t>
      </w:r>
    </w:p>
    <w:p>
      <w:pPr>
        <w:pStyle w:val="Heading2"/>
      </w:pPr>
      <w:r>
        <w:t xml:space="preserve">6.4 Claim readiness</w:t>
      </w:r>
    </w:p>
    <w:p>
      <w:pPr>
        <w:spacing w:after="140" w:before="0" w:line="276"/>
      </w:pPr>
      <w:r>
        <w:rPr>
          <w:b/>
          <w:bCs/>
          <w:i w:val="false"/>
          <w:iCs w:val="false"/>
        </w:rPr>
        <w:t xml:space="preserve">Evidence: </w:t>
      </w:r>
      <w:r>
        <w:rPr>
          <w:b w:val="false"/>
          <w:bCs w:val="false"/>
          <w:i w:val="false"/>
          <w:iCs w:val="false"/>
        </w:rPr>
        <w:t xml:space="preserve">CommissionLifecycleDialog.tsx — isReadyForClaim() requires eligible + claim ready + no active hold, checked before submit and invoice.</w:t>
      </w:r>
    </w:p>
    <w:p>
      <w:pPr>
        <w:pStyle w:val="Heading2"/>
      </w:pPr>
      <w:r>
        <w:t xml:space="preserve">6.5 Transfer outcomes</w:t>
      </w:r>
    </w:p>
    <w:p>
      <w:pPr>
        <w:spacing w:after="140" w:before="0" w:line="276"/>
      </w:pPr>
      <w:r>
        <w:rPr>
          <w:b/>
          <w:bCs/>
          <w:i w:val="false"/>
          <w:iCs w:val="false"/>
        </w:rPr>
        <w:t xml:space="preserve">Evidence: </w:t>
      </w:r>
      <w:r>
        <w:rPr>
          <w:b w:val="false"/>
          <w:bCs w:val="false"/>
          <w:i w:val="false"/>
          <w:iCs w:val="false"/>
        </w:rPr>
        <w:t xml:space="preserve">commissionTransferHelpers.ts, fn_process_transfer_outcome. Outcomes are unchanged, amended, cancelled, replaced, under_review; a replacement creates a new student row and a new snapshot path.</w:t>
      </w:r>
    </w:p>
    <w:p>
      <w:pPr>
        <w:pStyle w:val="Heading2"/>
      </w:pPr>
      <w:r>
        <w:t xml:space="preserve">6.6 Receipt state machine</w:t>
      </w:r>
    </w:p>
    <w:p>
      <w:pPr>
        <w:spacing w:after="140" w:before="0" w:line="276"/>
      </w:pPr>
      <w:r>
        <w:rPr>
          <w:b/>
          <w:bCs/>
          <w:i w:val="false"/>
          <w:iCs w:val="false"/>
        </w:rPr>
        <w:t xml:space="preserve">Evidence: </w:t>
      </w:r>
      <w:r>
        <w:rPr>
          <w:b w:val="false"/>
          <w:bCs w:val="false"/>
          <w:i w:val="false"/>
          <w:iCs w:val="false"/>
        </w:rPr>
        <w:t xml:space="preserve">commissionReceiptRules.ts.</w:t>
      </w:r>
    </w:p>
    <w:p>
      <w:pPr>
        <w:pBdr>
          <w:left w:val="single" w:color="6D4AC0" w:sz="18" w:space="6"/>
        </w:pBdr>
        <w:shd w:fill="F5F6FA" w:val="clear"/>
        <w:spacing w:after="40" w:before="40" w:line="240"/>
      </w:pPr>
      <w:r>
        <w:rPr>
          <w:rFonts w:ascii="Consolas" w:cs="Consolas" w:eastAsia="Consolas" w:hAnsi="Consolas"/>
          <w:sz w:val="18"/>
          <w:szCs w:val="18"/>
        </w:rPr>
        <w:t xml:space="preserve">draft → ready → posted</w:t>
      </w:r>
      <w:r>
        <w:rPr>
          <w:rFonts w:ascii="Consolas" w:cs="Consolas" w:eastAsia="Consolas" w:hAnsi="Consolas"/>
          <w:sz w:val="18"/>
          <w:szCs w:val="18"/>
        </w:rPr>
        <w:br/>
        <w:t xml:space="preserve">                 ↓ voided</w:t>
      </w:r>
      <w:r>
        <w:rPr>
          <w:rFonts w:ascii="Consolas" w:cs="Consolas" w:eastAsia="Consolas" w:hAnsi="Consolas"/>
          <w:sz w:val="18"/>
          <w:szCs w:val="18"/>
        </w:rPr>
        <w:br/>
        <w:t xml:space="preserve">draft/ready editable; posted/voided blocked by DB trigger</w:t>
      </w:r>
    </w:p>
    <w:p>
      <w:pPr>
        <w:spacing w:after="140" w:before="0" w:line="276"/>
      </w:pPr>
      <w:r>
        <w:rPr>
          <w:b w:val="false"/>
          <w:bCs w:val="false"/>
          <w:i w:val="false"/>
          <w:iCs w:val="false"/>
        </w:rPr>
        <w:t xml:space="preserve">Posting requires full allocation; FX review is required when the receipt currency differs from the invoice currency.</w:t>
      </w:r>
    </w:p>
    <w:p>
      <w:pPr>
        <w:pStyle w:val="Heading2"/>
      </w:pPr>
      <w:r>
        <w:t xml:space="preserve">6.7 Currency handling</w:t>
      </w:r>
    </w:p>
    <w:p>
      <w:pPr>
        <w:pStyle w:val="ListParagraph"/>
        <w:numPr>
          <w:ilvl w:val="0"/>
          <w:numId w:val="2"/>
        </w:numPr>
        <w:spacing w:after="60" w:line="264"/>
      </w:pPr>
      <w:r>
        <w:rPr>
          <w:b w:val="false"/>
          <w:bCs w:val="false"/>
          <w:i w:val="false"/>
          <w:iCs w:val="false"/>
        </w:rPr>
        <w:t xml:space="preserve">Per-student columns: snapshot_currency, invoice_currency, receipt_currency, base_currency.</w:t>
      </w:r>
    </w:p>
    <w:p>
      <w:pPr>
        <w:pStyle w:val="ListParagraph"/>
        <w:numPr>
          <w:ilvl w:val="0"/>
          <w:numId w:val="2"/>
        </w:numPr>
        <w:spacing w:after="60" w:line="264"/>
      </w:pPr>
      <w:r>
        <w:rPr>
          <w:b w:val="false"/>
          <w:bCs w:val="false"/>
          <w:i w:val="false"/>
          <w:iCs w:val="false"/>
        </w:rPr>
        <w:t xml:space="preserve">Receipts carry exchange_rate and a generated base_amount.</w:t>
      </w:r>
    </w:p>
    <w:p>
      <w:pPr>
        <w:pStyle w:val="ListParagraph"/>
        <w:numPr>
          <w:ilvl w:val="0"/>
          <w:numId w:val="2"/>
        </w:numPr>
        <w:spacing w:after="60" w:line="264"/>
      </w:pPr>
      <w:r>
        <w:rPr>
          <w:b w:val="false"/>
          <w:bCs w:val="false"/>
          <w:i w:val="false"/>
          <w:iCs w:val="false"/>
        </w:rPr>
        <w:t xml:space="preserve">Performance Hub converts to INR via fx_rates.rate_to_inr (fallback CAD = 61.7).</w:t>
      </w:r>
    </w:p>
    <w:p>
      <w:pPr>
        <w:pStyle w:val="Heading2"/>
      </w:pPr>
      <w:r>
        <w:t xml:space="preserve">6.8 Finance posting</w:t>
      </w:r>
    </w:p>
    <w:p>
      <w:pPr>
        <w:spacing w:after="140" w:before="0" w:line="276"/>
      </w:pPr>
      <w:r>
        <w:rPr>
          <w:b/>
          <w:bCs/>
          <w:i w:val="false"/>
          <w:iCs w:val="false"/>
          <w:color w:val="B23A3A"/>
        </w:rPr>
        <w:t xml:space="preserve">Not Found. </w:t>
      </w:r>
      <w:r>
        <w:rPr>
          <w:b w:val="false"/>
          <w:bCs w:val="false"/>
          <w:i w:val="false"/>
          <w:iCs w:val="false"/>
        </w:rPr>
        <w:t xml:space="preserve">Receipt posting updates student and invoice payment columns; the accounting_journal_id column on receipts is not populated by any observed code.</w:t>
      </w:r>
    </w:p>
    <w:p>
      <w:r>
        <w:br w:type="page"/>
      </w:r>
    </w:p>
    <w:p>
      <w:pPr>
        <w:pStyle w:val="Heading1"/>
      </w:pPr>
      <w:r>
        <w:t xml:space="preserve">7. APIs, Hooks &amp; Services</w:t>
      </w:r>
    </w:p>
    <w:p>
      <w:pPr>
        <w:pStyle w:val="Heading2"/>
      </w:pPr>
      <w:r>
        <w:t xml:space="preserve">7.1 Data-access pattern</w:t>
      </w:r>
    </w:p>
    <w:p>
      <w:pPr>
        <w:spacing w:after="140" w:before="0" w:line="276"/>
      </w:pPr>
      <w:r>
        <w:rPr>
          <w:b w:val="false"/>
          <w:bCs w:val="false"/>
          <w:i w:val="false"/>
          <w:iCs w:val="false"/>
        </w:rPr>
        <w:t xml:space="preserve">All access is through @/integrations/supabase/client: </w:t>
      </w:r>
      <w:r>
        <w:rPr>
          <w:rFonts w:ascii="Consolas" w:cs="Consolas" w:eastAsia="Consolas" w:hAnsi="Consolas"/>
          <w:b w:val="false"/>
          <w:bCs w:val="false"/>
          <w:i w:val="false"/>
          <w:iCs w:val="false"/>
          <w:sz w:val="20"/>
          <w:szCs w:val="20"/>
        </w:rPr>
        <w:t xml:space="preserve">.from(table).select/insert/update/delete</w:t>
      </w:r>
      <w:r>
        <w:rPr>
          <w:b w:val="false"/>
          <w:bCs w:val="false"/>
          <w:i w:val="false"/>
          <w:iCs w:val="false"/>
        </w:rPr>
        <w:t xml:space="preserve">, </w:t>
      </w:r>
      <w:r>
        <w:rPr>
          <w:rFonts w:ascii="Consolas" w:cs="Consolas" w:eastAsia="Consolas" w:hAnsi="Consolas"/>
          <w:b w:val="false"/>
          <w:bCs w:val="false"/>
          <w:i w:val="false"/>
          <w:iCs w:val="false"/>
          <w:sz w:val="20"/>
          <w:szCs w:val="20"/>
        </w:rPr>
        <w:t xml:space="preserve">.rpc(fn, params)</w:t>
      </w:r>
      <w:r>
        <w:rPr>
          <w:b w:val="false"/>
          <w:bCs w:val="false"/>
          <w:i w:val="false"/>
          <w:iCs w:val="false"/>
        </w:rPr>
        <w:t xml:space="preserve">, and </w:t>
      </w:r>
      <w:r>
        <w:rPr>
          <w:rFonts w:ascii="Consolas" w:cs="Consolas" w:eastAsia="Consolas" w:hAnsi="Consolas"/>
          <w:b w:val="false"/>
          <w:bCs w:val="false"/>
          <w:i w:val="false"/>
          <w:iCs w:val="false"/>
          <w:sz w:val="20"/>
          <w:szCs w:val="20"/>
        </w:rPr>
        <w:t xml:space="preserve">.storage.from(bucket)</w:t>
      </w:r>
      <w:r>
        <w:rPr>
          <w:b w:val="false"/>
          <w:bCs w:val="false"/>
          <w:i w:val="false"/>
          <w:iCs w:val="false"/>
        </w:rPr>
        <w:t xml:space="preserve">. There is no REST/OpenAPI abstraction layer.</w:t>
      </w:r>
    </w:p>
    <w:p>
      <w:pPr>
        <w:pStyle w:val="Heading2"/>
      </w:pPr>
      <w:r>
        <w:t xml:space="preserve">7.2 Hooks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50"/>
        <w:gridCol w:w="4810"/>
        <w:gridCol w:w="1900"/>
      </w:tblGrid>
      <w:tr>
        <w:trPr>
          <w:tblHeader/>
        </w:trPr>
        <w:tc>
          <w:tcPr>
            <w:tcW w:type="dxa" w:w="2650"/>
            <w:tcBorders>
              <w:top w:val="single" w:color="C9D2E3" w:sz="1"/>
              <w:left w:val="single" w:color="C9D2E3" w:sz="1"/>
              <w:bottom w:val="single" w:color="C9D2E3" w:sz="1"/>
              <w:right w:val="single" w:color="C9D2E3" w:sz="1"/>
            </w:tcBorders>
            <w:shd w:fill="1F2A5A" w:val="clear"/>
            <w:tcMar>
              <w:top w:type="dxa" w:w="60"/>
              <w:left w:type="dxa" w:w="110"/>
              <w:bottom w:type="dxa" w:w="60"/>
              <w:right w:type="dxa" w:w="110"/>
            </w:tcMar>
            <w:vAlign w:val="center"/>
          </w:tcPr>
          <w:p>
            <w:pPr>
              <w:spacing w:after="0" w:line="240"/>
            </w:pPr>
            <w:r>
              <w:rPr>
                <w:b/>
                <w:bCs/>
                <w:i w:val="false"/>
                <w:iCs w:val="false"/>
                <w:color w:val="FFFFFF"/>
                <w:sz w:val="18"/>
                <w:szCs w:val="18"/>
              </w:rPr>
              <w:t xml:space="preserve">Hook</w:t>
            </w:r>
          </w:p>
        </w:tc>
        <w:tc>
          <w:tcPr>
            <w:tcW w:type="dxa" w:w="4810"/>
            <w:tcBorders>
              <w:top w:val="single" w:color="C9D2E3" w:sz="1"/>
              <w:left w:val="single" w:color="C9D2E3" w:sz="1"/>
              <w:bottom w:val="single" w:color="C9D2E3" w:sz="1"/>
              <w:right w:val="single" w:color="C9D2E3" w:sz="1"/>
            </w:tcBorders>
            <w:shd w:fill="1F2A5A" w:val="clear"/>
            <w:tcMar>
              <w:top w:type="dxa" w:w="60"/>
              <w:left w:type="dxa" w:w="110"/>
              <w:bottom w:type="dxa" w:w="60"/>
              <w:right w:type="dxa" w:w="110"/>
            </w:tcMar>
            <w:vAlign w:val="center"/>
          </w:tcPr>
          <w:p>
            <w:pPr>
              <w:spacing w:after="0" w:line="240"/>
            </w:pPr>
            <w:r>
              <w:rPr>
                <w:b/>
                <w:bCs/>
                <w:i w:val="false"/>
                <w:iCs w:val="false"/>
                <w:color w:val="FFFFFF"/>
                <w:sz w:val="18"/>
                <w:szCs w:val="18"/>
              </w:rPr>
              <w:t xml:space="preserve">File • params → returns</w:t>
            </w:r>
          </w:p>
        </w:tc>
        <w:tc>
          <w:tcPr>
            <w:tcW w:type="dxa" w:w="1900"/>
            <w:tcBorders>
              <w:top w:val="single" w:color="C9D2E3" w:sz="1"/>
              <w:left w:val="single" w:color="C9D2E3" w:sz="1"/>
              <w:bottom w:val="single" w:color="C9D2E3" w:sz="1"/>
              <w:right w:val="single" w:color="C9D2E3" w:sz="1"/>
            </w:tcBorders>
            <w:shd w:fill="1F2A5A" w:val="clear"/>
            <w:tcMar>
              <w:top w:type="dxa" w:w="60"/>
              <w:left w:type="dxa" w:w="110"/>
              <w:bottom w:type="dxa" w:w="60"/>
              <w:right w:type="dxa" w:w="110"/>
            </w:tcMar>
            <w:vAlign w:val="center"/>
          </w:tcPr>
          <w:p>
            <w:pPr>
              <w:spacing w:after="0" w:line="240"/>
            </w:pPr>
            <w:r>
              <w:rPr>
                <w:b/>
                <w:bCs/>
                <w:i w:val="false"/>
                <w:iCs w:val="false"/>
                <w:color w:val="FFFFFF"/>
                <w:sz w:val="18"/>
                <w:szCs w:val="18"/>
              </w:rPr>
              <w:t xml:space="preserve">Used by</w:t>
            </w:r>
          </w:p>
        </w:tc>
      </w:tr>
      <w:tr>
        <w:tc>
          <w:tcPr>
            <w:tcW w:type="dxa" w:w="265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useCommissions</w:t>
            </w:r>
          </w:p>
        </w:tc>
        <w:tc>
          <w:tcPr>
            <w:tcW w:type="dxa" w:w="481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useInstitutionData.ts • institutionId → commissions</w:t>
            </w:r>
          </w:p>
        </w:tc>
        <w:tc>
          <w:tcPr>
            <w:tcW w:type="dxa" w:w="19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CommissionsPanel</w:t>
            </w:r>
          </w:p>
        </w:tc>
      </w:tr>
      <w:tr>
        <w:tc>
          <w:tcPr>
            <w:tcW w:type="dxa" w:w="265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useCommissionRules</w:t>
            </w:r>
          </w:p>
        </w:tc>
        <w:tc>
          <w:tcPr>
            <w:tcW w:type="dxa" w:w="481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useInstitutionData.ts • commissionIds[] → rules</w:t>
            </w:r>
          </w:p>
        </w:tc>
        <w:tc>
          <w:tcPr>
            <w:tcW w:type="dxa" w:w="19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CommissionsPanel, ClaimsPanel</w:t>
            </w:r>
          </w:p>
        </w:tc>
      </w:tr>
      <w:tr>
        <w:tc>
          <w:tcPr>
            <w:tcW w:type="dxa" w:w="265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useClaimCycles</w:t>
            </w:r>
          </w:p>
        </w:tc>
        <w:tc>
          <w:tcPr>
            <w:tcW w:type="dxa" w:w="481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useInstitutionData.ts • institutionId → cycles</w:t>
            </w:r>
          </w:p>
        </w:tc>
        <w:tc>
          <w:tcPr>
            <w:tcW w:type="dxa" w:w="19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ClaimsPanel, OverviewPanel</w:t>
            </w:r>
          </w:p>
        </w:tc>
      </w:tr>
      <w:tr>
        <w:tc>
          <w:tcPr>
            <w:tcW w:type="dxa" w:w="265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useInvoices</w:t>
            </w:r>
          </w:p>
        </w:tc>
        <w:tc>
          <w:tcPr>
            <w:tcW w:type="dxa" w:w="481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useInstitutionData.ts • institutionId → invoices</w:t>
            </w:r>
          </w:p>
        </w:tc>
        <w:tc>
          <w:tcPr>
            <w:tcW w:type="dxa" w:w="19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ClaimsPanel</w:t>
            </w:r>
          </w:p>
        </w:tc>
      </w:tr>
      <w:tr>
        <w:tc>
          <w:tcPr>
            <w:tcW w:type="dxa" w:w="265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useStudents</w:t>
            </w:r>
          </w:p>
        </w:tc>
        <w:tc>
          <w:tcPr>
            <w:tcW w:type="dxa" w:w="481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useInstitutionData.ts • institutionId → students</w:t>
            </w:r>
          </w:p>
        </w:tc>
        <w:tc>
          <w:tcPr>
            <w:tcW w:type="dxa" w:w="19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Various</w:t>
            </w:r>
          </w:p>
        </w:tc>
      </w:tr>
      <w:tr>
        <w:tc>
          <w:tcPr>
            <w:tcW w:type="dxa" w:w="265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useCommissionTrackingCmsData</w:t>
            </w:r>
          </w:p>
        </w:tc>
        <w:tc>
          <w:tcPr>
            <w:tcW w:type="dxa" w:w="481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useCommissionTrackingCmsData.ts • period → rows, kpis</w:t>
            </w:r>
          </w:p>
        </w:tc>
        <w:tc>
          <w:tcPr>
            <w:tcW w:type="dxa" w:w="19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PerformanceCommissions</w:t>
            </w:r>
          </w:p>
        </w:tc>
      </w:tr>
      <w:tr>
        <w:tc>
          <w:tcPr>
            <w:tcW w:type="dxa" w:w="265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useModulePermission</w:t>
            </w:r>
          </w:p>
        </w:tc>
        <w:tc>
          <w:tcPr>
            <w:tcW w:type="dxa" w:w="481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useModulePermission.ts • module key → canView, canEdit</w:t>
            </w:r>
          </w:p>
        </w:tc>
        <w:tc>
          <w:tcPr>
            <w:tcW w:type="dxa" w:w="19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Routes, layout</w:t>
            </w:r>
          </w:p>
        </w:tc>
      </w:tr>
    </w:tbl>
    <w:p>
      <w:pPr>
        <w:pStyle w:val="Heading2"/>
      </w:pPr>
      <w:r>
        <w:t xml:space="preserve">7.3 Libraries &amp; utilities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9D2E3" w:sz="1"/>
              <w:left w:val="single" w:color="C9D2E3" w:sz="1"/>
              <w:bottom w:val="single" w:color="C9D2E3" w:sz="1"/>
              <w:right w:val="single" w:color="C9D2E3" w:sz="1"/>
            </w:tcBorders>
            <w:shd w:fill="1F2A5A" w:val="clear"/>
            <w:tcMar>
              <w:top w:type="dxa" w:w="60"/>
              <w:left w:type="dxa" w:w="110"/>
              <w:bottom w:type="dxa" w:w="60"/>
              <w:right w:type="dxa" w:w="110"/>
            </w:tcMar>
            <w:vAlign w:val="center"/>
          </w:tcPr>
          <w:p>
            <w:pPr>
              <w:spacing w:after="0" w:line="240"/>
            </w:pPr>
            <w:r>
              <w:rPr>
                <w:b/>
                <w:bCs/>
                <w:i w:val="false"/>
                <w:iCs w:val="false"/>
                <w:color w:val="FFFFFF"/>
                <w:sz w:val="18"/>
                <w:szCs w:val="18"/>
              </w:rPr>
              <w:t xml:space="preserve">Module</w:t>
            </w:r>
          </w:p>
        </w:tc>
        <w:tc>
          <w:tcPr>
            <w:tcW w:type="dxa" w:w="6560"/>
            <w:tcBorders>
              <w:top w:val="single" w:color="C9D2E3" w:sz="1"/>
              <w:left w:val="single" w:color="C9D2E3" w:sz="1"/>
              <w:bottom w:val="single" w:color="C9D2E3" w:sz="1"/>
              <w:right w:val="single" w:color="C9D2E3" w:sz="1"/>
            </w:tcBorders>
            <w:shd w:fill="1F2A5A" w:val="clear"/>
            <w:tcMar>
              <w:top w:type="dxa" w:w="60"/>
              <w:left w:type="dxa" w:w="110"/>
              <w:bottom w:type="dxa" w:w="60"/>
              <w:right w:type="dxa" w:w="110"/>
            </w:tcMar>
            <w:vAlign w:val="center"/>
          </w:tcPr>
          <w:p>
            <w:pPr>
              <w:spacing w:after="0" w:line="240"/>
            </w:pPr>
            <w:r>
              <w:rPr>
                <w:b/>
                <w:bCs/>
                <w:i w:val="false"/>
                <w:iCs w:val="false"/>
                <w:color w:val="FFFFFF"/>
                <w:sz w:val="18"/>
                <w:szCs w:val="18"/>
              </w:rPr>
              <w:t xml:space="preserve">File • purpose</w:t>
            </w:r>
          </w:p>
        </w:tc>
      </w:tr>
      <w:tr>
        <w:tc>
          <w:tcPr>
            <w:tcW w:type="dxa" w:w="28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simulateCommission</w:t>
            </w:r>
          </w:p>
        </w:tc>
        <w:tc>
          <w:tcPr>
            <w:tcW w:type="dxa" w:w="65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commissionEngine.ts • pure payout calculator</w:t>
            </w:r>
          </w:p>
        </w:tc>
      </w:tr>
      <w:tr>
        <w:tc>
          <w:tcPr>
            <w:tcW w:type="dxa" w:w="28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resolveCommissionForStudent</w:t>
            </w:r>
          </w:p>
        </w:tc>
        <w:tc>
          <w:tcPr>
            <w:tcW w:type="dxa" w:w="65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commissionRuleResolver.ts • client-side rule resolution</w:t>
            </w:r>
          </w:p>
        </w:tc>
      </w:tr>
      <w:tr>
        <w:tc>
          <w:tcPr>
            <w:tcW w:type="dxa" w:w="28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evaluateStudentEligibility</w:t>
            </w:r>
          </w:p>
        </w:tc>
        <w:tc>
          <w:tcPr>
            <w:tcW w:type="dxa" w:w="65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commissionEligibilityEvaluator.ts • client-side eligibility</w:t>
            </w:r>
          </w:p>
        </w:tc>
      </w:tr>
      <w:tr>
        <w:tc>
          <w:tcPr>
            <w:tcW w:type="dxa" w:w="28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detectRuleConflicts</w:t>
            </w:r>
          </w:p>
        </w:tc>
        <w:tc>
          <w:tcPr>
            <w:tcW w:type="dxa" w:w="65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claimEngine.ts • slab/condition overlap detection</w:t>
            </w:r>
          </w:p>
        </w:tc>
      </w:tr>
      <w:tr>
        <w:tc>
          <w:tcPr>
            <w:tcW w:type="dxa" w:w="28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buildClaimCsv, printWithRoot</w:t>
            </w:r>
          </w:p>
        </w:tc>
        <w:tc>
          <w:tcPr>
            <w:tcW w:type="dxa" w:w="65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claimsExport.ts • CSV/PDF export</w:t>
            </w:r>
          </w:p>
        </w:tc>
      </w:tr>
      <w:tr>
        <w:tc>
          <w:tcPr>
            <w:tcW w:type="dxa" w:w="28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Receipt validators</w:t>
            </w:r>
          </w:p>
        </w:tc>
        <w:tc>
          <w:tcPr>
            <w:tcW w:type="dxa" w:w="65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commissionReceiptRules.ts • canEdit / canPost / FX review</w:t>
            </w:r>
          </w:p>
        </w:tc>
      </w:tr>
      <w:tr>
        <w:tc>
          <w:tcPr>
            <w:tcW w:type="dxa" w:w="28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Aggregator helpers</w:t>
            </w:r>
          </w:p>
        </w:tc>
        <w:tc>
          <w:tcPr>
            <w:tcW w:type="dxa" w:w="65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commissionAggregatorRules.ts • Phase 2B helpers</w:t>
            </w:r>
          </w:p>
        </w:tc>
      </w:tr>
      <w:tr>
        <w:tc>
          <w:tcPr>
            <w:tcW w:type="dxa" w:w="28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CMS ledger</w:t>
            </w:r>
          </w:p>
        </w:tc>
        <w:tc>
          <w:tcPr>
            <w:tcW w:type="dxa" w:w="65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commissionTrackingCmsLogic.ts • Performance Hub aggregation</w:t>
            </w:r>
          </w:p>
        </w:tc>
      </w:tr>
    </w:tbl>
    <w:p>
      <w:pPr>
        <w:pStyle w:val="Heading2"/>
      </w:pPr>
      <w:r>
        <w:t xml:space="preserve">7.4 Repositories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D2E3" w:sz="1"/>
              <w:left w:val="single" w:color="C9D2E3" w:sz="1"/>
              <w:bottom w:val="single" w:color="C9D2E3" w:sz="1"/>
              <w:right w:val="single" w:color="C9D2E3" w:sz="1"/>
            </w:tcBorders>
            <w:shd w:fill="1F2A5A" w:val="clear"/>
            <w:tcMar>
              <w:top w:type="dxa" w:w="60"/>
              <w:left w:type="dxa" w:w="110"/>
              <w:bottom w:type="dxa" w:w="60"/>
              <w:right w:type="dxa" w:w="110"/>
            </w:tcMar>
            <w:vAlign w:val="center"/>
          </w:tcPr>
          <w:p>
            <w:pPr>
              <w:spacing w:after="0" w:line="240"/>
            </w:pPr>
            <w:r>
              <w:rPr>
                <w:b/>
                <w:bCs/>
                <w:i w:val="false"/>
                <w:iCs w:val="false"/>
                <w:color w:val="FFFFFF"/>
                <w:sz w:val="18"/>
                <w:szCs w:val="18"/>
              </w:rPr>
              <w:t xml:space="preserve">Repository</w:t>
            </w:r>
          </w:p>
        </w:tc>
        <w:tc>
          <w:tcPr>
            <w:tcW w:type="dxa" w:w="6760"/>
            <w:tcBorders>
              <w:top w:val="single" w:color="C9D2E3" w:sz="1"/>
              <w:left w:val="single" w:color="C9D2E3" w:sz="1"/>
              <w:bottom w:val="single" w:color="C9D2E3" w:sz="1"/>
              <w:right w:val="single" w:color="C9D2E3" w:sz="1"/>
            </w:tcBorders>
            <w:shd w:fill="1F2A5A" w:val="clear"/>
            <w:tcMar>
              <w:top w:type="dxa" w:w="60"/>
              <w:left w:type="dxa" w:w="110"/>
              <w:bottom w:type="dxa" w:w="60"/>
              <w:right w:type="dxa" w:w="110"/>
            </w:tcMar>
            <w:vAlign w:val="center"/>
          </w:tcPr>
          <w:p>
            <w:pPr>
              <w:spacing w:after="0" w:line="240"/>
            </w:pPr>
            <w:r>
              <w:rPr>
                <w:b/>
                <w:bCs/>
                <w:i w:val="false"/>
                <w:iCs w:val="false"/>
                <w:color w:val="FFFFFF"/>
                <w:sz w:val="18"/>
                <w:szCs w:val="18"/>
              </w:rPr>
              <w:t xml:space="preserve">Tables</w:t>
            </w:r>
          </w:p>
        </w:tc>
      </w:tr>
      <w:tr>
        <w:tc>
          <w:tcPr>
            <w:tcW w:type="dxa" w:w="26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commissionsRepo</w:t>
            </w:r>
          </w:p>
        </w:tc>
        <w:tc>
          <w:tcPr>
            <w:tcW w:type="dxa" w:w="67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upi_commissions, upi_commission_rules</w:t>
            </w:r>
          </w:p>
        </w:tc>
      </w:tr>
      <w:tr>
        <w:tc>
          <w:tcPr>
            <w:tcW w:type="dxa" w:w="26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claimCyclesRepo</w:t>
            </w:r>
          </w:p>
        </w:tc>
        <w:tc>
          <w:tcPr>
            <w:tcW w:type="dxa" w:w="67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upi_claim_cycles</w:t>
            </w:r>
          </w:p>
        </w:tc>
      </w:tr>
      <w:tr>
        <w:tc>
          <w:tcPr>
            <w:tcW w:type="dxa" w:w="26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studentsRepo</w:t>
            </w:r>
          </w:p>
        </w:tc>
        <w:tc>
          <w:tcPr>
            <w:tcW w:type="dxa" w:w="67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upi_commission_students</w:t>
            </w:r>
          </w:p>
        </w:tc>
      </w:tr>
      <w:tr>
        <w:tc>
          <w:tcPr>
            <w:tcW w:type="dxa" w:w="26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paymentsRepo</w:t>
            </w:r>
          </w:p>
        </w:tc>
        <w:tc>
          <w:tcPr>
            <w:tcW w:type="dxa" w:w="67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Derived from upi_commission_invoices payment columns</w:t>
            </w:r>
          </w:p>
        </w:tc>
      </w:tr>
    </w:tbl>
    <w:p>
      <w:r>
        <w:br w:type="page"/>
      </w:r>
    </w:p>
    <w:p>
      <w:pPr>
        <w:pStyle w:val="Heading1"/>
      </w:pPr>
      <w:r>
        <w:t xml:space="preserve">8. Reusable Components</w:t>
      </w:r>
    </w:p>
    <w:p>
      <w:pPr>
        <w:spacing w:after="140" w:before="0" w:line="276"/>
      </w:pPr>
      <w:r>
        <w:rPr>
          <w:b w:val="false"/>
          <w:bCs w:val="false"/>
          <w:i w:val="false"/>
          <w:iCs w:val="false"/>
        </w:rPr>
        <w:t xml:space="preserve">The module ships institution-scoped panels plus a handful of genuinely reusable dialogs and badges. Shared shadcn/ui primitives (Card, Table, Dialog, Badge, Tabs) are used throughout but are not commission-specific.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50"/>
        <w:gridCol w:w="4310"/>
        <w:gridCol w:w="2000"/>
      </w:tblGrid>
      <w:tr>
        <w:trPr>
          <w:tblHeader/>
        </w:trPr>
        <w:tc>
          <w:tcPr>
            <w:tcW w:type="dxa" w:w="3050"/>
            <w:tcBorders>
              <w:top w:val="single" w:color="C9D2E3" w:sz="1"/>
              <w:left w:val="single" w:color="C9D2E3" w:sz="1"/>
              <w:bottom w:val="single" w:color="C9D2E3" w:sz="1"/>
              <w:right w:val="single" w:color="C9D2E3" w:sz="1"/>
            </w:tcBorders>
            <w:shd w:fill="1F2A5A" w:val="clear"/>
            <w:tcMar>
              <w:top w:type="dxa" w:w="60"/>
              <w:left w:type="dxa" w:w="110"/>
              <w:bottom w:type="dxa" w:w="60"/>
              <w:right w:type="dxa" w:w="110"/>
            </w:tcMar>
            <w:vAlign w:val="center"/>
          </w:tcPr>
          <w:p>
            <w:pPr>
              <w:spacing w:after="0" w:line="240"/>
            </w:pPr>
            <w:r>
              <w:rPr>
                <w:b/>
                <w:bCs/>
                <w:i w:val="false"/>
                <w:iCs w:val="false"/>
                <w:color w:val="FFFFFF"/>
                <w:sz w:val="18"/>
                <w:szCs w:val="18"/>
              </w:rPr>
              <w:t xml:space="preserve">Component</w:t>
            </w:r>
          </w:p>
        </w:tc>
        <w:tc>
          <w:tcPr>
            <w:tcW w:type="dxa" w:w="4310"/>
            <w:tcBorders>
              <w:top w:val="single" w:color="C9D2E3" w:sz="1"/>
              <w:left w:val="single" w:color="C9D2E3" w:sz="1"/>
              <w:bottom w:val="single" w:color="C9D2E3" w:sz="1"/>
              <w:right w:val="single" w:color="C9D2E3" w:sz="1"/>
            </w:tcBorders>
            <w:shd w:fill="1F2A5A" w:val="clear"/>
            <w:tcMar>
              <w:top w:type="dxa" w:w="60"/>
              <w:left w:type="dxa" w:w="110"/>
              <w:bottom w:type="dxa" w:w="60"/>
              <w:right w:type="dxa" w:w="110"/>
            </w:tcMar>
            <w:vAlign w:val="center"/>
          </w:tcPr>
          <w:p>
            <w:pPr>
              <w:spacing w:after="0" w:line="240"/>
            </w:pPr>
            <w:r>
              <w:rPr>
                <w:b/>
                <w:bCs/>
                <w:i w:val="false"/>
                <w:iCs w:val="false"/>
                <w:color w:val="FFFFFF"/>
                <w:sz w:val="18"/>
                <w:szCs w:val="18"/>
              </w:rPr>
              <w:t xml:space="preserve">Purpose • key props</w:t>
            </w:r>
          </w:p>
        </w:tc>
        <w:tc>
          <w:tcPr>
            <w:tcW w:type="dxa" w:w="2000"/>
            <w:tcBorders>
              <w:top w:val="single" w:color="C9D2E3" w:sz="1"/>
              <w:left w:val="single" w:color="C9D2E3" w:sz="1"/>
              <w:bottom w:val="single" w:color="C9D2E3" w:sz="1"/>
              <w:right w:val="single" w:color="C9D2E3" w:sz="1"/>
            </w:tcBorders>
            <w:shd w:fill="1F2A5A" w:val="clear"/>
            <w:tcMar>
              <w:top w:type="dxa" w:w="60"/>
              <w:left w:type="dxa" w:w="110"/>
              <w:bottom w:type="dxa" w:w="60"/>
              <w:right w:type="dxa" w:w="110"/>
            </w:tcMar>
            <w:vAlign w:val="center"/>
          </w:tcPr>
          <w:p>
            <w:pPr>
              <w:spacing w:after="0" w:line="240"/>
            </w:pPr>
            <w:r>
              <w:rPr>
                <w:b/>
                <w:bCs/>
                <w:i w:val="false"/>
                <w:iCs w:val="false"/>
                <w:color w:val="FFFFFF"/>
                <w:sz w:val="18"/>
                <w:szCs w:val="18"/>
              </w:rPr>
              <w:t xml:space="preserve">Reusability</w:t>
            </w:r>
          </w:p>
        </w:tc>
      </w:tr>
      <w:tr>
        <w:tc>
          <w:tcPr>
            <w:tcW w:type="dxa" w:w="305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CommissionsPanel</w:t>
            </w:r>
          </w:p>
        </w:tc>
        <w:tc>
          <w:tcPr>
            <w:tcW w:type="dxa" w:w="431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Commission plans + simulator • institutionId</w:t>
            </w:r>
          </w:p>
        </w:tc>
        <w:tc>
          <w:tcPr>
            <w:tcW w:type="dxa" w:w="20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Institution-scoped</w:t>
            </w:r>
          </w:p>
        </w:tc>
      </w:tr>
      <w:tr>
        <w:tc>
          <w:tcPr>
            <w:tcW w:type="dxa" w:w="305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ClaimsPanel</w:t>
            </w:r>
          </w:p>
        </w:tc>
        <w:tc>
          <w:tcPr>
            <w:tcW w:type="dxa" w:w="431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Full claims workflow • institutionId, onOpenReceipt</w:t>
            </w:r>
          </w:p>
        </w:tc>
        <w:tc>
          <w:tcPr>
            <w:tcW w:type="dxa" w:w="20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color w:val="9A6A12"/>
                <w:sz w:val="19"/>
                <w:szCs w:val="19"/>
              </w:rPr>
              <w:t xml:space="preserve">Monolith (~1200 lines)</w:t>
            </w:r>
          </w:p>
        </w:tc>
      </w:tr>
      <w:tr>
        <w:tc>
          <w:tcPr>
            <w:tcW w:type="dxa" w:w="305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CommissionLifecycleDialog</w:t>
            </w:r>
          </w:p>
        </w:tc>
        <w:tc>
          <w:tcPr>
            <w:tcW w:type="dxa" w:w="431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Hold/eligible/transfer • student, institutionId</w:t>
            </w:r>
          </w:p>
        </w:tc>
        <w:tc>
          <w:tcPr>
            <w:tcW w:type="dxa" w:w="20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color w:val="1B7A46"/>
                <w:sz w:val="19"/>
                <w:szCs w:val="19"/>
              </w:rPr>
              <w:t xml:space="preserve">Reusable dialog</w:t>
            </w:r>
          </w:p>
        </w:tc>
      </w:tr>
      <w:tr>
        <w:tc>
          <w:tcPr>
            <w:tcW w:type="dxa" w:w="305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LifecycleBadges</w:t>
            </w:r>
          </w:p>
        </w:tc>
        <w:tc>
          <w:tcPr>
            <w:tcW w:type="dxa" w:w="431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Status chips • student</w:t>
            </w:r>
          </w:p>
        </w:tc>
        <w:tc>
          <w:tcPr>
            <w:tcW w:type="dxa" w:w="20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color w:val="1B7A46"/>
                <w:sz w:val="19"/>
                <w:szCs w:val="19"/>
              </w:rPr>
              <w:t xml:space="preserve">High</w:t>
            </w:r>
          </w:p>
        </w:tc>
      </w:tr>
      <w:tr>
        <w:tc>
          <w:tcPr>
            <w:tcW w:type="dxa" w:w="305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CommissionReceiptWizard</w:t>
            </w:r>
          </w:p>
        </w:tc>
        <w:tc>
          <w:tcPr>
            <w:tcW w:type="dxa" w:w="431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Multi-step receipt • institutionId, invoiceId?</w:t>
            </w:r>
          </w:p>
        </w:tc>
        <w:tc>
          <w:tcPr>
            <w:tcW w:type="dxa" w:w="20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color w:val="1B7A46"/>
                <w:sz w:val="19"/>
                <w:szCs w:val="19"/>
              </w:rPr>
              <w:t xml:space="preserve">High</w:t>
            </w:r>
          </w:p>
        </w:tc>
      </w:tr>
      <w:tr>
        <w:tc>
          <w:tcPr>
            <w:tcW w:type="dxa" w:w="305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CommissionReceiptsPanel</w:t>
            </w:r>
          </w:p>
        </w:tc>
        <w:tc>
          <w:tcPr>
            <w:tcW w:type="dxa" w:w="431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Receipt list/actions • institutionId</w:t>
            </w:r>
          </w:p>
        </w:tc>
        <w:tc>
          <w:tcPr>
            <w:tcW w:type="dxa" w:w="20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Institution-scoped</w:t>
            </w:r>
          </w:p>
        </w:tc>
      </w:tr>
      <w:tr>
        <w:tc>
          <w:tcPr>
            <w:tcW w:type="dxa" w:w="305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BillingProfilesPanel</w:t>
            </w:r>
          </w:p>
        </w:tc>
        <w:tc>
          <w:tcPr>
            <w:tcW w:type="dxa" w:w="431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Billing CRUD • institutionId</w:t>
            </w:r>
          </w:p>
        </w:tc>
        <w:tc>
          <w:tcPr>
            <w:tcW w:type="dxa" w:w="20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Institution-scoped</w:t>
            </w:r>
          </w:p>
        </w:tc>
      </w:tr>
      <w:tr>
        <w:tc>
          <w:tcPr>
            <w:tcW w:type="dxa" w:w="305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EligibilityConfigPanel</w:t>
            </w:r>
          </w:p>
        </w:tc>
        <w:tc>
          <w:tcPr>
            <w:tcW w:type="dxa" w:w="431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Eligibility CRUD • institutionId</w:t>
            </w:r>
          </w:p>
        </w:tc>
        <w:tc>
          <w:tcPr>
            <w:tcW w:type="dxa" w:w="20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Institution-scoped</w:t>
            </w:r>
          </w:p>
        </w:tc>
      </w:tr>
      <w:tr>
        <w:tc>
          <w:tcPr>
            <w:tcW w:type="dxa" w:w="305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AgreementsPanel</w:t>
            </w:r>
          </w:p>
        </w:tc>
        <w:tc>
          <w:tcPr>
            <w:tcW w:type="dxa" w:w="431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Agreements • institutionId</w:t>
            </w:r>
          </w:p>
        </w:tc>
        <w:tc>
          <w:tcPr>
            <w:tcW w:type="dxa" w:w="20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Institution-scoped</w:t>
            </w:r>
          </w:p>
        </w:tc>
      </w:tr>
      <w:tr>
        <w:tc>
          <w:tcPr>
            <w:tcW w:type="dxa" w:w="305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ClientCommissionStatusPanel</w:t>
            </w:r>
          </w:p>
        </w:tc>
        <w:tc>
          <w:tcPr>
            <w:tcW w:type="dxa" w:w="431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Counselor status • clientId</w:t>
            </w:r>
          </w:p>
        </w:tc>
        <w:tc>
          <w:tcPr>
            <w:tcW w:type="dxa" w:w="20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color w:val="1B7A46"/>
                <w:sz w:val="19"/>
                <w:szCs w:val="19"/>
              </w:rPr>
              <w:t xml:space="preserve">Cross-module</w:t>
            </w:r>
          </w:p>
        </w:tc>
      </w:tr>
      <w:tr>
        <w:tc>
          <w:tcPr>
            <w:tcW w:type="dxa" w:w="305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PerformanceCommissionLedgerTable</w:t>
            </w:r>
          </w:p>
        </w:tc>
        <w:tc>
          <w:tcPr>
            <w:tcW w:type="dxa" w:w="431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PH ledger table • rows, loading</w:t>
            </w:r>
          </w:p>
        </w:tc>
        <w:tc>
          <w:tcPr>
            <w:tcW w:type="dxa" w:w="20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Performance Hub</w:t>
            </w:r>
          </w:p>
        </w:tc>
      </w:tr>
      <w:tr>
        <w:tc>
          <w:tcPr>
            <w:tcW w:type="dxa" w:w="305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CommissionsProtectedRoute</w:t>
            </w:r>
          </w:p>
        </w:tc>
        <w:tc>
          <w:tcPr>
            <w:tcW w:type="dxa" w:w="431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RBAC gate • children</w:t>
            </w:r>
          </w:p>
        </w:tc>
        <w:tc>
          <w:tcPr>
            <w:tcW w:type="dxa" w:w="20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color w:val="1B7A46"/>
                <w:sz w:val="19"/>
                <w:szCs w:val="19"/>
              </w:rPr>
              <w:t xml:space="preserve">Route wrapper</w:t>
            </w:r>
          </w:p>
        </w:tc>
      </w:tr>
    </w:tbl>
    <w:p>
      <w:pPr>
        <w:spacing w:after="80"/>
      </w:pPr>
      <w:r>
        <w:t xml:space="preserve"/>
      </w:r>
    </w:p>
    <w:p>
      <w:pPr>
        <w:spacing w:after="140" w:before="0" w:line="276"/>
      </w:pPr>
      <w:r>
        <w:rPr>
          <w:b/>
          <w:bCs/>
          <w:i w:val="false"/>
          <w:iCs w:val="false"/>
        </w:rPr>
        <w:t xml:space="preserve">Charts: </w:t>
      </w:r>
      <w:r>
        <w:rPr>
          <w:b w:val="false"/>
          <w:bCs w:val="false"/>
          <w:i w:val="false"/>
          <w:iCs w:val="false"/>
        </w:rPr>
        <w:t xml:space="preserve">Not Found in the commission module (a KPI strip exists only in the Performance Hub).</w:t>
      </w:r>
    </w:p>
    <w:p>
      <w:r>
        <w:br w:type="page"/>
      </w:r>
    </w:p>
    <w:p>
      <w:pPr>
        <w:pStyle w:val="Heading1"/>
      </w:pPr>
      <w:r>
        <w:t xml:space="preserve">9. Current User Interface</w:t>
      </w:r>
    </w:p>
    <w:p>
      <w:pPr>
        <w:spacing w:after="140" w:before="0" w:line="276"/>
      </w:pPr>
      <w:r>
        <w:rPr>
          <w:b w:val="false"/>
          <w:bCs w:val="false"/>
          <w:i w:val="false"/>
          <w:iCs w:val="false"/>
        </w:rPr>
        <w:t xml:space="preserve">The captures below were taken from the running application (localhost:8080) with an authenticated owner/commission-admin session against seeded institution data (Seneca Polytechnic and others). They document the </w:t>
      </w:r>
      <w:r>
        <w:rPr>
          <w:b/>
          <w:bCs/>
          <w:i w:val="false"/>
          <w:iCs w:val="false"/>
        </w:rPr>
        <w:t xml:space="preserve">as-built</w:t>
      </w:r>
      <w:r>
        <w:rPr>
          <w:b w:val="false"/>
          <w:bCs w:val="false"/>
          <w:i w:val="false"/>
          <w:iCs w:val="false"/>
        </w:rPr>
        <w:t xml:space="preserve"> state of each major screen and supersede the earlier audit note that screenshots were not captured.</w:t>
      </w:r>
    </w:p>
    <w:p>
      <w:pPr>
        <w:pStyle w:val="Heading2"/>
      </w:pPr>
      <w:r>
        <w:t xml:space="preserve">9.1 Global commission dashboard — /commissions</w:t>
      </w:r>
    </w:p>
    <w:p>
      <w:pPr>
        <w:spacing w:after="40" w:before="60"/>
        <w:jc w:val="center"/>
      </w:pPr>
      <w:r>
        <w:drawing>
          <wp:inline distT="0" distB="0" distL="0" distR="0">
            <wp:extent cx="5334000" cy="3448050"/>
            <wp:effectExtent t="0" r="0" b="0" l="0"/>
            <wp:docPr id="1" name="screenshot" descr="Commissions dashboard" title="Commissions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448050"/>
                    </a:xfrm>
                    <a:prstGeom prst="rect">
                      <a:avLst/>
                    </a:prstGeom>
                  </pic:spPr>
                </pic:pic>
              </a:graphicData>
            </a:graphic>
          </wp:inline>
        </w:drawing>
      </w:r>
    </w:p>
    <w:p>
      <w:pPr>
        <w:spacing w:after="200"/>
        <w:jc w:val="center"/>
      </w:pPr>
      <w:r>
        <w:rPr>
          <w:i/>
          <w:iCs/>
          <w:color w:val="666666"/>
          <w:sz w:val="18"/>
          <w:szCs w:val="18"/>
        </w:rPr>
        <w:t xml:space="preserve">Figure 1. Global dashboard: “Invoices by status” cards (Submitted 1, Draft 1, Paid 2, Approved 1, Sent 1) over a read-only Claim cycles table. Note the summary-only design — rows are not clickable into institution workflows (see Technical Debt).</w:t>
      </w:r>
    </w:p>
    <w:p>
      <w:pPr>
        <w:pStyle w:val="Heading2"/>
      </w:pPr>
      <w:r>
        <w:t xml:space="preserve">9.2 Commission plans &amp; simulator — Institution → Commissions</w:t>
      </w:r>
    </w:p>
    <w:p>
      <w:pPr>
        <w:spacing w:after="40" w:before="60"/>
        <w:jc w:val="center"/>
      </w:pPr>
      <w:r>
        <w:drawing>
          <wp:inline distT="0" distB="0" distL="0" distR="0">
            <wp:extent cx="5334000" cy="3448050"/>
            <wp:effectExtent t="0" r="0" b="0" l="0"/>
            <wp:docPr id="1" name="screenshot" descr="Commission plans" title="Commission pl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448050"/>
                    </a:xfrm>
                    <a:prstGeom prst="rect">
                      <a:avLst/>
                    </a:prstGeom>
                  </pic:spPr>
                </pic:pic>
              </a:graphicData>
            </a:graphic>
          </wp:inline>
        </w:drawing>
      </w:r>
    </w:p>
    <w:p>
      <w:pPr>
        <w:spacing w:after="200"/>
        <w:jc w:val="center"/>
      </w:pPr>
      <w:r>
        <w:rPr>
          <w:i/>
          <w:iCs/>
          <w:color w:val="666666"/>
          <w:sz w:val="18"/>
          <w:szCs w:val="18"/>
        </w:rPr>
        <w:t xml:space="preserve">Figure 2. Two active plans for Seneca Polytechnic: a percentage “Main Commission Plan 2024–2027” (base 15%) and a “Pathway Bonus Plan” (bonus, 250 CAD on program_type = pathway). The inline Commission Simulator previews a 2,700.00 CAD payout for 18,000 tuition — client-side commissionEngine output. The bonus rule does not match the sample inputs, so its simulator shows 0.00 CAD.</w:t>
      </w:r>
    </w:p>
    <w:p>
      <w:pPr>
        <w:pStyle w:val="Heading2"/>
      </w:pPr>
      <w:r>
        <w:t xml:space="preserve">9.3 Agreements — Institution → Agreements</w:t>
      </w:r>
    </w:p>
    <w:p>
      <w:pPr>
        <w:spacing w:after="40" w:before="60"/>
        <w:jc w:val="center"/>
      </w:pPr>
      <w:r>
        <w:drawing>
          <wp:inline distT="0" distB="0" distL="0" distR="0">
            <wp:extent cx="5334000" cy="3448050"/>
            <wp:effectExtent t="0" r="0" b="0" l="0"/>
            <wp:docPr id="1" name="screenshot" descr="Agreements" title="Agre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448050"/>
                    </a:xfrm>
                    <a:prstGeom prst="rect">
                      <a:avLst/>
                    </a:prstGeom>
                  </pic:spPr>
                </pic:pic>
              </a:graphicData>
            </a:graphic>
          </wp:inline>
        </w:drawing>
      </w:r>
    </w:p>
    <w:p>
      <w:pPr>
        <w:spacing w:after="200"/>
        <w:jc w:val="center"/>
      </w:pPr>
      <w:r>
        <w:rPr>
          <w:i/>
          <w:iCs/>
          <w:color w:val="666666"/>
          <w:sz w:val="18"/>
          <w:szCs w:val="18"/>
        </w:rPr>
        <w:t xml:space="preserve">Figure 3. Agreement list with lifecycle badges (expired / active) and renewal countdowns. The expanded “Recruitment Agency Agreement” shows the upi-analyze-agreement AI summary and structured terms (governing law, claim/invoice deadlines, termination notice, sub-agent and B2B allowances).</w:t>
      </w:r>
    </w:p>
    <w:p>
      <w:pPr>
        <w:pStyle w:val="Heading2"/>
      </w:pPr>
      <w:r>
        <w:t xml:space="preserve">9.4 Claims workflow — Institution → Claims</w:t>
      </w:r>
    </w:p>
    <w:p>
      <w:pPr>
        <w:spacing w:after="40" w:before="60"/>
        <w:jc w:val="center"/>
      </w:pPr>
      <w:r>
        <w:drawing>
          <wp:inline distT="0" distB="0" distL="0" distR="0">
            <wp:extent cx="5334000" cy="3448050"/>
            <wp:effectExtent t="0" r="0" b="0" l="0"/>
            <wp:docPr id="1" name="screenshot" descr="Claims" title="Clai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448050"/>
                    </a:xfrm>
                    <a:prstGeom prst="rect">
                      <a:avLst/>
                    </a:prstGeom>
                  </pic:spPr>
                </pic:pic>
              </a:graphicData>
            </a:graphic>
          </wp:inline>
        </w:drawing>
      </w:r>
    </w:p>
    <w:p>
      <w:pPr>
        <w:spacing w:after="200"/>
        <w:jc w:val="center"/>
      </w:pPr>
      <w:r>
        <w:rPr>
          <w:i/>
          <w:iCs/>
          <w:color w:val="666666"/>
          <w:sz w:val="18"/>
          <w:szCs w:val="18"/>
        </w:rPr>
        <w:t xml:space="preserve">Figure 4. Claims panel for the Fall 2025 intake: KPI strip (Expected / Received / Outstanding / Blocked / Carried forward), an overdue submitted cycle, and per-student rows showing the three-axis lifecycle (Eligibility + Claim status), calculated commission, and row actions (view, recalc, hold, transfer, link). Blocked/ineligible students carry no calculated amount.</w:t>
      </w:r>
    </w:p>
    <w:p>
      <w:pPr>
        <w:pStyle w:val="Heading2"/>
      </w:pPr>
      <w:r>
        <w:t xml:space="preserve">9.5 Claim submission dialog</w:t>
      </w:r>
    </w:p>
    <w:p>
      <w:pPr>
        <w:spacing w:after="40" w:before="60"/>
        <w:jc w:val="center"/>
      </w:pPr>
      <w:r>
        <w:drawing>
          <wp:inline distT="0" distB="0" distL="0" distR="0">
            <wp:extent cx="5334000" cy="3448050"/>
            <wp:effectExtent t="0" r="0" b="0" l="0"/>
            <wp:docPr id="1" name="screenshot" descr="Submit claim" title="Submit cla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448050"/>
                    </a:xfrm>
                    <a:prstGeom prst="rect">
                      <a:avLst/>
                    </a:prstGeom>
                  </pic:spPr>
                </pic:pic>
              </a:graphicData>
            </a:graphic>
          </wp:inline>
        </w:drawing>
      </w:r>
    </w:p>
    <w:p>
      <w:pPr>
        <w:spacing w:after="200"/>
        <w:jc w:val="center"/>
      </w:pPr>
      <w:r>
        <w:rPr>
          <w:i/>
          <w:iCs/>
          <w:color w:val="666666"/>
          <w:sz w:val="18"/>
          <w:szCs w:val="18"/>
        </w:rPr>
        <w:t xml:space="preserve">Figure 5. The Submit-claim confirmation modal lists the four eligible students and their commission amounts before the operator confirms submission to the institution for validation — an explicit, operator-initiated step (no background automation).</w:t>
      </w:r>
    </w:p>
    <w:p>
      <w:pPr>
        <w:pStyle w:val="Heading2"/>
      </w:pPr>
      <w:r>
        <w:t xml:space="preserve">9.6 Receipts — empty state and creation wizard</w:t>
      </w:r>
    </w:p>
    <w:p>
      <w:pPr>
        <w:spacing w:after="40" w:before="60"/>
        <w:jc w:val="center"/>
      </w:pPr>
      <w:r>
        <w:drawing>
          <wp:inline distT="0" distB="0" distL="0" distR="0">
            <wp:extent cx="4381500" cy="2828925"/>
            <wp:effectExtent t="0" r="0" b="0" l="0"/>
            <wp:docPr id="1" name="screenshot" descr="Receipts empty state" title="Receipts empty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2828925"/>
                    </a:xfrm>
                    <a:prstGeom prst="rect">
                      <a:avLst/>
                    </a:prstGeom>
                  </pic:spPr>
                </pic:pic>
              </a:graphicData>
            </a:graphic>
          </wp:inline>
        </w:drawing>
      </w:r>
    </w:p>
    <w:p>
      <w:pPr>
        <w:spacing w:after="200"/>
        <w:jc w:val="center"/>
      </w:pPr>
      <w:r>
        <w:rPr>
          <w:i/>
          <w:iCs/>
          <w:color w:val="666666"/>
          <w:sz w:val="18"/>
          <w:szCs w:val="18"/>
        </w:rPr>
        <w:t xml:space="preserve">Figure 6. Receipts tab empty state, with the immutability contract stated up front: “Posted receipts are immutable — void and recreate to correct.”</w:t>
      </w:r>
    </w:p>
    <w:p>
      <w:pPr>
        <w:spacing w:after="40" w:before="60"/>
        <w:jc w:val="center"/>
      </w:pPr>
      <w:r>
        <w:drawing>
          <wp:inline distT="0" distB="0" distL="0" distR="0">
            <wp:extent cx="5334000" cy="3448050"/>
            <wp:effectExtent t="0" r="0" b="0" l="0"/>
            <wp:docPr id="1" name="screenshot" descr="New commission receipt wizard" title="New commission receipt wiz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448050"/>
                    </a:xfrm>
                    <a:prstGeom prst="rect">
                      <a:avLst/>
                    </a:prstGeom>
                  </pic:spPr>
                </pic:pic>
              </a:graphicData>
            </a:graphic>
          </wp:inline>
        </w:drawing>
      </w:r>
    </w:p>
    <w:p>
      <w:pPr>
        <w:spacing w:after="200"/>
        <w:jc w:val="center"/>
      </w:pPr>
      <w:r>
        <w:rPr>
          <w:i/>
          <w:iCs/>
          <w:color w:val="666666"/>
          <w:sz w:val="18"/>
          <w:szCs w:val="18"/>
        </w:rPr>
        <w:t xml:space="preserve">Figure 7. New commission receipt wizard, step 1 of 4 (Header → Invoices → Students → Review). Header captures amount, currency, exchange-rate-to-CAD, date, and remittance/bank references, with a “Save draft &amp; exit” path. Steps 2–3 drive the invoice and student allocations required before posting.</w:t>
      </w:r>
    </w:p>
    <w:p>
      <w:pPr>
        <w:pStyle w:val="Heading2"/>
      </w:pPr>
      <w:r>
        <w:t xml:space="preserve">9.7 Billing profile form — Institution → Billing</w:t>
      </w:r>
    </w:p>
    <w:p>
      <w:pPr>
        <w:spacing w:after="40" w:before="60"/>
        <w:jc w:val="center"/>
      </w:pPr>
      <w:r>
        <w:drawing>
          <wp:inline distT="0" distB="0" distL="0" distR="0">
            <wp:extent cx="5334000" cy="3448050"/>
            <wp:effectExtent t="0" r="0" b="0" l="0"/>
            <wp:docPr id="1" name="screenshot" descr="New billing profile" title="New billing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448050"/>
                    </a:xfrm>
                    <a:prstGeom prst="rect">
                      <a:avLst/>
                    </a:prstGeom>
                  </pic:spPr>
                </pic:pic>
              </a:graphicData>
            </a:graphic>
          </wp:inline>
        </w:drawing>
      </w:r>
    </w:p>
    <w:p>
      <w:pPr>
        <w:spacing w:after="200"/>
        <w:jc w:val="center"/>
      </w:pPr>
      <w:r>
        <w:rPr>
          <w:i/>
          <w:iCs/>
          <w:color w:val="666666"/>
          <w:sz w:val="18"/>
          <w:szCs w:val="18"/>
        </w:rPr>
        <w:t xml:space="preserve">Figure 8. Billing profile creation: legal entity, billing contacts, tax/GST number, payment terms, separate invoice and receipt currencies, remittance instructions, and a default-profile toggle. The subtitle notes the optional aggregator override reserved for Phase 2.</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AF0FB" w:sz="1"/>
              <w:left w:val="single" w:color="2E5AAC" w:sz="18"/>
              <w:bottom w:val="single" w:color="EAF0FB" w:sz="1"/>
              <w:right w:val="single" w:color="EAF0FB" w:sz="1"/>
            </w:tcBorders>
            <w:shd w:fill="EAF0FB" w:val="clear"/>
            <w:tcMar>
              <w:top w:type="dxa" w:w="100"/>
              <w:left w:type="dxa" w:w="180"/>
              <w:bottom w:type="dxa" w:w="100"/>
              <w:right w:type="dxa" w:w="140"/>
            </w:tcMar>
          </w:tcPr>
          <w:p>
            <w:pPr>
              <w:spacing w:after="0" w:line="268"/>
            </w:pPr>
            <w:r>
              <w:rPr>
                <w:b/>
                <w:bCs/>
                <w:color w:val="2E5AAC"/>
                <w:sz w:val="19"/>
                <w:szCs w:val="19"/>
              </w:rPr>
              <w:t xml:space="preserve">Not captured (screens without seeded data at capture time):  </w:t>
            </w:r>
            <w:r>
              <w:rPr>
                <w:sz w:val="20"/>
                <w:szCs w:val="20"/>
              </w:rPr>
              <w:t xml:space="preserve">Aggregator Workbench (/institutions/aggregators/:id/workbench), Performance Hub ledger (/performance/commissions), and the client-detail ClientCommissionStatusPanel. Capture with an aggregator-scoped institution and Performance Hub role to complete the visual baseline.</w:t>
            </w:r>
          </w:p>
        </w:tc>
      </w:tr>
    </w:tbl>
    <w:p>
      <w:r>
        <w:br w:type="page"/>
      </w:r>
    </w:p>
    <w:p>
      <w:pPr>
        <w:pStyle w:val="Heading1"/>
      </w:pPr>
      <w:r>
        <w:t xml:space="preserve">10. Technical Debt</w:t>
      </w:r>
    </w:p>
    <w:p>
      <w:pPr>
        <w:spacing w:after="140" w:before="0" w:line="276"/>
      </w:pPr>
      <w:r>
        <w:rPr>
          <w:b w:val="false"/>
          <w:bCs w:val="false"/>
          <w:i w:val="false"/>
          <w:iCs w:val="false"/>
        </w:rPr>
        <w:t xml:space="preserve">Every item below is tied to a source file. Types range from missing logic and placeholder UI to security and test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50"/>
        <w:gridCol w:w="1760"/>
        <w:gridCol w:w="4150"/>
      </w:tblGrid>
      <w:tr>
        <w:trPr>
          <w:tblHeader/>
        </w:trPr>
        <w:tc>
          <w:tcPr>
            <w:tcW w:type="dxa" w:w="3450"/>
            <w:tcBorders>
              <w:top w:val="single" w:color="C9D2E3" w:sz="1"/>
              <w:left w:val="single" w:color="C9D2E3" w:sz="1"/>
              <w:bottom w:val="single" w:color="C9D2E3" w:sz="1"/>
              <w:right w:val="single" w:color="C9D2E3" w:sz="1"/>
            </w:tcBorders>
            <w:shd w:fill="1F2A5A" w:val="clear"/>
            <w:tcMar>
              <w:top w:type="dxa" w:w="60"/>
              <w:left w:type="dxa" w:w="110"/>
              <w:bottom w:type="dxa" w:w="60"/>
              <w:right w:type="dxa" w:w="110"/>
            </w:tcMar>
            <w:vAlign w:val="center"/>
          </w:tcPr>
          <w:p>
            <w:pPr>
              <w:spacing w:after="0" w:line="240"/>
            </w:pPr>
            <w:r>
              <w:rPr>
                <w:b/>
                <w:bCs/>
                <w:i w:val="false"/>
                <w:iCs w:val="false"/>
                <w:color w:val="FFFFFF"/>
                <w:sz w:val="18"/>
                <w:szCs w:val="18"/>
              </w:rPr>
              <w:t xml:space="preserve">Item</w:t>
            </w:r>
          </w:p>
        </w:tc>
        <w:tc>
          <w:tcPr>
            <w:tcW w:type="dxa" w:w="1760"/>
            <w:tcBorders>
              <w:top w:val="single" w:color="C9D2E3" w:sz="1"/>
              <w:left w:val="single" w:color="C9D2E3" w:sz="1"/>
              <w:bottom w:val="single" w:color="C9D2E3" w:sz="1"/>
              <w:right w:val="single" w:color="C9D2E3" w:sz="1"/>
            </w:tcBorders>
            <w:shd w:fill="1F2A5A" w:val="clear"/>
            <w:tcMar>
              <w:top w:type="dxa" w:w="60"/>
              <w:left w:type="dxa" w:w="110"/>
              <w:bottom w:type="dxa" w:w="60"/>
              <w:right w:type="dxa" w:w="110"/>
            </w:tcMar>
            <w:vAlign w:val="center"/>
          </w:tcPr>
          <w:p>
            <w:pPr>
              <w:spacing w:after="0" w:line="240"/>
            </w:pPr>
            <w:r>
              <w:rPr>
                <w:b/>
                <w:bCs/>
                <w:i w:val="false"/>
                <w:iCs w:val="false"/>
                <w:color w:val="FFFFFF"/>
                <w:sz w:val="18"/>
                <w:szCs w:val="18"/>
              </w:rPr>
              <w:t xml:space="preserve">Type</w:t>
            </w:r>
          </w:p>
        </w:tc>
        <w:tc>
          <w:tcPr>
            <w:tcW w:type="dxa" w:w="4150"/>
            <w:tcBorders>
              <w:top w:val="single" w:color="C9D2E3" w:sz="1"/>
              <w:left w:val="single" w:color="C9D2E3" w:sz="1"/>
              <w:bottom w:val="single" w:color="C9D2E3" w:sz="1"/>
              <w:right w:val="single" w:color="C9D2E3" w:sz="1"/>
            </w:tcBorders>
            <w:shd w:fill="1F2A5A" w:val="clear"/>
            <w:tcMar>
              <w:top w:type="dxa" w:w="60"/>
              <w:left w:type="dxa" w:w="110"/>
              <w:bottom w:type="dxa" w:w="60"/>
              <w:right w:type="dxa" w:w="110"/>
            </w:tcMar>
            <w:vAlign w:val="center"/>
          </w:tcPr>
          <w:p>
            <w:pPr>
              <w:spacing w:after="0" w:line="240"/>
            </w:pPr>
            <w:r>
              <w:rPr>
                <w:b/>
                <w:bCs/>
                <w:i w:val="false"/>
                <w:iCs w:val="false"/>
                <w:color w:val="FFFFFF"/>
                <w:sz w:val="18"/>
                <w:szCs w:val="18"/>
              </w:rPr>
              <w:t xml:space="preserve">Source</w:t>
            </w:r>
          </w:p>
        </w:tc>
      </w:tr>
      <w:tr>
        <w:tc>
          <w:tcPr>
            <w:tcW w:type="dxa" w:w="345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Custom eligibility trigger not implemented</w:t>
            </w:r>
          </w:p>
        </w:tc>
        <w:tc>
          <w:tcPr>
            <w:tcW w:type="dxa" w:w="17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color w:val="B23A3A"/>
                <w:sz w:val="19"/>
                <w:szCs w:val="19"/>
              </w:rPr>
              <w:t xml:space="preserve">Missing logic</w:t>
            </w:r>
          </w:p>
        </w:tc>
        <w:tc>
          <w:tcPr>
            <w:tcW w:type="dxa" w:w="415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commissionEligibilityEvaluator.ts L101–103; phase1_rpcs.sql</w:t>
            </w:r>
          </w:p>
        </w:tc>
      </w:tr>
      <w:tr>
        <w:tc>
          <w:tcPr>
            <w:tcW w:type="dxa" w:w="345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Manual client ↔ student linking disabled</w:t>
            </w:r>
          </w:p>
        </w:tc>
        <w:tc>
          <w:tcPr>
            <w:tcW w:type="dxa" w:w="17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Placeholder UI</w:t>
            </w:r>
          </w:p>
        </w:tc>
        <w:tc>
          <w:tcPr>
            <w:tcW w:type="dxa" w:w="415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ClaimsPanel.tsx L695–700 (“Coming soon”)</w:t>
            </w:r>
          </w:p>
        </w:tc>
      </w:tr>
      <w:tr>
        <w:tc>
          <w:tcPr>
            <w:tcW w:type="dxa" w:w="345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CRM bridge dormant</w:t>
            </w:r>
          </w:p>
        </w:tc>
        <w:tc>
          <w:tcPr>
            <w:tcW w:type="dxa" w:w="17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color w:val="9A6A12"/>
                <w:sz w:val="19"/>
                <w:szCs w:val="19"/>
              </w:rPr>
              <w:t xml:space="preserve">Stub</w:t>
            </w:r>
          </w:p>
        </w:tc>
        <w:tc>
          <w:tcPr>
            <w:tcW w:type="dxa" w:w="415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planned/clientIntegrationBridge.ts — all TODO(activation)</w:t>
            </w:r>
          </w:p>
        </w:tc>
      </w:tr>
      <w:tr>
        <w:tc>
          <w:tcPr>
            <w:tcW w:type="dxa" w:w="345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Institution Claim Eligibility Rules</w:t>
            </w:r>
          </w:p>
        </w:tc>
        <w:tc>
          <w:tcPr>
            <w:tcW w:type="dxa" w:w="17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Backlog</w:t>
            </w:r>
          </w:p>
        </w:tc>
        <w:tc>
          <w:tcPr>
            <w:tcW w:type="dxa" w:w="415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docs/backlog/INSTITUTION_CLAIM_ELIGIBILITY_RULES.md</w:t>
            </w:r>
          </w:p>
        </w:tc>
      </w:tr>
      <w:tr>
        <w:tc>
          <w:tcPr>
            <w:tcW w:type="dxa" w:w="345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Phase 2B types missing from generated types</w:t>
            </w:r>
          </w:p>
        </w:tc>
        <w:tc>
          <w:tcPr>
            <w:tcW w:type="dxa" w:w="17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Type gap</w:t>
            </w:r>
          </w:p>
        </w:tc>
        <w:tc>
          <w:tcPr>
            <w:tcW w:type="dxa" w:w="415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types.ts vs migrations; AggregatorWorkbenchPage uses as any</w:t>
            </w:r>
          </w:p>
        </w:tc>
      </w:tr>
      <w:tr>
        <w:tc>
          <w:tcPr>
            <w:tcW w:type="dxa" w:w="345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Aggregator statement label “placeholder upload”</w:t>
            </w:r>
          </w:p>
        </w:tc>
        <w:tc>
          <w:tcPr>
            <w:tcW w:type="dxa" w:w="17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UI debt</w:t>
            </w:r>
          </w:p>
        </w:tc>
        <w:tc>
          <w:tcPr>
            <w:tcW w:type="dxa" w:w="415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AggregatorWorkbenchPage.tsx L483</w:t>
            </w:r>
          </w:p>
        </w:tc>
      </w:tr>
      <w:tr>
        <w:tc>
          <w:tcPr>
            <w:tcW w:type="dxa" w:w="345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Accounting bridge not built</w:t>
            </w:r>
          </w:p>
        </w:tc>
        <w:tc>
          <w:tcPr>
            <w:tcW w:type="dxa" w:w="17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Documented gap</w:t>
            </w:r>
          </w:p>
        </w:tc>
        <w:tc>
          <w:tcPr>
            <w:tcW w:type="dxa" w:w="415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PHASE1_UAT_READINESS; accounting_journal_id unused</w:t>
            </w:r>
          </w:p>
        </w:tc>
      </w:tr>
      <w:tr>
        <w:tc>
          <w:tcPr>
            <w:tcW w:type="dxa" w:w="345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Invoice auto-numbering placeholder</w:t>
            </w:r>
          </w:p>
        </w:tc>
        <w:tc>
          <w:tcPr>
            <w:tcW w:type="dxa" w:w="17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Known limitation</w:t>
            </w:r>
          </w:p>
        </w:tc>
        <w:tc>
          <w:tcPr>
            <w:tcW w:type="dxa" w:w="415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UAT doc: FLC-YYYY-AUTO-*</w:t>
            </w:r>
          </w:p>
        </w:tc>
      </w:tr>
      <w:tr>
        <w:tc>
          <w:tcPr>
            <w:tcW w:type="dxa" w:w="345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Legacy direct mark-paid removed</w:t>
            </w:r>
          </w:p>
        </w:tc>
        <w:tc>
          <w:tcPr>
            <w:tcW w:type="dxa" w:w="17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Migration note</w:t>
            </w:r>
          </w:p>
        </w:tc>
        <w:tc>
          <w:tcPr>
            <w:tcW w:type="dxa" w:w="415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ClaimsPanel.tsx L390 comment</w:t>
            </w:r>
          </w:p>
        </w:tc>
      </w:tr>
      <w:tr>
        <w:tc>
          <w:tcPr>
            <w:tcW w:type="dxa" w:w="345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Typed claim classifier deferred</w:t>
            </w:r>
          </w:p>
        </w:tc>
        <w:tc>
          <w:tcPr>
            <w:tcW w:type="dxa" w:w="17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TODO</w:t>
            </w:r>
          </w:p>
        </w:tc>
        <w:tc>
          <w:tcPr>
            <w:tcW w:type="dxa" w:w="415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claimEngine.ts L1–8 (“Phase 2.2”)</w:t>
            </w:r>
          </w:p>
        </w:tc>
      </w:tr>
      <w:tr>
        <w:tc>
          <w:tcPr>
            <w:tcW w:type="dxa" w:w="345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AI help doc outdated</w:t>
            </w:r>
          </w:p>
        </w:tc>
        <w:tc>
          <w:tcPr>
            <w:tcW w:type="dxa" w:w="17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Doc drift</w:t>
            </w:r>
          </w:p>
        </w:tc>
        <w:tc>
          <w:tcPr>
            <w:tcW w:type="dxa" w:w="415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ai-help/knowledge/12-commissions.md</w:t>
            </w:r>
          </w:p>
        </w:tc>
      </w:tr>
      <w:tr>
        <w:tc>
          <w:tcPr>
            <w:tcW w:type="dxa" w:w="345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ClaimsPanel monolith</w:t>
            </w:r>
          </w:p>
        </w:tc>
        <w:tc>
          <w:tcPr>
            <w:tcW w:type="dxa" w:w="17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Maintainability</w:t>
            </w:r>
          </w:p>
        </w:tc>
        <w:tc>
          <w:tcPr>
            <w:tcW w:type="dxa" w:w="415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ClaimsPanel.tsx (~1200 lines, mixed concerns)</w:t>
            </w:r>
          </w:p>
        </w:tc>
      </w:tr>
      <w:tr>
        <w:tc>
          <w:tcPr>
            <w:tcW w:type="dxa" w:w="345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Duplicate eligibility logic</w:t>
            </w:r>
          </w:p>
        </w:tc>
        <w:tc>
          <w:tcPr>
            <w:tcW w:type="dxa" w:w="17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Duplicate</w:t>
            </w:r>
          </w:p>
        </w:tc>
        <w:tc>
          <w:tcPr>
            <w:tcW w:type="dxa" w:w="415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TS evaluator + SQL RPC + dormant bridge checker</w:t>
            </w:r>
          </w:p>
        </w:tc>
      </w:tr>
      <w:tr>
        <w:tc>
          <w:tcPr>
            <w:tcW w:type="dxa" w:w="345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Permissive early-table RLS</w:t>
            </w:r>
          </w:p>
        </w:tc>
        <w:tc>
          <w:tcPr>
            <w:tcW w:type="dxa" w:w="17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Security debt</w:t>
            </w:r>
          </w:p>
        </w:tc>
        <w:tc>
          <w:tcPr>
            <w:tcW w:type="dxa" w:w="415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upi_commission_students policy (authenticated USING true)</w:t>
            </w:r>
          </w:p>
        </w:tc>
      </w:tr>
      <w:tr>
        <w:tc>
          <w:tcPr>
            <w:tcW w:type="dxa" w:w="345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No E2E tests for commission workflows</w:t>
            </w:r>
          </w:p>
        </w:tc>
        <w:tc>
          <w:tcPr>
            <w:tcW w:type="dxa" w:w="17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Test gap</w:t>
            </w:r>
          </w:p>
        </w:tc>
        <w:tc>
          <w:tcPr>
            <w:tcW w:type="dxa" w:w="415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Only 5 unit-test files present</w:t>
            </w:r>
          </w:p>
        </w:tc>
      </w:tr>
      <w:tr>
        <w:tc>
          <w:tcPr>
            <w:tcW w:type="dxa" w:w="345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Global dashboard has no navigation</w:t>
            </w:r>
          </w:p>
        </w:tc>
        <w:tc>
          <w:tcPr>
            <w:tcW w:type="dxa" w:w="17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UX gap</w:t>
            </w:r>
          </w:p>
        </w:tc>
        <w:tc>
          <w:tcPr>
            <w:tcW w:type="dxa" w:w="415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CommissionsPage.tsx — lists only, no links</w:t>
            </w:r>
          </w:p>
        </w:tc>
      </w:tr>
    </w:tbl>
    <w:p>
      <w:r>
        <w:br w:type="page"/>
      </w:r>
    </w:p>
    <w:p>
      <w:pPr>
        <w:pStyle w:val="Heading1"/>
      </w:pPr>
      <w:r>
        <w:t xml:space="preserve">11. Reuse Analysis (Evidence-Based)</w:t>
      </w:r>
    </w:p>
    <w:p>
      <w:pPr>
        <w:spacing w:after="140" w:before="0" w:line="276"/>
      </w:pPr>
      <w:r>
        <w:rPr>
          <w:b w:val="false"/>
          <w:bCs w:val="false"/>
          <w:i w:val="false"/>
          <w:iCs w:val="false"/>
        </w:rPr>
        <w:t xml:space="preserve">Each major feature is classified KEEP AS IS, IMPROVE, CONSOLIDATE, REMOVE, or REBUILD, based only on observed implementation. The guiding principle is preserve-and-extend rather than replace.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2160"/>
        <w:gridCol w:w="3900"/>
      </w:tblGrid>
      <w:tr>
        <w:trPr>
          <w:tblHeader/>
        </w:trPr>
        <w:tc>
          <w:tcPr>
            <w:tcW w:type="dxa" w:w="3300"/>
            <w:tcBorders>
              <w:top w:val="single" w:color="C9D2E3" w:sz="1"/>
              <w:left w:val="single" w:color="C9D2E3" w:sz="1"/>
              <w:bottom w:val="single" w:color="C9D2E3" w:sz="1"/>
              <w:right w:val="single" w:color="C9D2E3" w:sz="1"/>
            </w:tcBorders>
            <w:shd w:fill="1F2A5A" w:val="clear"/>
            <w:tcMar>
              <w:top w:type="dxa" w:w="60"/>
              <w:left w:type="dxa" w:w="110"/>
              <w:bottom w:type="dxa" w:w="60"/>
              <w:right w:type="dxa" w:w="110"/>
            </w:tcMar>
            <w:vAlign w:val="center"/>
          </w:tcPr>
          <w:p>
            <w:pPr>
              <w:spacing w:after="0" w:line="240"/>
            </w:pPr>
            <w:r>
              <w:rPr>
                <w:b/>
                <w:bCs/>
                <w:i w:val="false"/>
                <w:iCs w:val="false"/>
                <w:color w:val="FFFFFF"/>
                <w:sz w:val="18"/>
                <w:szCs w:val="18"/>
              </w:rPr>
              <w:t xml:space="preserve">Feature</w:t>
            </w:r>
          </w:p>
        </w:tc>
        <w:tc>
          <w:tcPr>
            <w:tcW w:type="dxa" w:w="2160"/>
            <w:tcBorders>
              <w:top w:val="single" w:color="C9D2E3" w:sz="1"/>
              <w:left w:val="single" w:color="C9D2E3" w:sz="1"/>
              <w:bottom w:val="single" w:color="C9D2E3" w:sz="1"/>
              <w:right w:val="single" w:color="C9D2E3" w:sz="1"/>
            </w:tcBorders>
            <w:shd w:fill="1F2A5A" w:val="clear"/>
            <w:tcMar>
              <w:top w:type="dxa" w:w="60"/>
              <w:left w:type="dxa" w:w="110"/>
              <w:bottom w:type="dxa" w:w="60"/>
              <w:right w:type="dxa" w:w="110"/>
            </w:tcMar>
            <w:vAlign w:val="center"/>
          </w:tcPr>
          <w:p>
            <w:pPr>
              <w:spacing w:after="0" w:line="240"/>
            </w:pPr>
            <w:r>
              <w:rPr>
                <w:b/>
                <w:bCs/>
                <w:i w:val="false"/>
                <w:iCs w:val="false"/>
                <w:color w:val="FFFFFF"/>
                <w:sz w:val="18"/>
                <w:szCs w:val="18"/>
              </w:rPr>
              <w:t xml:space="preserve">Classification</w:t>
            </w:r>
          </w:p>
        </w:tc>
        <w:tc>
          <w:tcPr>
            <w:tcW w:type="dxa" w:w="3900"/>
            <w:tcBorders>
              <w:top w:val="single" w:color="C9D2E3" w:sz="1"/>
              <w:left w:val="single" w:color="C9D2E3" w:sz="1"/>
              <w:bottom w:val="single" w:color="C9D2E3" w:sz="1"/>
              <w:right w:val="single" w:color="C9D2E3" w:sz="1"/>
            </w:tcBorders>
            <w:shd w:fill="1F2A5A" w:val="clear"/>
            <w:tcMar>
              <w:top w:type="dxa" w:w="60"/>
              <w:left w:type="dxa" w:w="110"/>
              <w:bottom w:type="dxa" w:w="60"/>
              <w:right w:type="dxa" w:w="110"/>
            </w:tcMar>
            <w:vAlign w:val="center"/>
          </w:tcPr>
          <w:p>
            <w:pPr>
              <w:spacing w:after="0" w:line="240"/>
            </w:pPr>
            <w:r>
              <w:rPr>
                <w:b/>
                <w:bCs/>
                <w:i w:val="false"/>
                <w:iCs w:val="false"/>
                <w:color w:val="FFFFFF"/>
                <w:sz w:val="18"/>
                <w:szCs w:val="18"/>
              </w:rPr>
              <w:t xml:space="preserve">Reason • affected if changed</w:t>
            </w:r>
          </w:p>
        </w:tc>
      </w:tr>
      <w:tr>
        <w:tc>
          <w:tcPr>
            <w:tcW w:type="dxa" w:w="33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Commission rule engine (engine + resolver)</w:t>
            </w:r>
          </w:p>
        </w:tc>
        <w:tc>
          <w:tcPr>
            <w:tcW w:type="dxa" w:w="21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color w:val="1B7A46"/>
                <w:sz w:val="19"/>
                <w:szCs w:val="19"/>
              </w:rPr>
              <w:t xml:space="preserve">KEEP AS IS</w:t>
            </w:r>
          </w:p>
        </w:tc>
        <w:tc>
          <w:tcPr>
            <w:tcW w:type="dxa" w:w="39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Pure, unit-tested, mirrors DB RPC • recalc, simulator, future API</w:t>
            </w:r>
          </w:p>
        </w:tc>
      </w:tr>
      <w:tr>
        <w:tc>
          <w:tcPr>
            <w:tcW w:type="dxa" w:w="33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Phase 1 lifecycle RPCs</w:t>
            </w:r>
          </w:p>
        </w:tc>
        <w:tc>
          <w:tcPr>
            <w:tcW w:type="dxa" w:w="21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color w:val="1B7A46"/>
                <w:sz w:val="19"/>
                <w:szCs w:val="19"/>
              </w:rPr>
              <w:t xml:space="preserve">KEEP AS IS</w:t>
            </w:r>
          </w:p>
        </w:tc>
        <w:tc>
          <w:tcPr>
            <w:tcW w:type="dxa" w:w="39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UAT-ready, immutability triggers • all lifecycle UI</w:t>
            </w:r>
          </w:p>
        </w:tc>
      </w:tr>
      <w:tr>
        <w:tc>
          <w:tcPr>
            <w:tcW w:type="dxa" w:w="33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Institution tab workspace</w:t>
            </w:r>
          </w:p>
        </w:tc>
        <w:tc>
          <w:tcPr>
            <w:tcW w:type="dxa" w:w="21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color w:val="1B7A46"/>
                <w:sz w:val="19"/>
                <w:szCs w:val="19"/>
              </w:rPr>
              <w:t xml:space="preserve">KEEP AS IS</w:t>
            </w:r>
          </w:p>
        </w:tc>
        <w:tc>
          <w:tcPr>
            <w:tcW w:type="dxa" w:w="39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Full operational workflow in one place • institution module</w:t>
            </w:r>
          </w:p>
        </w:tc>
      </w:tr>
      <w:tr>
        <w:tc>
          <w:tcPr>
            <w:tcW w:type="dxa" w:w="33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Receipt wizard + RPCs</w:t>
            </w:r>
          </w:p>
        </w:tc>
        <w:tc>
          <w:tcPr>
            <w:tcW w:type="dxa" w:w="21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color w:val="9A6A12"/>
                <w:sz w:val="19"/>
                <w:szCs w:val="19"/>
              </w:rPr>
              <w:t xml:space="preserve">IMPROVE</w:t>
            </w:r>
          </w:p>
        </w:tc>
        <w:tc>
          <w:tcPr>
            <w:tcW w:type="dxa" w:w="39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Works per 2A; no GL bridge • finance, accounting</w:t>
            </w:r>
          </w:p>
        </w:tc>
      </w:tr>
      <w:tr>
        <w:tc>
          <w:tcPr>
            <w:tcW w:type="dxa" w:w="33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Global /commissions dashboard</w:t>
            </w:r>
          </w:p>
        </w:tc>
        <w:tc>
          <w:tcPr>
            <w:tcW w:type="dxa" w:w="21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color w:val="9A6A12"/>
                <w:sz w:val="19"/>
                <w:szCs w:val="19"/>
              </w:rPr>
              <w:t xml:space="preserve">IMPROVE</w:t>
            </w:r>
          </w:p>
        </w:tc>
        <w:tc>
          <w:tcPr>
            <w:tcW w:type="dxa" w:w="39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Read-only summary • needs drill-down, filters, pending claims</w:t>
            </w:r>
          </w:p>
        </w:tc>
      </w:tr>
      <w:tr>
        <w:tc>
          <w:tcPr>
            <w:tcW w:type="dxa" w:w="33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ClaimsPanel monolith</w:t>
            </w:r>
          </w:p>
        </w:tc>
        <w:tc>
          <w:tcPr>
            <w:tcW w:type="dxa" w:w="21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color w:val="9A6A12"/>
                <w:sz w:val="19"/>
                <w:szCs w:val="19"/>
              </w:rPr>
              <w:t xml:space="preserve">CONSOLIDATE</w:t>
            </w:r>
          </w:p>
        </w:tc>
        <w:tc>
          <w:tcPr>
            <w:tcW w:type="dxa" w:w="39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Extract sub-components without behavior change • claims maintenance</w:t>
            </w:r>
          </w:p>
        </w:tc>
      </w:tr>
      <w:tr>
        <w:tc>
          <w:tcPr>
            <w:tcW w:type="dxa" w:w="33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clientIntegrationBridge</w:t>
            </w:r>
          </w:p>
        </w:tc>
        <w:tc>
          <w:tcPr>
            <w:tcW w:type="dxa" w:w="21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color w:val="B23A3A"/>
                <w:sz w:val="19"/>
                <w:szCs w:val="19"/>
              </w:rPr>
              <w:t xml:space="preserve">REBUILD</w:t>
            </w:r>
          </w:p>
        </w:tc>
        <w:tc>
          <w:tcPr>
            <w:tcW w:type="dxa" w:w="39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BRIDGE_ENABLED=false, all TODOs • CRM, admissions</w:t>
            </w:r>
          </w:p>
        </w:tc>
      </w:tr>
      <w:tr>
        <w:tc>
          <w:tcPr>
            <w:tcW w:type="dxa" w:w="33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Dormant bridge eligibility checker</w:t>
            </w:r>
          </w:p>
        </w:tc>
        <w:tc>
          <w:tcPr>
            <w:tcW w:type="dxa" w:w="21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color w:val="B23A3A"/>
                <w:sz w:val="19"/>
                <w:szCs w:val="19"/>
              </w:rPr>
              <w:t xml:space="preserve">REMOVE / merge</w:t>
            </w:r>
          </w:p>
        </w:tc>
        <w:tc>
          <w:tcPr>
            <w:tcW w:type="dxa" w:w="39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Overlaps Phase 1 evaluator • conflicting-rule risk</w:t>
            </w:r>
          </w:p>
        </w:tc>
      </w:tr>
      <w:tr>
        <w:tc>
          <w:tcPr>
            <w:tcW w:type="dxa" w:w="33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Legacy commission_status column</w:t>
            </w:r>
          </w:p>
        </w:tc>
        <w:tc>
          <w:tcPr>
            <w:tcW w:type="dxa" w:w="21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color w:val="1B7A46"/>
                <w:sz w:val="19"/>
                <w:szCs w:val="19"/>
              </w:rPr>
              <w:t xml:space="preserve">KEEP (for now)</w:t>
            </w:r>
          </w:p>
        </w:tc>
        <w:tc>
          <w:tcPr>
            <w:tcW w:type="dxa" w:w="39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Trigger keeps legacy UI working • backward compatibility</w:t>
            </w:r>
          </w:p>
        </w:tc>
      </w:tr>
      <w:tr>
        <w:tc>
          <w:tcPr>
            <w:tcW w:type="dxa" w:w="33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Phase 2B as any table access</w:t>
            </w:r>
          </w:p>
        </w:tc>
        <w:tc>
          <w:tcPr>
            <w:tcW w:type="dxa" w:w="21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color w:val="9A6A12"/>
                <w:sz w:val="19"/>
                <w:szCs w:val="19"/>
              </w:rPr>
              <w:t xml:space="preserve">IMPROVE</w:t>
            </w:r>
          </w:p>
        </w:tc>
        <w:tc>
          <w:tcPr>
            <w:tcW w:type="dxa" w:w="39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Regenerate Supabase types • aggregator workbench</w:t>
            </w:r>
          </w:p>
        </w:tc>
      </w:tr>
      <w:tr>
        <w:tc>
          <w:tcPr>
            <w:tcW w:type="dxa" w:w="33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Performance Hub CMS view</w:t>
            </w:r>
          </w:p>
        </w:tc>
        <w:tc>
          <w:tcPr>
            <w:tcW w:type="dxa" w:w="21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color w:val="1B7A46"/>
                <w:sz w:val="19"/>
                <w:szCs w:val="19"/>
              </w:rPr>
              <w:t xml:space="preserve">KEEP AS IS</w:t>
            </w:r>
          </w:p>
        </w:tc>
        <w:tc>
          <w:tcPr>
            <w:tcW w:type="dxa" w:w="39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Delegates ops to /commissions • finance reporting</w:t>
            </w:r>
          </w:p>
        </w:tc>
      </w:tr>
      <w:tr>
        <w:tc>
          <w:tcPr>
            <w:tcW w:type="dxa" w:w="33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upi_invoices vs upi_commission_invoices</w:t>
            </w:r>
          </w:p>
        </w:tc>
        <w:tc>
          <w:tcPr>
            <w:tcW w:type="dxa" w:w="21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color w:val="9A6A12"/>
                <w:sz w:val="19"/>
                <w:szCs w:val="19"/>
              </w:rPr>
              <w:t xml:space="preserve">CONSOLIDATE (future)</w:t>
            </w:r>
          </w:p>
        </w:tc>
        <w:tc>
          <w:tcPr>
            <w:tcW w:type="dxa" w:w="39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Two invoice concepts • billing confusion risk</w:t>
            </w:r>
          </w:p>
        </w:tc>
      </w:tr>
      <w:tr>
        <w:tc>
          <w:tcPr>
            <w:tcW w:type="dxa" w:w="33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Custom eligibility trigger</w:t>
            </w:r>
          </w:p>
        </w:tc>
        <w:tc>
          <w:tcPr>
            <w:tcW w:type="dxa" w:w="21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color w:val="B23A3A"/>
                <w:sz w:val="19"/>
                <w:szCs w:val="19"/>
              </w:rPr>
              <w:t xml:space="preserve">REBUILD</w:t>
            </w:r>
          </w:p>
        </w:tc>
        <w:tc>
          <w:tcPr>
            <w:tcW w:type="dxa" w:w="39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Returns false always • needs product spec first</w:t>
            </w:r>
          </w:p>
        </w:tc>
      </w:tr>
      <w:tr>
        <w:tc>
          <w:tcPr>
            <w:tcW w:type="dxa" w:w="33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Institution Claim Eligibility Rules</w:t>
            </w:r>
          </w:p>
        </w:tc>
        <w:tc>
          <w:tcPr>
            <w:tcW w:type="dxa" w:w="21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color w:val="666666"/>
                <w:sz w:val="19"/>
                <w:szCs w:val="19"/>
              </w:rPr>
              <w:t xml:space="preserve">CREATE (future)</w:t>
            </w:r>
          </w:p>
        </w:tc>
        <w:tc>
          <w:tcPr>
            <w:tcW w:type="dxa" w:w="39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Backlog only • claims validation</w:t>
            </w:r>
          </w:p>
        </w:tc>
      </w:tr>
      <w:tr>
        <w:tc>
          <w:tcPr>
            <w:tcW w:type="dxa" w:w="33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Referral / B2B commissions</w:t>
            </w:r>
          </w:p>
        </w:tc>
        <w:tc>
          <w:tcPr>
            <w:tcW w:type="dxa" w:w="21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color w:val="666666"/>
                <w:sz w:val="19"/>
                <w:szCs w:val="19"/>
              </w:rPr>
              <w:t xml:space="preserve">CREATE (future)</w:t>
            </w:r>
          </w:p>
        </w:tc>
        <w:tc>
          <w:tcPr>
            <w:tcW w:type="dxa" w:w="39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No tables/routes • new domain</w:t>
            </w:r>
          </w:p>
        </w:tc>
      </w:tr>
    </w:tbl>
    <w:p>
      <w:r>
        <w:br w:type="page"/>
      </w:r>
    </w:p>
    <w:p>
      <w:pPr>
        <w:pStyle w:val="Heading1"/>
      </w:pPr>
      <w:r>
        <w:t xml:space="preserve">12. Extension Points</w:t>
      </w:r>
    </w:p>
    <w:p>
      <w:pPr>
        <w:spacing w:after="140" w:before="0" w:line="276"/>
      </w:pPr>
      <w:r>
        <w:rPr>
          <w:b w:val="false"/>
          <w:bCs w:val="false"/>
          <w:i w:val="false"/>
          <w:iCs w:val="false"/>
        </w:rPr>
        <w:t xml:space="preserve">What already exists in the architecture as a seam for future channels and integrations, versus what is missing.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50"/>
        <w:gridCol w:w="1560"/>
        <w:gridCol w:w="4750"/>
      </w:tblGrid>
      <w:tr>
        <w:trPr>
          <w:tblHeader/>
        </w:trPr>
        <w:tc>
          <w:tcPr>
            <w:tcW w:type="dxa" w:w="3050"/>
            <w:tcBorders>
              <w:top w:val="single" w:color="C9D2E3" w:sz="1"/>
              <w:left w:val="single" w:color="C9D2E3" w:sz="1"/>
              <w:bottom w:val="single" w:color="C9D2E3" w:sz="1"/>
              <w:right w:val="single" w:color="C9D2E3" w:sz="1"/>
            </w:tcBorders>
            <w:shd w:fill="1F2A5A" w:val="clear"/>
            <w:tcMar>
              <w:top w:type="dxa" w:w="60"/>
              <w:left w:type="dxa" w:w="110"/>
              <w:bottom w:type="dxa" w:w="60"/>
              <w:right w:type="dxa" w:w="110"/>
            </w:tcMar>
            <w:vAlign w:val="center"/>
          </w:tcPr>
          <w:p>
            <w:pPr>
              <w:spacing w:after="0" w:line="240"/>
            </w:pPr>
            <w:r>
              <w:rPr>
                <w:b/>
                <w:bCs/>
                <w:i w:val="false"/>
                <w:iCs w:val="false"/>
                <w:color w:val="FFFFFF"/>
                <w:sz w:val="18"/>
                <w:szCs w:val="18"/>
              </w:rPr>
              <w:t xml:space="preserve">Extension</w:t>
            </w:r>
          </w:p>
        </w:tc>
        <w:tc>
          <w:tcPr>
            <w:tcW w:type="dxa" w:w="1560"/>
            <w:tcBorders>
              <w:top w:val="single" w:color="C9D2E3" w:sz="1"/>
              <w:left w:val="single" w:color="C9D2E3" w:sz="1"/>
              <w:bottom w:val="single" w:color="C9D2E3" w:sz="1"/>
              <w:right w:val="single" w:color="C9D2E3" w:sz="1"/>
            </w:tcBorders>
            <w:shd w:fill="1F2A5A" w:val="clear"/>
            <w:tcMar>
              <w:top w:type="dxa" w:w="60"/>
              <w:left w:type="dxa" w:w="110"/>
              <w:bottom w:type="dxa" w:w="60"/>
              <w:right w:type="dxa" w:w="110"/>
            </w:tcMar>
            <w:vAlign w:val="center"/>
          </w:tcPr>
          <w:p>
            <w:pPr>
              <w:spacing w:after="0" w:line="240"/>
            </w:pPr>
            <w:r>
              <w:rPr>
                <w:b/>
                <w:bCs/>
                <w:i w:val="false"/>
                <w:iCs w:val="false"/>
                <w:color w:val="FFFFFF"/>
                <w:sz w:val="18"/>
                <w:szCs w:val="18"/>
              </w:rPr>
              <w:t xml:space="preserve">Exists</w:t>
            </w:r>
          </w:p>
        </w:tc>
        <w:tc>
          <w:tcPr>
            <w:tcW w:type="dxa" w:w="4750"/>
            <w:tcBorders>
              <w:top w:val="single" w:color="C9D2E3" w:sz="1"/>
              <w:left w:val="single" w:color="C9D2E3" w:sz="1"/>
              <w:bottom w:val="single" w:color="C9D2E3" w:sz="1"/>
              <w:right w:val="single" w:color="C9D2E3" w:sz="1"/>
            </w:tcBorders>
            <w:shd w:fill="1F2A5A" w:val="clear"/>
            <w:tcMar>
              <w:top w:type="dxa" w:w="60"/>
              <w:left w:type="dxa" w:w="110"/>
              <w:bottom w:type="dxa" w:w="60"/>
              <w:right w:type="dxa" w:w="110"/>
            </w:tcMar>
            <w:vAlign w:val="center"/>
          </w:tcPr>
          <w:p>
            <w:pPr>
              <w:spacing w:after="0" w:line="240"/>
            </w:pPr>
            <w:r>
              <w:rPr>
                <w:b/>
                <w:bCs/>
                <w:i w:val="false"/>
                <w:iCs w:val="false"/>
                <w:color w:val="FFFFFF"/>
                <w:sz w:val="18"/>
                <w:szCs w:val="18"/>
              </w:rPr>
              <w:t xml:space="preserve">Evidence • what’s missing</w:t>
            </w:r>
          </w:p>
        </w:tc>
      </w:tr>
      <w:tr>
        <w:tc>
          <w:tcPr>
            <w:tcW w:type="dxa" w:w="305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Multi-country commissions</w:t>
            </w:r>
          </w:p>
        </w:tc>
        <w:tc>
          <w:tcPr>
            <w:tcW w:type="dxa" w:w="15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color w:val="9A6A12"/>
                <w:sz w:val="19"/>
                <w:szCs w:val="19"/>
              </w:rPr>
              <w:t xml:space="preserve">Partial</w:t>
            </w:r>
          </w:p>
        </w:tc>
        <w:tc>
          <w:tcPr>
            <w:tcW w:type="dxa" w:w="475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scope_country on rules; country_of_origin on students • per-country eligibility rules</w:t>
            </w:r>
          </w:p>
        </w:tc>
      </w:tr>
      <w:tr>
        <w:tc>
          <w:tcPr>
            <w:tcW w:type="dxa" w:w="305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Multi-currency</w:t>
            </w:r>
          </w:p>
        </w:tc>
        <w:tc>
          <w:tcPr>
            <w:tcW w:type="dxa" w:w="15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color w:val="9A6A12"/>
                <w:sz w:val="19"/>
                <w:szCs w:val="19"/>
              </w:rPr>
              <w:t xml:space="preserve">Partial</w:t>
            </w:r>
          </w:p>
        </w:tc>
        <w:tc>
          <w:tcPr>
            <w:tcW w:type="dxa" w:w="475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Currency columns + FX review • consolidation limited to PH INR view</w:t>
            </w:r>
          </w:p>
        </w:tc>
      </w:tr>
      <w:tr>
        <w:tc>
          <w:tcPr>
            <w:tcW w:type="dxa" w:w="305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Multi-company / entity</w:t>
            </w:r>
          </w:p>
        </w:tc>
        <w:tc>
          <w:tcPr>
            <w:tcW w:type="dxa" w:w="15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color w:val="9A6A12"/>
                <w:sz w:val="19"/>
                <w:szCs w:val="19"/>
              </w:rPr>
              <w:t xml:space="preserve">Partial</w:t>
            </w:r>
          </w:p>
        </w:tc>
        <w:tc>
          <w:tcPr>
            <w:tcW w:type="dxa" w:w="475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Billing profiles; accounting entity_id • commission→entity mapping Not Found</w:t>
            </w:r>
          </w:p>
        </w:tc>
      </w:tr>
      <w:tr>
        <w:tc>
          <w:tcPr>
            <w:tcW w:type="dxa" w:w="305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Aggregator commissions</w:t>
            </w:r>
          </w:p>
        </w:tc>
        <w:tc>
          <w:tcPr>
            <w:tcW w:type="dxa" w:w="15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color w:val="1B7A46"/>
                <w:sz w:val="19"/>
                <w:szCs w:val="19"/>
              </w:rPr>
              <w:t xml:space="preserve">Yes</w:t>
            </w:r>
          </w:p>
        </w:tc>
        <w:tc>
          <w:tcPr>
            <w:tcW w:type="dxa" w:w="475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Phase 2B tables, workbench, aggregator invoices • type generation</w:t>
            </w:r>
          </w:p>
        </w:tc>
      </w:tr>
      <w:tr>
        <w:tc>
          <w:tcPr>
            <w:tcW w:type="dxa" w:w="305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Agent commissions</w:t>
            </w:r>
          </w:p>
        </w:tc>
        <w:tc>
          <w:tcPr>
            <w:tcW w:type="dxa" w:w="15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color w:val="B23A3A"/>
                <w:sz w:val="19"/>
                <w:szCs w:val="19"/>
              </w:rPr>
              <w:t xml:space="preserve">Not Found</w:t>
            </w:r>
          </w:p>
        </w:tc>
        <w:tc>
          <w:tcPr>
            <w:tcW w:type="dxa" w:w="475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No agent-specific tables/routes</w:t>
            </w:r>
          </w:p>
        </w:tc>
      </w:tr>
      <w:tr>
        <w:tc>
          <w:tcPr>
            <w:tcW w:type="dxa" w:w="305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Team commissions</w:t>
            </w:r>
          </w:p>
        </w:tc>
        <w:tc>
          <w:tcPr>
            <w:tcW w:type="dxa" w:w="15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color w:val="B23A3A"/>
                <w:sz w:val="19"/>
                <w:szCs w:val="19"/>
              </w:rPr>
              <w:t xml:space="preserve">Not Found</w:t>
            </w:r>
          </w:p>
        </w:tc>
        <w:tc>
          <w:tcPr>
            <w:tcW w:type="dxa" w:w="475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Staff incentives are a separate module</w:t>
            </w:r>
          </w:p>
        </w:tc>
      </w:tr>
      <w:tr>
        <w:tc>
          <w:tcPr>
            <w:tcW w:type="dxa" w:w="305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Referral commissions</w:t>
            </w:r>
          </w:p>
        </w:tc>
        <w:tc>
          <w:tcPr>
            <w:tcW w:type="dxa" w:w="15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color w:val="B23A3A"/>
                <w:sz w:val="19"/>
                <w:szCs w:val="19"/>
              </w:rPr>
              <w:t xml:space="preserve">Not Found</w:t>
            </w:r>
          </w:p>
        </w:tc>
        <w:tc>
          <w:tcPr>
            <w:tcW w:type="dxa" w:w="475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PH subtitle text only; no tables</w:t>
            </w:r>
          </w:p>
        </w:tc>
      </w:tr>
      <w:tr>
        <w:tc>
          <w:tcPr>
            <w:tcW w:type="dxa" w:w="305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B2B commissions</w:t>
            </w:r>
          </w:p>
        </w:tc>
        <w:tc>
          <w:tcPr>
            <w:tcW w:type="dxa" w:w="15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color w:val="B23A3A"/>
                <w:sz w:val="19"/>
                <w:szCs w:val="19"/>
              </w:rPr>
              <w:t xml:space="preserve">Not Found</w:t>
            </w:r>
          </w:p>
        </w:tc>
        <w:tc>
          <w:tcPr>
            <w:tcW w:type="dxa" w:w="475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Agreement flag only; no tables</w:t>
            </w:r>
          </w:p>
        </w:tc>
      </w:tr>
      <w:tr>
        <w:tc>
          <w:tcPr>
            <w:tcW w:type="dxa" w:w="305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Incentives / bonuses</w:t>
            </w:r>
          </w:p>
        </w:tc>
        <w:tc>
          <w:tcPr>
            <w:tcW w:type="dxa" w:w="15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color w:val="9A6A12"/>
                <w:sz w:val="19"/>
                <w:szCs w:val="19"/>
              </w:rPr>
              <w:t xml:space="preserve">Partial</w:t>
            </w:r>
          </w:p>
        </w:tc>
        <w:tc>
          <w:tcPr>
            <w:tcW w:type="dxa" w:w="475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bonus as rule_type • separate engine out of scope</w:t>
            </w:r>
          </w:p>
        </w:tc>
      </w:tr>
      <w:tr>
        <w:tc>
          <w:tcPr>
            <w:tcW w:type="dxa" w:w="305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Performance Hub integration</w:t>
            </w:r>
          </w:p>
        </w:tc>
        <w:tc>
          <w:tcPr>
            <w:tcW w:type="dxa" w:w="15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color w:val="1B7A46"/>
                <w:sz w:val="19"/>
                <w:szCs w:val="19"/>
              </w:rPr>
              <w:t xml:space="preserve">Yes</w:t>
            </w:r>
          </w:p>
        </w:tc>
        <w:tc>
          <w:tcPr>
            <w:tcW w:type="dxa" w:w="475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/performance/commissions ledger • bidirectional sync Not Found</w:t>
            </w:r>
          </w:p>
        </w:tc>
      </w:tr>
      <w:tr>
        <w:tc>
          <w:tcPr>
            <w:tcW w:type="dxa" w:w="305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Finance integration</w:t>
            </w:r>
          </w:p>
        </w:tc>
        <w:tc>
          <w:tcPr>
            <w:tcW w:type="dxa" w:w="15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color w:val="9A6A12"/>
                <w:sz w:val="19"/>
                <w:szCs w:val="19"/>
              </w:rPr>
              <w:t xml:space="preserve">Partial</w:t>
            </w:r>
          </w:p>
        </w:tc>
        <w:tc>
          <w:tcPr>
            <w:tcW w:type="dxa" w:w="475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accounting_journal_id reserved • journal creation Not Found</w:t>
            </w:r>
          </w:p>
        </w:tc>
      </w:tr>
      <w:tr>
        <w:tc>
          <w:tcPr>
            <w:tcW w:type="dxa" w:w="305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CRM event automation</w:t>
            </w:r>
          </w:p>
        </w:tc>
        <w:tc>
          <w:tcPr>
            <w:tcW w:type="dxa" w:w="15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color w:val="B23A3A"/>
                <w:sz w:val="19"/>
                <w:szCs w:val="19"/>
              </w:rPr>
              <w:t xml:space="preserve">Stub</w:t>
            </w:r>
          </w:p>
        </w:tc>
        <w:tc>
          <w:tcPr>
            <w:tcW w:type="dxa" w:w="475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clientIntegrationBridge.ts • activation + implementation</w:t>
            </w:r>
          </w:p>
        </w:tc>
      </w:tr>
      <w:tr>
        <w:tc>
          <w:tcPr>
            <w:tcW w:type="dxa" w:w="305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CAE integration</w:t>
            </w:r>
          </w:p>
        </w:tc>
        <w:tc>
          <w:tcPr>
            <w:tcW w:type="dxa" w:w="15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color w:val="9A6A12"/>
                <w:sz w:val="19"/>
                <w:szCs w:val="19"/>
              </w:rPr>
              <w:t xml:space="preserve">Partial</w:t>
            </w:r>
          </w:p>
        </w:tc>
        <w:tc>
          <w:tcPr>
            <w:tcW w:type="dxa" w:w="475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upi_agreements, commission_partner settlement • flow unverified</w:t>
            </w:r>
          </w:p>
        </w:tc>
      </w:tr>
      <w:tr>
        <w:tc>
          <w:tcPr>
            <w:tcW w:type="dxa" w:w="305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AI commission extraction</w:t>
            </w:r>
          </w:p>
        </w:tc>
        <w:tc>
          <w:tcPr>
            <w:tcW w:type="dxa" w:w="15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color w:val="1B7A46"/>
                <w:sz w:val="19"/>
                <w:szCs w:val="19"/>
              </w:rPr>
              <w:t xml:space="preserve">Yes</w:t>
            </w:r>
          </w:p>
        </w:tc>
        <w:tc>
          <w:tcPr>
            <w:tcW w:type="dxa" w:w="475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upi-extract-commission-sheet edge function</w:t>
            </w:r>
          </w:p>
        </w:tc>
      </w:tr>
      <w:tr>
        <w:tc>
          <w:tcPr>
            <w:tcW w:type="dxa" w:w="305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Clawback</w:t>
            </w:r>
          </w:p>
        </w:tc>
        <w:tc>
          <w:tcPr>
            <w:tcW w:type="dxa" w:w="15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color w:val="9A6A12"/>
                <w:sz w:val="19"/>
                <w:szCs w:val="19"/>
              </w:rPr>
              <w:t xml:space="preserve">Schema only</w:t>
            </w:r>
          </w:p>
        </w:tc>
        <w:tc>
          <w:tcPr>
            <w:tcW w:type="dxa" w:w="475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clawback_amount/status columns • logic Not Found</w:t>
            </w:r>
          </w:p>
        </w:tc>
      </w:tr>
      <w:tr>
        <w:tc>
          <w:tcPr>
            <w:tcW w:type="dxa" w:w="305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Credit notes</w:t>
            </w:r>
          </w:p>
        </w:tc>
        <w:tc>
          <w:tcPr>
            <w:tcW w:type="dxa" w:w="15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color w:val="B23A3A"/>
                <w:sz w:val="19"/>
                <w:szCs w:val="19"/>
              </w:rPr>
              <w:t xml:space="preserve">Not Found</w:t>
            </w:r>
          </w:p>
        </w:tc>
        <w:tc>
          <w:tcPr>
            <w:tcW w:type="dxa" w:w="475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Documented out of scope</w:t>
            </w:r>
          </w:p>
        </w:tc>
      </w:tr>
    </w:tbl>
    <w:p>
      <w:r>
        <w:br w:type="page"/>
      </w:r>
    </w:p>
    <w:p>
      <w:pPr>
        <w:pStyle w:val="Heading1"/>
      </w:pPr>
      <w:r>
        <w:t xml:space="preserve">13. Cross-Module Dependencies</w:t>
      </w:r>
    </w:p>
    <w:p>
      <w:pPr>
        <w:spacing w:after="140" w:before="0" w:line="276"/>
      </w:pPr>
      <w:r>
        <w:rPr>
          <w:b w:val="false"/>
          <w:bCs w:val="false"/>
          <w:i w:val="false"/>
          <w:iCs w:val="false"/>
        </w:rPr>
        <w:t xml:space="preserve">The Commission module is hosted by the Institution module and reads from / writes to several others. Solid arrows are live; dotted arrows are planned or reserved.</w:t>
      </w:r>
    </w:p>
    <w:p>
      <w:pPr>
        <w:pBdr>
          <w:left w:val="single" w:color="6D4AC0" w:sz="18" w:space="6"/>
        </w:pBdr>
        <w:shd w:fill="F5F6FA" w:val="clear"/>
        <w:spacing w:after="40" w:before="40" w:line="240"/>
      </w:pPr>
      <w:r>
        <w:rPr>
          <w:rFonts w:ascii="Consolas" w:cs="Consolas" w:eastAsia="Consolas" w:hAnsi="Consolas"/>
          <w:sz w:val="17"/>
          <w:szCs w:val="17"/>
        </w:rPr>
        <w:t xml:space="preserve">Institution  ── hosts tabs, routes, aggregators ──▶  Commission</w:t>
      </w:r>
      <w:r>
        <w:rPr>
          <w:rFonts w:ascii="Consolas" w:cs="Consolas" w:eastAsia="Consolas" w:hAnsi="Consolas"/>
          <w:sz w:val="17"/>
          <w:szCs w:val="17"/>
        </w:rPr>
        <w:br/>
        <w:t xml:space="preserve">Commission   ── client_id FK, status view       ──▶  CRM / Clients</w:t>
      </w:r>
      <w:r>
        <w:rPr>
          <w:rFonts w:ascii="Consolas" w:cs="Consolas" w:eastAsia="Consolas" w:hAnsi="Consolas"/>
          <w:sz w:val="17"/>
          <w:szCs w:val="17"/>
        </w:rPr>
        <w:br/>
        <w:t xml:space="preserve">Admissions   ·· planned bridge only            ··▶  Commission</w:t>
      </w:r>
      <w:r>
        <w:rPr>
          <w:rFonts w:ascii="Consolas" w:cs="Consolas" w:eastAsia="Consolas" w:hAnsi="Consolas"/>
          <w:sz w:val="17"/>
          <w:szCs w:val="17"/>
        </w:rPr>
        <w:br/>
        <w:t xml:space="preserve">Commission   ·· accounting_journal_id unused    ··▶  Finance</w:t>
      </w:r>
      <w:r>
        <w:rPr>
          <w:rFonts w:ascii="Consolas" w:cs="Consolas" w:eastAsia="Consolas" w:hAnsi="Consolas"/>
          <w:sz w:val="17"/>
          <w:szCs w:val="17"/>
        </w:rPr>
        <w:br/>
        <w:t xml:space="preserve">Commission   ── ledger read                    ──▶  Performance Hub</w:t>
      </w:r>
      <w:r>
        <w:rPr>
          <w:rFonts w:ascii="Consolas" w:cs="Consolas" w:eastAsia="Consolas" w:hAnsi="Consolas"/>
          <w:sz w:val="17"/>
          <w:szCs w:val="17"/>
        </w:rPr>
        <w:br/>
        <w:t xml:space="preserve">Auth/RBAC    ── isCommissionAdmin, confidential RLS ─▶ Commission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800"/>
        <w:gridCol w:w="3460"/>
      </w:tblGrid>
      <w:tr>
        <w:trPr>
          <w:tblHeader/>
        </w:trPr>
        <w:tc>
          <w:tcPr>
            <w:tcW w:type="dxa" w:w="2100"/>
            <w:tcBorders>
              <w:top w:val="single" w:color="C9D2E3" w:sz="1"/>
              <w:left w:val="single" w:color="C9D2E3" w:sz="1"/>
              <w:bottom w:val="single" w:color="C9D2E3" w:sz="1"/>
              <w:right w:val="single" w:color="C9D2E3" w:sz="1"/>
            </w:tcBorders>
            <w:shd w:fill="1F2A5A" w:val="clear"/>
            <w:tcMar>
              <w:top w:type="dxa" w:w="60"/>
              <w:left w:type="dxa" w:w="110"/>
              <w:bottom w:type="dxa" w:w="60"/>
              <w:right w:type="dxa" w:w="110"/>
            </w:tcMar>
            <w:vAlign w:val="center"/>
          </w:tcPr>
          <w:p>
            <w:pPr>
              <w:spacing w:after="0" w:line="240"/>
            </w:pPr>
            <w:r>
              <w:rPr>
                <w:b/>
                <w:bCs/>
                <w:i w:val="false"/>
                <w:iCs w:val="false"/>
                <w:color w:val="FFFFFF"/>
                <w:sz w:val="18"/>
                <w:szCs w:val="18"/>
              </w:rPr>
              <w:t xml:space="preserve">Module</w:t>
            </w:r>
          </w:p>
        </w:tc>
        <w:tc>
          <w:tcPr>
            <w:tcW w:type="dxa" w:w="3800"/>
            <w:tcBorders>
              <w:top w:val="single" w:color="C9D2E3" w:sz="1"/>
              <w:left w:val="single" w:color="C9D2E3" w:sz="1"/>
              <w:bottom w:val="single" w:color="C9D2E3" w:sz="1"/>
              <w:right w:val="single" w:color="C9D2E3" w:sz="1"/>
            </w:tcBorders>
            <w:shd w:fill="1F2A5A" w:val="clear"/>
            <w:tcMar>
              <w:top w:type="dxa" w:w="60"/>
              <w:left w:type="dxa" w:w="110"/>
              <w:bottom w:type="dxa" w:w="60"/>
              <w:right w:type="dxa" w:w="110"/>
            </w:tcMar>
            <w:vAlign w:val="center"/>
          </w:tcPr>
          <w:p>
            <w:pPr>
              <w:spacing w:after="0" w:line="240"/>
            </w:pPr>
            <w:r>
              <w:rPr>
                <w:b/>
                <w:bCs/>
                <w:i w:val="false"/>
                <w:iCs w:val="false"/>
                <w:color w:val="FFFFFF"/>
                <w:sz w:val="18"/>
                <w:szCs w:val="18"/>
              </w:rPr>
              <w:t xml:space="preserve">Data / trigger</w:t>
            </w:r>
          </w:p>
        </w:tc>
        <w:tc>
          <w:tcPr>
            <w:tcW w:type="dxa" w:w="3460"/>
            <w:tcBorders>
              <w:top w:val="single" w:color="C9D2E3" w:sz="1"/>
              <w:left w:val="single" w:color="C9D2E3" w:sz="1"/>
              <w:bottom w:val="single" w:color="C9D2E3" w:sz="1"/>
              <w:right w:val="single" w:color="C9D2E3" w:sz="1"/>
            </w:tcBorders>
            <w:shd w:fill="1F2A5A" w:val="clear"/>
            <w:tcMar>
              <w:top w:type="dxa" w:w="60"/>
              <w:left w:type="dxa" w:w="110"/>
              <w:bottom w:type="dxa" w:w="60"/>
              <w:right w:type="dxa" w:w="110"/>
            </w:tcMar>
            <w:vAlign w:val="center"/>
          </w:tcPr>
          <w:p>
            <w:pPr>
              <w:spacing w:after="0" w:line="240"/>
            </w:pPr>
            <w:r>
              <w:rPr>
                <w:b/>
                <w:bCs/>
                <w:i w:val="false"/>
                <w:iCs w:val="false"/>
                <w:color w:val="FFFFFF"/>
                <w:sz w:val="18"/>
                <w:szCs w:val="18"/>
              </w:rPr>
              <w:t xml:space="preserve">Failure impact</w:t>
            </w:r>
          </w:p>
        </w:tc>
      </w:tr>
      <w:tr>
        <w:tc>
          <w:tcPr>
            <w:tcW w:type="dxa" w:w="21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Institution</w:t>
            </w:r>
          </w:p>
        </w:tc>
        <w:tc>
          <w:tcPr>
            <w:tcW w:type="dxa" w:w="38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institution_id, routes, aggregators, documents</w:t>
            </w:r>
          </w:p>
        </w:tc>
        <w:tc>
          <w:tcPr>
            <w:tcW w:type="dxa" w:w="34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Commission UI inaccessible without institution</w:t>
            </w:r>
          </w:p>
        </w:tc>
      </w:tr>
      <w:tr>
        <w:tc>
          <w:tcPr>
            <w:tcW w:type="dxa" w:w="21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Student / Client</w:t>
            </w:r>
          </w:p>
        </w:tc>
        <w:tc>
          <w:tcPr>
            <w:tcW w:type="dxa" w:w="38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client_id, v_client_commission_status</w:t>
            </w:r>
          </w:p>
        </w:tc>
        <w:tc>
          <w:tcPr>
            <w:tcW w:type="dxa" w:w="34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Counselors see no status if unlinked</w:t>
            </w:r>
          </w:p>
        </w:tc>
      </w:tr>
      <w:tr>
        <w:tc>
          <w:tcPr>
            <w:tcW w:type="dxa" w:w="21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Admission</w:t>
            </w:r>
          </w:p>
        </w:tc>
        <w:tc>
          <w:tcPr>
            <w:tcW w:type="dxa" w:w="38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Planned bridge (application_submitted) — not active</w:t>
            </w:r>
          </w:p>
        </w:tc>
        <w:tc>
          <w:tcPr>
            <w:tcW w:type="dxa" w:w="34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No auto student-row creation</w:t>
            </w:r>
          </w:p>
        </w:tc>
      </w:tr>
      <w:tr>
        <w:tc>
          <w:tcPr>
            <w:tcW w:type="dxa" w:w="21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Finance</w:t>
            </w:r>
          </w:p>
        </w:tc>
        <w:tc>
          <w:tcPr>
            <w:tcW w:type="dxa" w:w="38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Receipt amounts; reserved journal FK</w:t>
            </w:r>
          </w:p>
        </w:tc>
        <w:tc>
          <w:tcPr>
            <w:tcW w:type="dxa" w:w="34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Manual reconciliation required</w:t>
            </w:r>
          </w:p>
        </w:tc>
      </w:tr>
      <w:tr>
        <w:tc>
          <w:tcPr>
            <w:tcW w:type="dxa" w:w="21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Performance Hub</w:t>
            </w:r>
          </w:p>
        </w:tc>
        <w:tc>
          <w:tcPr>
            <w:tcW w:type="dxa" w:w="38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Aggregated student amounts, FX</w:t>
            </w:r>
          </w:p>
        </w:tc>
        <w:tc>
          <w:tcPr>
            <w:tcW w:type="dxa" w:w="34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Oversight view empty/stale</w:t>
            </w:r>
          </w:p>
        </w:tc>
      </w:tr>
      <w:tr>
        <w:tc>
          <w:tcPr>
            <w:tcW w:type="dxa" w:w="21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Users / Roles</w:t>
            </w:r>
          </w:p>
        </w:tc>
        <w:tc>
          <w:tcPr>
            <w:tcW w:type="dxa" w:w="38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Commission admin, accounting member, module perms</w:t>
            </w:r>
          </w:p>
        </w:tc>
        <w:tc>
          <w:tcPr>
            <w:tcW w:type="dxa" w:w="34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Tab lock / access denied</w:t>
            </w:r>
          </w:p>
        </w:tc>
      </w:tr>
      <w:tr>
        <w:tc>
          <w:tcPr>
            <w:tcW w:type="dxa" w:w="21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Documents</w:t>
            </w:r>
          </w:p>
        </w:tc>
        <w:tc>
          <w:tcPr>
            <w:tcW w:type="dxa" w:w="38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commission_sheet, agreement doc kinds</w:t>
            </w:r>
          </w:p>
        </w:tc>
        <w:tc>
          <w:tcPr>
            <w:tcW w:type="dxa" w:w="34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Rules not auto-created from sheets</w:t>
            </w:r>
          </w:p>
        </w:tc>
      </w:tr>
      <w:tr>
        <w:tc>
          <w:tcPr>
            <w:tcW w:type="dxa" w:w="21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CAE</w:t>
            </w:r>
          </w:p>
        </w:tc>
        <w:tc>
          <w:tcPr>
            <w:tcW w:type="dxa" w:w="38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Agreements, settlement eligibility</w:t>
            </w:r>
          </w:p>
        </w:tc>
        <w:tc>
          <w:tcPr>
            <w:tcW w:type="dxa" w:w="34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Adjacent; not primary commission path</w:t>
            </w:r>
          </w:p>
        </w:tc>
      </w:tr>
      <w:tr>
        <w:tc>
          <w:tcPr>
            <w:tcW w:type="dxa" w:w="21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Incentives</w:t>
            </w:r>
          </w:p>
        </w:tc>
        <w:tc>
          <w:tcPr>
            <w:tcW w:type="dxa" w:w="38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Shared PH nav shell only</w:t>
            </w:r>
          </w:p>
        </w:tc>
        <w:tc>
          <w:tcPr>
            <w:tcW w:type="dxa" w:w="34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Separate domain (staff vs partner)</w:t>
            </w:r>
          </w:p>
        </w:tc>
      </w:tr>
      <w:tr>
        <w:tc>
          <w:tcPr>
            <w:tcW w:type="dxa" w:w="21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Notifications</w:t>
            </w:r>
          </w:p>
        </w:tc>
        <w:tc>
          <w:tcPr>
            <w:tcW w:type="dxa" w:w="380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Not Found commission-specific</w:t>
            </w:r>
          </w:p>
        </w:tc>
        <w:tc>
          <w:tcPr>
            <w:tcW w:type="dxa" w:w="3460"/>
            <w:tcBorders>
              <w:top w:val="single" w:color="C9D2E3" w:sz="1"/>
              <w:left w:val="single" w:color="C9D2E3" w:sz="1"/>
              <w:bottom w:val="single" w:color="C9D2E3" w:sz="1"/>
              <w:right w:val="single" w:color="C9D2E3" w:sz="1"/>
            </w:tcBorders>
            <w:shd w:fill="F2F4F9"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w:t>
            </w:r>
          </w:p>
        </w:tc>
      </w:tr>
      <w:tr>
        <w:tc>
          <w:tcPr>
            <w:tcW w:type="dxa" w:w="21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Reporting</w:t>
            </w:r>
          </w:p>
        </w:tc>
        <w:tc>
          <w:tcPr>
            <w:tcW w:type="dxa" w:w="380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KPI tooltip references claim cycles</w:t>
            </w:r>
          </w:p>
        </w:tc>
        <w:tc>
          <w:tcPr>
            <w:tcW w:type="dxa" w:w="3460"/>
            <w:tcBorders>
              <w:top w:val="single" w:color="C9D2E3" w:sz="1"/>
              <w:left w:val="single" w:color="C9D2E3" w:sz="1"/>
              <w:bottom w:val="single" w:color="C9D2E3" w:sz="1"/>
              <w:right w:val="single" w:color="C9D2E3" w:sz="1"/>
            </w:tcBorders>
            <w:shd w:fill="FFFFFF" w:val="clear"/>
            <w:tcMar>
              <w:top w:type="dxa" w:w="60"/>
              <w:left w:type="dxa" w:w="110"/>
              <w:bottom w:type="dxa" w:w="60"/>
              <w:right w:type="dxa" w:w="110"/>
            </w:tcMar>
            <w:vAlign w:val="center"/>
          </w:tcPr>
          <w:p>
            <w:pPr>
              <w:spacing w:after="0" w:line="240"/>
            </w:pPr>
            <w:r>
              <w:rPr>
                <w:b w:val="false"/>
                <w:bCs w:val="false"/>
                <w:i w:val="false"/>
                <w:iCs w:val="false"/>
                <w:sz w:val="19"/>
                <w:szCs w:val="19"/>
              </w:rPr>
              <w:t xml:space="preserve">No dedicated commission reports</w:t>
            </w:r>
          </w:p>
        </w:tc>
      </w:tr>
    </w:tbl>
    <w:p>
      <w:r>
        <w:br w:type="page"/>
      </w:r>
    </w:p>
    <w:p>
      <w:pPr>
        <w:pStyle w:val="Heading1"/>
      </w:pPr>
      <w:r>
        <w:t xml:space="preserve">14. Deliverables Summary &amp; Handoff Notes</w:t>
      </w:r>
    </w:p>
    <w:p>
      <w:pPr>
        <w:spacing w:after="140" w:before="0" w:line="276"/>
      </w:pPr>
      <w:r>
        <w:rPr>
          <w:b w:val="false"/>
          <w:bCs w:val="false"/>
          <w:i w:val="false"/>
          <w:iCs w:val="false"/>
        </w:rPr>
        <w:t xml:space="preserve">This document is the implementation baseline for the Commission module in flow-link-docs. It covers all fourteen audit areas: executive summary, database, business process, backend, frontend, business logic, API inventory, component inventory, UI (now with captures), technical debt, reuse analysis, extension points, and cross-module dependencies.</w:t>
      </w:r>
    </w:p>
    <w:p>
      <w:pPr>
        <w:pStyle w:val="Heading2"/>
      </w:pPr>
      <w:r>
        <w:t xml:space="preserve">14.1 Key takeaways for an incoming architect</w:t>
      </w:r>
    </w:p>
    <w:p>
      <w:pPr>
        <w:pStyle w:val="ListParagraph"/>
        <w:numPr>
          <w:ilvl w:val="0"/>
          <w:numId w:val="2"/>
        </w:numPr>
        <w:spacing w:after="60" w:line="264"/>
      </w:pPr>
      <w:r>
        <w:rPr>
          <w:b/>
          <w:bCs/>
          <w:i w:val="false"/>
          <w:iCs w:val="false"/>
        </w:rPr>
        <w:t xml:space="preserve">Terminology: </w:t>
      </w:r>
      <w:r>
        <w:rPr>
          <w:b w:val="false"/>
          <w:bCs w:val="false"/>
          <w:i w:val="false"/>
          <w:iCs w:val="false"/>
        </w:rPr>
        <w:t xml:space="preserve">“Commission Plan” = upi_commissions; there is no separate plan entity.</w:t>
      </w:r>
    </w:p>
    <w:p>
      <w:pPr>
        <w:pStyle w:val="ListParagraph"/>
        <w:numPr>
          <w:ilvl w:val="0"/>
          <w:numId w:val="2"/>
        </w:numPr>
        <w:spacing w:after="60" w:line="264"/>
      </w:pPr>
      <w:r>
        <w:rPr>
          <w:b/>
          <w:bCs/>
          <w:i w:val="false"/>
          <w:iCs w:val="false"/>
        </w:rPr>
        <w:t xml:space="preserve">Architecture: </w:t>
      </w:r>
      <w:r>
        <w:rPr>
          <w:b w:val="false"/>
          <w:bCs w:val="false"/>
          <w:i w:val="false"/>
          <w:iCs w:val="false"/>
        </w:rPr>
        <w:t xml:space="preserve">Supabase RPC-centric backend; the React institution-tab workspace is the operational core; all writes go through SECURITY DEFINER RPCs.</w:t>
      </w:r>
    </w:p>
    <w:p>
      <w:pPr>
        <w:pStyle w:val="ListParagraph"/>
        <w:numPr>
          <w:ilvl w:val="0"/>
          <w:numId w:val="2"/>
        </w:numPr>
        <w:spacing w:after="60" w:line="264"/>
      </w:pPr>
      <w:r>
        <w:rPr>
          <w:b/>
          <w:bCs/>
          <w:i w:val="false"/>
          <w:iCs w:val="false"/>
        </w:rPr>
        <w:t xml:space="preserve">Phases delivered: </w:t>
      </w:r>
      <w:r>
        <w:rPr>
          <w:b w:val="false"/>
          <w:bCs w:val="false"/>
          <w:i w:val="false"/>
          <w:iCs w:val="false"/>
        </w:rPr>
        <w:t xml:space="preserve">Phase 1 (lifecycle), 2A (receipts), 2B (aggregator) — evidenced by migrations 20260723120000 through 20260815120500 and the corresponding UI.</w:t>
      </w:r>
    </w:p>
    <w:p>
      <w:pPr>
        <w:pStyle w:val="ListParagraph"/>
        <w:numPr>
          <w:ilvl w:val="0"/>
          <w:numId w:val="2"/>
        </w:numPr>
        <w:spacing w:after="60" w:line="264"/>
      </w:pPr>
      <w:r>
        <w:rPr>
          <w:b/>
          <w:bCs/>
          <w:i w:val="false"/>
          <w:iCs w:val="false"/>
        </w:rPr>
        <w:t xml:space="preserve">Explicit gaps: </w:t>
      </w:r>
      <w:r>
        <w:rPr>
          <w:b w:val="false"/>
          <w:bCs w:val="false"/>
          <w:i w:val="false"/>
          <w:iCs w:val="false"/>
        </w:rPr>
        <w:t xml:space="preserve">Finance GL bridge, CRM automation, custom eligibility, claim eligibility rules, global admin/reports/pending-claims screens, and referral/B2B/agent commission types.</w:t>
      </w:r>
    </w:p>
    <w:p>
      <w:pPr>
        <w:pStyle w:val="ListParagraph"/>
        <w:numPr>
          <w:ilvl w:val="0"/>
          <w:numId w:val="2"/>
        </w:numPr>
        <w:spacing w:after="60" w:line="264"/>
      </w:pPr>
      <w:r>
        <w:rPr>
          <w:b/>
          <w:bCs/>
          <w:i w:val="false"/>
          <w:iCs w:val="false"/>
        </w:rPr>
        <w:t xml:space="preserve">Reuse principle: </w:t>
      </w:r>
      <w:r>
        <w:rPr>
          <w:b w:val="false"/>
          <w:bCs w:val="false"/>
          <w:i w:val="false"/>
          <w:iCs w:val="false"/>
        </w:rPr>
        <w:t xml:space="preserve">Preserve commissionEngine, the rule resolver, Phase 1 lifecycle RPCs, the receipt allocation model, and the institution-tab structure; extend rather than replace.</w:t>
      </w:r>
    </w:p>
    <w:p>
      <w:pPr>
        <w:pStyle w:val="Heading2"/>
      </w:pPr>
      <w:r>
        <w:t xml:space="preserve">14.2 Reference artifacts in the handoff package</w:t>
      </w:r>
    </w:p>
    <w:p>
      <w:pPr>
        <w:pStyle w:val="ListParagraph"/>
        <w:numPr>
          <w:ilvl w:val="0"/>
          <w:numId w:val="2"/>
        </w:numPr>
        <w:spacing w:after="60" w:line="264"/>
      </w:pPr>
      <w:r>
        <w:rPr>
          <w:b w:val="false"/>
          <w:bCs w:val="false"/>
          <w:i w:val="false"/>
          <w:iCs w:val="false"/>
        </w:rPr>
        <w:t xml:space="preserve">TECHNICAL_INVENTORY.md — source audit this document is built from.</w:t>
      </w:r>
    </w:p>
    <w:p>
      <w:pPr>
        <w:pStyle w:val="ListParagraph"/>
        <w:numPr>
          <w:ilvl w:val="0"/>
          <w:numId w:val="2"/>
        </w:numPr>
        <w:spacing w:after="60" w:line="264"/>
      </w:pPr>
      <w:r>
        <w:rPr>
          <w:b w:val="false"/>
          <w:bCs w:val="false"/>
          <w:i w:val="false"/>
          <w:iCs w:val="false"/>
        </w:rPr>
        <w:t xml:space="preserve">docs/database/COMMISSION_SCHEMA.sql — concatenated DDL + RPC migrations.</w:t>
      </w:r>
    </w:p>
    <w:p>
      <w:pPr>
        <w:pStyle w:val="ListParagraph"/>
        <w:numPr>
          <w:ilvl w:val="0"/>
          <w:numId w:val="2"/>
        </w:numPr>
        <w:spacing w:after="60" w:line="264"/>
      </w:pPr>
      <w:r>
        <w:rPr>
          <w:b w:val="false"/>
          <w:bCs w:val="false"/>
          <w:i w:val="false"/>
          <w:iCs w:val="false"/>
        </w:rPr>
        <w:t xml:space="preserve">docs/database/RPC_INDEX.md — full RPC listing by phase.</w:t>
      </w:r>
    </w:p>
    <w:p>
      <w:pPr>
        <w:pStyle w:val="ListParagraph"/>
        <w:numPr>
          <w:ilvl w:val="0"/>
          <w:numId w:val="2"/>
        </w:numPr>
        <w:spacing w:after="60" w:line="264"/>
      </w:pPr>
      <w:r>
        <w:rPr>
          <w:b w:val="false"/>
          <w:bCs w:val="false"/>
          <w:i w:val="false"/>
          <w:iCs w:val="false"/>
        </w:rPr>
        <w:t xml:space="preserve">docs/architecture/15_commissions-er.mmd — ER diagram (Mermaid).</w:t>
      </w:r>
    </w:p>
    <w:p>
      <w:pPr>
        <w:pStyle w:val="ListParagraph"/>
        <w:numPr>
          <w:ilvl w:val="0"/>
          <w:numId w:val="2"/>
        </w:numPr>
        <w:spacing w:after="60" w:line="264"/>
      </w:pPr>
      <w:r>
        <w:rPr>
          <w:b w:val="false"/>
          <w:bCs w:val="false"/>
          <w:i w:val="false"/>
          <w:iCs w:val="false"/>
        </w:rPr>
        <w:t xml:space="preserve">docs/guides/PHASE*_COMMISSION_*.md — UAT guides and design docs.</w:t>
      </w:r>
    </w:p>
    <w:p>
      <w:pPr>
        <w:pStyle w:val="ListParagraph"/>
        <w:numPr>
          <w:ilvl w:val="0"/>
          <w:numId w:val="2"/>
        </w:numPr>
        <w:spacing w:after="60" w:line="264"/>
      </w:pPr>
      <w:r>
        <w:rPr>
          <w:b w:val="false"/>
          <w:bCs w:val="false"/>
          <w:i w:val="false"/>
          <w:iCs w:val="false"/>
        </w:rPr>
        <w:t xml:space="preserve">docs/integration/ — AppRoutes, AppLayout, and InstitutionDetailPage integration excerpts.</w:t>
      </w:r>
    </w:p>
    <w:p>
      <w:pPr>
        <w:pStyle w:val="Heading2"/>
      </w:pPr>
      <w:r>
        <w:t xml:space="preserve">14.3 Audit constraints honored</w:t>
      </w:r>
    </w:p>
    <w:p>
      <w:pPr>
        <w:spacing w:after="140" w:before="0" w:line="276"/>
      </w:pPr>
      <w:r>
        <w:rPr>
          <w:b w:val="false"/>
          <w:bCs w:val="false"/>
          <w:i w:val="false"/>
          <w:iCs w:val="false"/>
        </w:rPr>
        <w:t xml:space="preserve">No code was modified. No redesign was proposed. No refactoring or new architecture was recommended beyond documenting existing limitations. All conclusions are tied to observed files, migrations, and documentation; behavior that could not be verified is marked “Not Found” rather than inferred. The UI section has been completed with screenshots supplied from the running application, replacing the earlier “not captured” placeholder.</w:t>
      </w:r>
    </w:p>
    <w:sectPr>
      <w:headerReference w:type="default" r:id="rId7"/>
      <w:footerReference w:type="default" r:id="rId8"/>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CEC" w:sz="4" w:space="4"/>
      </w:pBdr>
      <w:jc w:val="center"/>
    </w:pPr>
    <w:r>
      <w:rPr>
        <w:color w:val="8894AE"/>
        <w:sz w:val="15"/>
        <w:szCs w:val="15"/>
      </w:rPr>
      <w:t xml:space="preserve">flow-link-docs  •  Confidential  •  Page </w:t>
    </w:r>
    <w:r>
      <w:rPr>
        <w:color w:val="8894AE"/>
        <w:sz w:val="15"/>
        <w:szCs w:val="15"/>
      </w:rPr>
      <w:fldChar w:fldCharType="begin"/>
      <w:instrText xml:space="preserve">PAGE</w:instrText>
      <w:fldChar w:fldCharType="separate"/>
      <w:fldChar w:fldCharType="end"/>
    </w:r>
    <w:r>
      <w:rPr>
        <w:color w:val="8894AE"/>
        <w:sz w:val="15"/>
        <w:szCs w:val="15"/>
      </w:rPr>
      <w:t xml:space="preserve"> of </w:t>
    </w:r>
    <w:r>
      <w:rPr>
        <w:color w:val="8894AE"/>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CEC" w:sz="4" w:space="4"/>
      </w:pBdr>
      <w:jc w:val="right"/>
    </w:pPr>
    <w:r>
      <w:rPr>
        <w:color w:val="8894AE"/>
        <w:sz w:val="15"/>
        <w:szCs w:val="15"/>
      </w:rPr>
      <w:t xml:space="preserve">Commission Module — Technical Inventory &amp; Implementation Baseline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6D4AC0" w:sz="8" w:space="4"/>
      </w:pBdr>
      <w:spacing w:after="160" w:before="260"/>
      <w:outlineLvl w:val="0"/>
    </w:pPr>
    <w:rPr>
      <w:rFonts w:ascii="Arial" w:cs="Arial" w:eastAsia="Arial" w:hAnsi="Arial"/>
      <w:b/>
      <w:bCs/>
      <w:color w:val="1F2A5A"/>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5AAC"/>
      <w:sz w:val="24"/>
      <w:szCs w:val="24"/>
    </w:rPr>
  </w:style>
  <w:style w:type="paragraph" w:styleId="Heading3">
    <w:name w:val="Heading 3"/>
    <w:basedOn w:val="Normal"/>
    <w:next w:val="Normal"/>
    <w:qFormat/>
    <w:pPr>
      <w:spacing w:after="60" w:before="140"/>
      <w:outlineLvl w:val="2"/>
    </w:pPr>
    <w:rPr>
      <w:rFonts w:ascii="Arial" w:cs="Arial" w:eastAsia="Arial" w:hAnsi="Arial"/>
      <w:b/>
      <w:bCs/>
      <w:color w:val="333333"/>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31fe1b19f11a6b4401440d79366427f8b727a06.jpg"/><Relationship Id="rId10" Type="http://schemas.openxmlformats.org/officeDocument/2006/relationships/image" Target="media/d8b82b22e95f2490db713cb0fd70e1776303aa8b.jpg"/><Relationship Id="rId11" Type="http://schemas.openxmlformats.org/officeDocument/2006/relationships/image" Target="media/1917b37f6f411f9caf7adaa468486b15f9dc56bd.jpg"/><Relationship Id="rId12" Type="http://schemas.openxmlformats.org/officeDocument/2006/relationships/image" Target="media/4e53d27ae916f7970e9415d1df186dd2541c77a3.jpg"/><Relationship Id="rId13" Type="http://schemas.openxmlformats.org/officeDocument/2006/relationships/image" Target="media/6ab8dd6bc53cc1b043737c344bbf7b6f7947df14.jpg"/><Relationship Id="rId14" Type="http://schemas.openxmlformats.org/officeDocument/2006/relationships/image" Target="media/0c5a0e5ec5b8094c658853a880fcbfb3c09639e0.jpg"/><Relationship Id="rId15" Type="http://schemas.openxmlformats.org/officeDocument/2006/relationships/image" Target="media/5b6d8d55d32c39af01cc70bdec22c2ce7148299c.jpg"/><Relationship Id="rId16" Type="http://schemas.openxmlformats.org/officeDocument/2006/relationships/image" Target="media/5d3dd43cc119177964765dc8d2e1aa06fb444122.jp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Commission Module — Technical Inventory &amp; Implementation Baseline</dc:title>
  <dc:creator>Commission Module Audit</dc:creator>
  <cp:lastModifiedBy>Un-named</cp:lastModifiedBy>
  <cp:revision>1</cp:revision>
  <dcterms:created xsi:type="dcterms:W3CDTF">2026-07-01T00:59:18.388Z</dcterms:created>
  <dcterms:modified xsi:type="dcterms:W3CDTF">2026-07-01T00:59:18.398Z</dcterms:modified>
</cp:coreProperties>
</file>

<file path=docProps/custom.xml><?xml version="1.0" encoding="utf-8"?>
<Properties xmlns="http://schemas.openxmlformats.org/officeDocument/2006/custom-properties" xmlns:vt="http://schemas.openxmlformats.org/officeDocument/2006/docPropsVTypes"/>
</file>