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20.png" ContentType="image/png"/>
  <Override PartName="/word/media/rId40.png" ContentType="image/png"/>
  <Override PartName="/word/media/rId30.png" ContentType="image/png"/>
  <Override PartName="/word/media/rId46.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Hitchhiker’s</w:t>
      </w:r>
      <w:r>
        <w:t xml:space="preserve"> </w:t>
      </w:r>
      <w:r>
        <w:t xml:space="preserve">Guide</w:t>
      </w:r>
      <w:r>
        <w:t xml:space="preserve"> </w:t>
      </w:r>
      <w:r>
        <w:t xml:space="preserve">to</w:t>
      </w:r>
      <w:r>
        <w:t xml:space="preserve"> </w:t>
      </w:r>
      <w:r>
        <w:t xml:space="preserve">Temporal</w:t>
      </w:r>
      <w:r>
        <w:t xml:space="preserve"> </w:t>
      </w:r>
      <w:r>
        <w:t xml:space="preserve">Complexity</w:t>
      </w:r>
      <w:r>
        <w:t xml:space="preserve"> </w:t>
      </w:r>
      <w:r>
        <w:t xml:space="preserve">for</w:t>
      </w:r>
      <w:r>
        <w:t xml:space="preserve"> </w:t>
      </w:r>
      <w:r>
        <w:t xml:space="preserve">Resting</w:t>
      </w:r>
      <w:r>
        <w:t xml:space="preserve"> </w:t>
      </w:r>
      <w:r>
        <w:t xml:space="preserve">State</w:t>
      </w:r>
      <w:r>
        <w:t xml:space="preserve"> </w:t>
      </w:r>
      <w:r>
        <w:t xml:space="preserve">fMRI</w:t>
      </w:r>
      <w:r>
        <w:t xml:space="preserve"> </w:t>
      </w:r>
      <w:r>
        <w:t xml:space="preserve">Analysis</w:t>
      </w:r>
    </w:p>
    <w:p>
      <w:pPr>
        <w:pStyle w:val="Author"/>
      </w:pPr>
      <w:r>
        <w:t xml:space="preserve">Isabel</w:t>
      </w:r>
      <w:r>
        <w:t xml:space="preserve"> </w:t>
      </w:r>
      <w:r>
        <w:t xml:space="preserve">Si-En</w:t>
      </w:r>
      <w:r>
        <w:t xml:space="preserve"> </w:t>
      </w:r>
      <w:r>
        <w:t xml:space="preserve">Wilson</w:t>
      </w:r>
    </w:p>
    <w:p>
      <w:pPr>
        <w:pStyle w:val="Author"/>
      </w:pPr>
      <w:r>
        <w:t xml:space="preserve">Andre</w:t>
      </w:r>
      <w:r>
        <w:t xml:space="preserve"> </w:t>
      </w:r>
      <w:r>
        <w:t xml:space="preserve">Reza</w:t>
      </w:r>
      <w:r>
        <w:t xml:space="preserve"> </w:t>
      </w:r>
      <w:r>
        <w:t xml:space="preserve">Zamani</w:t>
      </w:r>
    </w:p>
    <w:p>
      <w:pPr>
        <w:pStyle w:val="Author"/>
      </w:pPr>
      <w:r>
        <w:t xml:space="preserve">Alexander</w:t>
      </w:r>
      <w:r>
        <w:t xml:space="preserve"> </w:t>
      </w:r>
      <w:r>
        <w:t xml:space="preserve">Mark</w:t>
      </w:r>
      <w:r>
        <w:t xml:space="preserve"> </w:t>
      </w:r>
      <w:r>
        <w:t xml:space="preserve">Weber</w:t>
      </w:r>
    </w:p>
    <w:p>
      <w:pPr>
        <w:pStyle w:val="Date"/>
      </w:pPr>
      <w:r>
        <w:t xml:space="preserve">2025-12-03</w:t>
      </w:r>
    </w:p>
    <w:p>
      <w:pPr>
        <w:pStyle w:val="AbstractTitle"/>
      </w:pPr>
      <w:r>
        <w:t xml:space="preserve">Abstract</w:t>
      </w:r>
    </w:p>
    <w:p>
      <w:pPr>
        <w:pStyle w:val="Abstract"/>
      </w:pPr>
      <w:r>
        <w:t xml:space="preserve">Cognitive</w:t>
      </w:r>
      <w:r>
        <w:t xml:space="preserve"> </w:t>
      </w:r>
      <w:r>
        <w:t xml:space="preserve">and</w:t>
      </w:r>
      <w:r>
        <w:t xml:space="preserve"> </w:t>
      </w:r>
      <w:r>
        <w:t xml:space="preserve">clinical</w:t>
      </w:r>
      <w:r>
        <w:t xml:space="preserve"> </w:t>
      </w:r>
      <w:r>
        <w:t xml:space="preserve">neuroimaging</w:t>
      </w:r>
      <w:r>
        <w:t xml:space="preserve"> </w:t>
      </w:r>
      <w:r>
        <w:t xml:space="preserve">have</w:t>
      </w:r>
      <w:r>
        <w:t xml:space="preserve"> </w:t>
      </w:r>
      <w:r>
        <w:t xml:space="preserve">increasingly</w:t>
      </w:r>
      <w:r>
        <w:t xml:space="preserve"> </w:t>
      </w:r>
      <w:r>
        <w:t xml:space="preserve">drawn</w:t>
      </w:r>
      <w:r>
        <w:t xml:space="preserve"> </w:t>
      </w:r>
      <w:r>
        <w:t xml:space="preserve">on</w:t>
      </w:r>
      <w:r>
        <w:t xml:space="preserve"> </w:t>
      </w:r>
      <w:r>
        <w:t xml:space="preserve">tools</w:t>
      </w:r>
      <w:r>
        <w:t xml:space="preserve"> </w:t>
      </w:r>
      <w:r>
        <w:t xml:space="preserve">from</w:t>
      </w:r>
      <w:r>
        <w:t xml:space="preserve"> </w:t>
      </w:r>
      <w:r>
        <w:t xml:space="preserve">complexity</w:t>
      </w:r>
      <w:r>
        <w:t xml:space="preserve"> </w:t>
      </w:r>
      <w:r>
        <w:t xml:space="preserve">science</w:t>
      </w:r>
      <w:r>
        <w:t xml:space="preserve"> </w:t>
      </w:r>
      <w:r>
        <w:t xml:space="preserve">to</w:t>
      </w:r>
      <w:r>
        <w:t xml:space="preserve"> </w:t>
      </w:r>
      <w:r>
        <w:t xml:space="preserve">characterize</w:t>
      </w:r>
      <w:r>
        <w:t xml:space="preserve"> </w:t>
      </w:r>
      <w:r>
        <w:t xml:space="preserve">the</w:t>
      </w:r>
      <w:r>
        <w:t xml:space="preserve"> </w:t>
      </w:r>
      <w:r>
        <w:t xml:space="preserve">nonlinear</w:t>
      </w:r>
      <w:r>
        <w:t xml:space="preserve"> </w:t>
      </w:r>
      <w:r>
        <w:t xml:space="preserve">dynamics</w:t>
      </w:r>
      <w:r>
        <w:t xml:space="preserve"> </w:t>
      </w:r>
      <w:r>
        <w:t xml:space="preserve">of</w:t>
      </w:r>
      <w:r>
        <w:t xml:space="preserve"> </w:t>
      </w:r>
      <w:r>
        <w:t xml:space="preserve">the</w:t>
      </w:r>
      <w:r>
        <w:t xml:space="preserve"> </w:t>
      </w:r>
      <w:r>
        <w:t xml:space="preserve">brain.</w:t>
      </w:r>
      <w:r>
        <w:t xml:space="preserve"> </w:t>
      </w:r>
      <w:r>
        <w:t xml:space="preserve">Temporal</w:t>
      </w:r>
      <w:r>
        <w:t xml:space="preserve"> </w:t>
      </w:r>
      <w:r>
        <w:t xml:space="preserve">complexity</w:t>
      </w:r>
      <w:r>
        <w:t xml:space="preserve"> </w:t>
      </w:r>
      <w:r>
        <w:t xml:space="preserve">metrics</w:t>
      </w:r>
      <w:r>
        <w:t xml:space="preserve"> </w:t>
      </w:r>
      <w:r>
        <w:t xml:space="preserve">reflect</w:t>
      </w:r>
      <w:r>
        <w:t xml:space="preserve"> </w:t>
      </w:r>
      <w:r>
        <w:t xml:space="preserve">a</w:t>
      </w:r>
      <w:r>
        <w:t xml:space="preserve"> </w:t>
      </w:r>
      <w:r>
        <w:t xml:space="preserve">range</w:t>
      </w:r>
      <w:r>
        <w:t xml:space="preserve"> </w:t>
      </w:r>
      <w:r>
        <w:t xml:space="preserve">of</w:t>
      </w:r>
      <w:r>
        <w:t xml:space="preserve"> </w:t>
      </w:r>
      <w:r>
        <w:t xml:space="preserve">approaches</w:t>
      </w:r>
      <w:r>
        <w:t xml:space="preserve"> </w:t>
      </w:r>
      <w:r>
        <w:t xml:space="preserve">to</w:t>
      </w:r>
      <w:r>
        <w:t xml:space="preserve"> </w:t>
      </w:r>
      <w:r>
        <w:t xml:space="preserve">complexity</w:t>
      </w:r>
      <w:r>
        <w:t xml:space="preserve"> </w:t>
      </w:r>
      <w:r>
        <w:t xml:space="preserve">in</w:t>
      </w:r>
      <w:r>
        <w:t xml:space="preserve"> </w:t>
      </w:r>
      <w:r>
        <w:t xml:space="preserve">time</w:t>
      </w:r>
      <w:r>
        <w:t xml:space="preserve"> </w:t>
      </w:r>
      <w:r>
        <w:t xml:space="preserve">series,</w:t>
      </w:r>
      <w:r>
        <w:t xml:space="preserve"> </w:t>
      </w:r>
      <w:r>
        <w:t xml:space="preserve">including</w:t>
      </w:r>
      <w:r>
        <w:t xml:space="preserve"> </w:t>
      </w:r>
      <w:r>
        <w:t xml:space="preserve">describing</w:t>
      </w:r>
      <w:r>
        <w:t xml:space="preserve"> </w:t>
      </w:r>
      <w:r>
        <w:t xml:space="preserve">the</w:t>
      </w:r>
      <w:r>
        <w:t xml:space="preserve"> </w:t>
      </w:r>
      <w:r>
        <w:t xml:space="preserve">system’s</w:t>
      </w:r>
      <w:r>
        <w:t xml:space="preserve"> </w:t>
      </w:r>
      <w:r>
        <w:t xml:space="preserve">regularity</w:t>
      </w:r>
      <w:r>
        <w:t xml:space="preserve"> </w:t>
      </w:r>
      <w:r>
        <w:t xml:space="preserve">and</w:t>
      </w:r>
      <w:r>
        <w:t xml:space="preserve"> </w:t>
      </w:r>
      <w:r>
        <w:t xml:space="preserve">irregularity,</w:t>
      </w:r>
      <w:r>
        <w:t xml:space="preserve"> </w:t>
      </w:r>
      <w:r>
        <w:t xml:space="preserve">predictability</w:t>
      </w:r>
      <w:r>
        <w:t xml:space="preserve"> </w:t>
      </w:r>
      <w:r>
        <w:t xml:space="preserve">and</w:t>
      </w:r>
      <w:r>
        <w:t xml:space="preserve"> </w:t>
      </w:r>
      <w:r>
        <w:t xml:space="preserve">unpredictability,</w:t>
      </w:r>
      <w:r>
        <w:t xml:space="preserve"> </w:t>
      </w:r>
      <w:r>
        <w:t xml:space="preserve">information</w:t>
      </w:r>
      <w:r>
        <w:t xml:space="preserve"> </w:t>
      </w:r>
      <w:r>
        <w:t xml:space="preserve">compressibility,</w:t>
      </w:r>
      <w:r>
        <w:t xml:space="preserve"> </w:t>
      </w:r>
      <w:r>
        <w:t xml:space="preserve">and</w:t>
      </w:r>
      <w:r>
        <w:t xml:space="preserve"> </w:t>
      </w:r>
      <w:r>
        <w:t xml:space="preserve">long-term</w:t>
      </w:r>
      <w:r>
        <w:t xml:space="preserve"> </w:t>
      </w:r>
      <w:r>
        <w:t xml:space="preserve">memory.</w:t>
      </w:r>
      <w:r>
        <w:t xml:space="preserve"> </w:t>
      </w:r>
      <w:r>
        <w:t xml:space="preserve">In</w:t>
      </w:r>
      <w:r>
        <w:t xml:space="preserve"> </w:t>
      </w:r>
      <w:r>
        <w:t xml:space="preserve">functional</w:t>
      </w:r>
      <w:r>
        <w:t xml:space="preserve"> </w:t>
      </w:r>
      <w:r>
        <w:t xml:space="preserve">magnetic</w:t>
      </w:r>
      <w:r>
        <w:t xml:space="preserve"> </w:t>
      </w:r>
      <w:r>
        <w:t xml:space="preserve">resonance</w:t>
      </w:r>
      <w:r>
        <w:t xml:space="preserve"> </w:t>
      </w:r>
      <w:r>
        <w:t xml:space="preserve">imaging</w:t>
      </w:r>
      <w:r>
        <w:t xml:space="preserve"> </w:t>
      </w:r>
      <w:r>
        <w:t xml:space="preserve">(fMRI),</w:t>
      </w:r>
      <w:r>
        <w:t xml:space="preserve"> </w:t>
      </w:r>
      <w:r>
        <w:t xml:space="preserve">applications</w:t>
      </w:r>
      <w:r>
        <w:t xml:space="preserve"> </w:t>
      </w:r>
      <w:r>
        <w:t xml:space="preserve">of</w:t>
      </w:r>
      <w:r>
        <w:t xml:space="preserve"> </w:t>
      </w:r>
      <w:r>
        <w:t xml:space="preserve">temporal</w:t>
      </w:r>
      <w:r>
        <w:t xml:space="preserve"> </w:t>
      </w:r>
      <w:r>
        <w:t xml:space="preserve">complexity</w:t>
      </w:r>
      <w:r>
        <w:t xml:space="preserve"> </w:t>
      </w:r>
      <w:r>
        <w:t xml:space="preserve">are</w:t>
      </w:r>
      <w:r>
        <w:t xml:space="preserve"> </w:t>
      </w:r>
      <w:r>
        <w:t xml:space="preserve">scattered</w:t>
      </w:r>
      <w:r>
        <w:t xml:space="preserve"> </w:t>
      </w:r>
      <w:r>
        <w:t xml:space="preserve">across</w:t>
      </w:r>
      <w:r>
        <w:t xml:space="preserve"> </w:t>
      </w:r>
      <w:r>
        <w:t xml:space="preserve">siloed</w:t>
      </w:r>
      <w:r>
        <w:t xml:space="preserve"> </w:t>
      </w:r>
      <w:r>
        <w:t xml:space="preserve">literatures</w:t>
      </w:r>
      <w:r>
        <w:t xml:space="preserve"> </w:t>
      </w:r>
      <w:r>
        <w:t xml:space="preserve">with</w:t>
      </w:r>
      <w:r>
        <w:t xml:space="preserve"> </w:t>
      </w:r>
      <w:r>
        <w:t xml:space="preserve">varying</w:t>
      </w:r>
      <w:r>
        <w:t xml:space="preserve"> </w:t>
      </w:r>
      <w:r>
        <w:t xml:space="preserve">clarity,</w:t>
      </w:r>
      <w:r>
        <w:t xml:space="preserve"> </w:t>
      </w:r>
      <w:r>
        <w:t xml:space="preserve">which</w:t>
      </w:r>
      <w:r>
        <w:t xml:space="preserve"> </w:t>
      </w:r>
      <w:r>
        <w:t xml:space="preserve">limits</w:t>
      </w:r>
      <w:r>
        <w:t xml:space="preserve"> </w:t>
      </w:r>
      <w:r>
        <w:t xml:space="preserve">accessibility</w:t>
      </w:r>
      <w:r>
        <w:t xml:space="preserve"> </w:t>
      </w:r>
      <w:r>
        <w:t xml:space="preserve">and</w:t>
      </w:r>
      <w:r>
        <w:t xml:space="preserve"> </w:t>
      </w:r>
      <w:r>
        <w:t xml:space="preserve">therefore</w:t>
      </w:r>
      <w:r>
        <w:t xml:space="preserve"> </w:t>
      </w:r>
      <w:r>
        <w:t xml:space="preserve">prevalence.</w:t>
      </w:r>
      <w:r>
        <w:t xml:space="preserve"> </w:t>
      </w:r>
      <w:r>
        <w:t xml:space="preserve">This</w:t>
      </w:r>
      <w:r>
        <w:t xml:space="preserve"> </w:t>
      </w:r>
      <w:r>
        <w:t xml:space="preserve">review</w:t>
      </w:r>
      <w:r>
        <w:t xml:space="preserve"> </w:t>
      </w:r>
      <w:r>
        <w:t xml:space="preserve">aims</w:t>
      </w:r>
      <w:r>
        <w:t xml:space="preserve"> </w:t>
      </w:r>
      <w:r>
        <w:t xml:space="preserve">to</w:t>
      </w:r>
      <w:r>
        <w:t xml:space="preserve"> </w:t>
      </w:r>
      <w:r>
        <w:t xml:space="preserve">bridge</w:t>
      </w:r>
      <w:r>
        <w:t xml:space="preserve"> </w:t>
      </w:r>
      <w:r>
        <w:t xml:space="preserve">this</w:t>
      </w:r>
      <w:r>
        <w:t xml:space="preserve"> </w:t>
      </w:r>
      <w:r>
        <w:t xml:space="preserve">gap</w:t>
      </w:r>
      <w:r>
        <w:t xml:space="preserve"> </w:t>
      </w:r>
      <w:r>
        <w:t xml:space="preserve">by</w:t>
      </w:r>
      <w:r>
        <w:t xml:space="preserve"> </w:t>
      </w:r>
      <w:r>
        <w:t xml:space="preserve">communicating</w:t>
      </w:r>
      <w:r>
        <w:t xml:space="preserve"> </w:t>
      </w:r>
      <w:r>
        <w:t xml:space="preserve">the</w:t>
      </w:r>
      <w:r>
        <w:t xml:space="preserve"> </w:t>
      </w:r>
      <w:r>
        <w:t xml:space="preserve">basics</w:t>
      </w:r>
      <w:r>
        <w:t xml:space="preserve"> </w:t>
      </w:r>
      <w:r>
        <w:t xml:space="preserve">of</w:t>
      </w:r>
      <w:r>
        <w:t xml:space="preserve"> </w:t>
      </w:r>
      <w:r>
        <w:t xml:space="preserve">temporal</w:t>
      </w:r>
      <w:r>
        <w:t xml:space="preserve"> </w:t>
      </w:r>
      <w:r>
        <w:t xml:space="preserve">complexity</w:t>
      </w:r>
      <w:r>
        <w:t xml:space="preserve"> </w:t>
      </w:r>
      <w:r>
        <w:t xml:space="preserve">to</w:t>
      </w:r>
      <w:r>
        <w:t xml:space="preserve"> </w:t>
      </w:r>
      <w:r>
        <w:t xml:space="preserve">fMRI</w:t>
      </w:r>
      <w:r>
        <w:t xml:space="preserve"> </w:t>
      </w:r>
      <w:r>
        <w:t xml:space="preserve">scientists.</w:t>
      </w:r>
      <w:r>
        <w:t xml:space="preserve"> </w:t>
      </w:r>
      <w:r>
        <w:t xml:space="preserve">We</w:t>
      </w:r>
      <w:r>
        <w:t xml:space="preserve"> </w:t>
      </w:r>
      <w:r>
        <w:t xml:space="preserve">offer</w:t>
      </w:r>
      <w:r>
        <w:t xml:space="preserve"> </w:t>
      </w:r>
      <w:r>
        <w:t xml:space="preserve">a</w:t>
      </w:r>
      <w:r>
        <w:t xml:space="preserve"> </w:t>
      </w:r>
      <w:r>
        <w:t xml:space="preserve">comprehensive</w:t>
      </w:r>
      <w:r>
        <w:t xml:space="preserve"> </w:t>
      </w:r>
      <w:r>
        <w:t xml:space="preserve">guide</w:t>
      </w:r>
      <w:r>
        <w:t xml:space="preserve"> </w:t>
      </w:r>
      <w:r>
        <w:t xml:space="preserve">to</w:t>
      </w:r>
      <w:r>
        <w:t xml:space="preserve"> </w:t>
      </w:r>
      <w:r>
        <w:t xml:space="preserve">temporal</w:t>
      </w:r>
      <w:r>
        <w:t xml:space="preserve"> </w:t>
      </w:r>
      <w:r>
        <w:t xml:space="preserve">complexity</w:t>
      </w:r>
      <w:r>
        <w:t xml:space="preserve"> </w:t>
      </w:r>
      <w:r>
        <w:t xml:space="preserve">in</w:t>
      </w:r>
      <w:r>
        <w:t xml:space="preserve"> </w:t>
      </w:r>
      <w:r>
        <w:t xml:space="preserve">fMRI,</w:t>
      </w:r>
      <w:r>
        <w:t xml:space="preserve"> </w:t>
      </w:r>
      <w:r>
        <w:t xml:space="preserve">including</w:t>
      </w:r>
      <w:r>
        <w:t xml:space="preserve"> </w:t>
      </w:r>
      <w:r>
        <w:t xml:space="preserve">an</w:t>
      </w:r>
      <w:r>
        <w:t xml:space="preserve"> </w:t>
      </w:r>
      <w:r>
        <w:t xml:space="preserve">overview</w:t>
      </w:r>
      <w:r>
        <w:t xml:space="preserve"> </w:t>
      </w:r>
      <w:r>
        <w:t xml:space="preserve">of</w:t>
      </w:r>
      <w:r>
        <w:t xml:space="preserve"> </w:t>
      </w:r>
      <w:r>
        <w:t xml:space="preserve">fMRI</w:t>
      </w:r>
      <w:r>
        <w:t xml:space="preserve"> </w:t>
      </w:r>
      <w:r>
        <w:t xml:space="preserve">temporal</w:t>
      </w:r>
      <w:r>
        <w:t xml:space="preserve"> </w:t>
      </w:r>
      <w:r>
        <w:t xml:space="preserve">complexity</w:t>
      </w:r>
      <w:r>
        <w:t xml:space="preserve"> </w:t>
      </w:r>
      <w:r>
        <w:t xml:space="preserve">metrics—Shannon</w:t>
      </w:r>
      <w:r>
        <w:t xml:space="preserve"> </w:t>
      </w:r>
      <w:r>
        <w:t xml:space="preserve">entropy,</w:t>
      </w:r>
      <w:r>
        <w:t xml:space="preserve"> </w:t>
      </w:r>
      <w:r>
        <w:t xml:space="preserve">variations</w:t>
      </w:r>
      <w:r>
        <w:t xml:space="preserve"> </w:t>
      </w:r>
      <w:r>
        <w:t xml:space="preserve">of</w:t>
      </w:r>
      <w:r>
        <w:t xml:space="preserve"> </w:t>
      </w:r>
      <w:r>
        <w:t xml:space="preserve">(multi-scale)</w:t>
      </w:r>
      <w:r>
        <w:t xml:space="preserve"> </w:t>
      </w:r>
      <w:r>
        <w:t xml:space="preserve">sample</w:t>
      </w:r>
      <w:r>
        <w:t xml:space="preserve"> </w:t>
      </w:r>
      <w:r>
        <w:t xml:space="preserve">entropy,</w:t>
      </w:r>
      <w:r>
        <w:t xml:space="preserve"> </w:t>
      </w:r>
      <w:r>
        <w:t xml:space="preserve">Lempel-Ziv</w:t>
      </w:r>
      <w:r>
        <w:t xml:space="preserve"> </w:t>
      </w:r>
      <w:r>
        <w:t xml:space="preserve">complexity,</w:t>
      </w:r>
      <w:r>
        <w:t xml:space="preserve"> </w:t>
      </w:r>
      <w:r>
        <w:t xml:space="preserve">avalanche</w:t>
      </w:r>
      <w:r>
        <w:t xml:space="preserve"> </w:t>
      </w:r>
      <w:r>
        <w:t xml:space="preserve">measures,</w:t>
      </w:r>
      <w:r>
        <w:t xml:space="preserve"> </w:t>
      </w:r>
      <w:r>
        <w:t xml:space="preserve">and</w:t>
      </w:r>
      <w:r>
        <w:t xml:space="preserve"> </w:t>
      </w:r>
      <w:r>
        <w:t xml:space="preserve">Hurst—followed</w:t>
      </w:r>
      <w:r>
        <w:t xml:space="preserve"> </w:t>
      </w:r>
      <w:r>
        <w:t xml:space="preserve">by</w:t>
      </w:r>
      <w:r>
        <w:t xml:space="preserve"> </w:t>
      </w:r>
      <w:r>
        <w:t xml:space="preserve">a</w:t>
      </w:r>
      <w:r>
        <w:t xml:space="preserve"> </w:t>
      </w:r>
      <w:r>
        <w:t xml:space="preserve">comprehensive</w:t>
      </w:r>
      <w:r>
        <w:t xml:space="preserve"> </w:t>
      </w:r>
      <w:r>
        <w:t xml:space="preserve">review</w:t>
      </w:r>
      <w:r>
        <w:t xml:space="preserve"> </w:t>
      </w:r>
      <w:r>
        <w:t xml:space="preserve">of</w:t>
      </w:r>
      <w:r>
        <w:t xml:space="preserve"> </w:t>
      </w:r>
      <w:r>
        <w:t xml:space="preserve">extant</w:t>
      </w:r>
      <w:r>
        <w:t xml:space="preserve"> </w:t>
      </w:r>
      <w:r>
        <w:t xml:space="preserve">applications</w:t>
      </w:r>
      <w:r>
        <w:t xml:space="preserve"> </w:t>
      </w:r>
      <w:r>
        <w:t xml:space="preserve">in</w:t>
      </w:r>
      <w:r>
        <w:t xml:space="preserve"> </w:t>
      </w:r>
      <w:r>
        <w:t xml:space="preserve">fMRI.</w:t>
      </w:r>
    </w:p>
    <w:bookmarkStart w:id="53" w:name="introduction"/>
    <w:p>
      <w:pPr>
        <w:pStyle w:val="Heading2"/>
      </w:pPr>
      <w:r>
        <w:t xml:space="preserve">Introduction</w:t>
      </w:r>
    </w:p>
    <w:p>
      <w:pPr>
        <w:pStyle w:val="FirstParagraph"/>
      </w:pPr>
      <w:r>
        <w:t xml:space="preserve">Hello</w:t>
      </w:r>
      <w:r>
        <w:t xml:space="preserve"> </w:t>
      </w:r>
      <w:r>
        <w:t xml:space="preserve">(Beggs 2022)</w:t>
      </w:r>
    </w:p>
    <w:p>
      <w:pPr>
        <w:pStyle w:val="BodyText"/>
      </w:pPr>
      <w:r>
        <w:t xml:space="preserve">See</w:t>
      </w:r>
      <w:r>
        <w:t xml:space="preserve"> </w:t>
      </w:r>
      <w:r>
        <w:rPr>
          <w:b/>
          <w:bCs/>
        </w:rPr>
        <w:t xml:space="preserve">?@fig-fmritempresolution</w:t>
      </w:r>
    </w:p>
    <w:p>
      <w:pPr>
        <w:pStyle w:val="BodyText"/>
      </w:pPr>
      <w:bookmarkStart w:id="23" w:name="fig-fmritempresolution"/>
      <w:r>
        <w:drawing>
          <wp:inline>
            <wp:extent cx="5334000" cy="3000375"/>
            <wp:effectExtent b="0" l="0" r="0" t="0"/>
            <wp:docPr descr="Among neuroimaging methods, fMRI has a low temporal resolution. Here, one second of BOLD signal (TR = 1s in this example) is contrasted with one second of MEG signal (TR &lt; 0.001s). Each timepoint in the BOLD signal represents activity for the entire one-second window. Arbitrary units; note that BOLD and MEG signals represent different physiological processes. Original image." title="" id="21" name="Picture"/>
            <a:graphic>
              <a:graphicData uri="http://schemas.openxmlformats.org/drawingml/2006/picture">
                <pic:pic>
                  <pic:nvPicPr>
                    <pic:cNvPr descr="./images/unnamed.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bookmarkEnd w:id="23"/>
      <w:r>
        <w:t xml:space="preserve"> </w:t>
      </w:r>
    </w:p>
    <w:p>
      <w:pPr>
        <w:pStyle w:val="BodyText"/>
      </w:pPr>
      <w:r>
        <w:t xml:space="preserve">See</w:t>
      </w:r>
      <w:r>
        <w:t xml:space="preserve"> </w:t>
      </w:r>
      <w:hyperlink w:anchor="fig-wordcloud">
        <w:r>
          <w:rPr>
            <w:rStyle w:val="Hyperlink"/>
          </w:rPr>
          <w:t xml:space="preserve">Figure 1</w:t>
        </w:r>
      </w:hyperlink>
    </w:p>
    <w:tbl>
      <w:tblPr>
        <w:tblStyle w:val="Table"/>
        <w:tblW w:type="pct" w:w="5000"/>
        <w:tblLayout w:type="fixed"/>
        <w:tblLook w:firstRow="0" w:lastRow="0" w:firstColumn="0" w:lastColumn="0" w:noHBand="0" w:noVBand="0" w:val="0000"/>
      </w:tblPr>
      <w:tblGrid>
        <w:gridCol w:w="7920"/>
      </w:tblGrid>
      <w:tr>
        <w:tc>
          <w:tcPr/>
          <w:bookmarkStart w:id="29" w:name="fig-wordcloud"/>
          <w:p>
            <w:pPr>
              <w:jc w:val="center"/>
            </w:pPr>
            <w:bookmarkStart w:id="27" w:name="wordcloud"/>
            <w:r>
              <w:drawing>
                <wp:inline>
                  <wp:extent cx="3592945" cy="3592945"/>
                  <wp:effectExtent b="0" l="0" r="0" t="0"/>
                  <wp:docPr descr="" title="" id="25" name="Picture"/>
                  <a:graphic>
                    <a:graphicData uri="http://schemas.openxmlformats.org/drawingml/2006/picture">
                      <pic:pic>
                        <pic:nvPicPr>
                          <pic:cNvPr descr="index_files/figure-docx/notebooks-Figures-wordcloud-output-1.png" id="26" name="Picture"/>
                          <pic:cNvPicPr>
                            <a:picLocks noChangeArrowheads="1" noChangeAspect="1"/>
                          </pic:cNvPicPr>
                        </pic:nvPicPr>
                        <pic:blipFill>
                          <a:blip r:embed="rId24"/>
                          <a:stretch>
                            <a:fillRect/>
                          </a:stretch>
                        </pic:blipFill>
                        <pic:spPr bwMode="auto">
                          <a:xfrm>
                            <a:off x="0" y="0"/>
                            <a:ext cx="3592945" cy="3592945"/>
                          </a:xfrm>
                          <a:prstGeom prst="rect">
                            <a:avLst/>
                          </a:prstGeom>
                          <a:noFill/>
                          <a:ln w="9525">
                            <a:noFill/>
                            <a:headEnd/>
                            <a:tailEnd/>
                          </a:ln>
                        </pic:spPr>
                      </pic:pic>
                    </a:graphicData>
                  </a:graphic>
                </wp:inline>
              </w:drawing>
            </w:r>
            <w:bookmarkEnd w:id="27"/>
          </w:p>
          <w:p>
            <w:pPr>
              <w:pStyle w:val="Compact"/>
              <w:jc w:val="center"/>
            </w:pPr>
            <w:r>
              <w:rPr>
                <w:vertAlign w:val="subscript"/>
              </w:rPr>
              <w:t xml:space="preserve">Source:</w:t>
            </w:r>
            <w:r>
              <w:rPr>
                <w:vertAlign w:val="subscript"/>
              </w:rPr>
              <w:t xml:space="preserve"> </w:t>
            </w:r>
            <w:hyperlink r:id="rId28">
              <w:r>
                <w:rPr>
                  <w:rStyle w:val="Hyperlink"/>
                  <w:vertAlign w:val="subscript"/>
                </w:rPr>
                <w:t xml:space="preserve">Figures</w:t>
              </w:r>
            </w:hyperlink>
          </w:p>
          <w:p>
            <w:pPr>
              <w:jc w:val="center"/>
            </w:pPr>
            <w:pPr>
              <w:jc w:val="start"/>
              <w:spacing w:before="200"/>
              <w:pStyle w:val="ImageCaption"/>
            </w:pPr>
            <w:r>
              <w:t xml:space="preserve">Figure 1:</w:t>
            </w:r>
            <w:r>
              <w:t xml:space="preserve"> </w:t>
            </w:r>
            <w:r>
              <w:rPr>
                <w:b/>
                <w:bCs/>
              </w:rPr>
              <w:t xml:space="preserve">A variety of approaches to nonlinear analysis of fMRI data.</w:t>
            </w:r>
            <w:r>
              <w:t xml:space="preserve"> </w:t>
            </w:r>
            <w:r>
              <w:t xml:space="preserve">A Python-generated word cloud of fMRI complexity terms, weighted by number of results in PubMed. Keywords were selected from reviews of nonlinearity/complexity (including</w:t>
            </w:r>
            <w:r>
              <w:t xml:space="preserve"> </w:t>
            </w:r>
            <w:r>
              <w:t xml:space="preserve">Sarasso et al. (2021)</w:t>
            </w:r>
            <w:r>
              <w:t xml:space="preserve">,</w:t>
            </w:r>
            <w:r>
              <w:t xml:space="preserve"> </w:t>
            </w:r>
            <w:r>
              <w:t xml:space="preserve">Sun et al. (2020)</w:t>
            </w:r>
            <w:r>
              <w:t xml:space="preserve">,</w:t>
            </w:r>
            <w:r>
              <w:t xml:space="preserve"> </w:t>
            </w:r>
            <w:r>
              <w:t xml:space="preserve">Hernández et al. (2023)</w:t>
            </w:r>
            <w:r>
              <w:t xml:space="preserve">,</w:t>
            </w:r>
            <w:r>
              <w:t xml:space="preserve"> </w:t>
            </w:r>
            <w:r>
              <w:t xml:space="preserve">Keshmiri (2020)</w:t>
            </w:r>
            <w:r>
              <w:t xml:space="preserve">,</w:t>
            </w:r>
            <w:r>
              <w:t xml:space="preserve"> </w:t>
            </w:r>
            <w:r>
              <w:t xml:space="preserve">Donoghue et al. (2024)</w:t>
            </w:r>
            <w:r>
              <w:t xml:space="preserve">, and</w:t>
            </w:r>
            <w:r>
              <w:t xml:space="preserve"> </w:t>
            </w:r>
            <w:r>
              <w:t xml:space="preserve">Yang and Tsai (2013)</w:t>
            </w:r>
            <w:r>
              <w:t xml:space="preserve">).</w:t>
            </w:r>
          </w:p>
          <w:bookmarkEnd w:id="29"/>
        </w:tc>
      </w:tr>
    </w:tbl>
    <w:p>
      <w:pPr>
        <w:pStyle w:val="BodyText"/>
      </w:pPr>
      <w:r>
        <w:t xml:space="preserve">See</w:t>
      </w:r>
      <w:r>
        <w:t xml:space="preserve"> </w:t>
      </w:r>
      <w:hyperlink w:anchor="fig-sierpinskitriangle">
        <w:r>
          <w:rPr>
            <w:rStyle w:val="Hyperlink"/>
          </w:rPr>
          <w:t xml:space="preserve">Figure 2</w:t>
        </w:r>
      </w:hyperlink>
    </w:p>
    <w:tbl>
      <w:tblPr>
        <w:tblStyle w:val="Table"/>
        <w:tblW w:type="pct" w:w="5000"/>
        <w:tblLayout w:type="fixed"/>
        <w:tblLook w:firstRow="0" w:lastRow="0" w:firstColumn="0" w:lastColumn="0" w:noHBand="0" w:noVBand="0" w:val="0000"/>
      </w:tblPr>
      <w:tblGrid>
        <w:gridCol w:w="7920"/>
      </w:tblGrid>
      <w:tr>
        <w:tc>
          <w:tcPr/>
          <w:bookmarkStart w:id="35" w:name="fig-sierpinskitriangle"/>
          <w:p>
            <w:pPr>
              <w:jc w:val="center"/>
            </w:pPr>
            <w:bookmarkStart w:id="33" w:name="sierpinskitriangle"/>
            <w:r>
              <w:drawing>
                <wp:inline>
                  <wp:extent cx="5334000" cy="1597692"/>
                  <wp:effectExtent b="0" l="0" r="0" t="0"/>
                  <wp:docPr descr="" title="" id="31" name="Picture"/>
                  <a:graphic>
                    <a:graphicData uri="http://schemas.openxmlformats.org/drawingml/2006/picture">
                      <pic:pic>
                        <pic:nvPicPr>
                          <pic:cNvPr descr="index_files/figure-docx/notebooks-Figures-sierpinskitriangle-output-1.png" id="32" name="Picture"/>
                          <pic:cNvPicPr>
                            <a:picLocks noChangeArrowheads="1" noChangeAspect="1"/>
                          </pic:cNvPicPr>
                        </pic:nvPicPr>
                        <pic:blipFill>
                          <a:blip r:embed="rId30"/>
                          <a:stretch>
                            <a:fillRect/>
                          </a:stretch>
                        </pic:blipFill>
                        <pic:spPr bwMode="auto">
                          <a:xfrm>
                            <a:off x="0" y="0"/>
                            <a:ext cx="5334000" cy="1597692"/>
                          </a:xfrm>
                          <a:prstGeom prst="rect">
                            <a:avLst/>
                          </a:prstGeom>
                          <a:noFill/>
                          <a:ln w="9525">
                            <a:noFill/>
                            <a:headEnd/>
                            <a:tailEnd/>
                          </a:ln>
                        </pic:spPr>
                      </pic:pic>
                    </a:graphicData>
                  </a:graphic>
                </wp:inline>
              </w:drawing>
            </w:r>
            <w:bookmarkEnd w:id="33"/>
          </w:p>
          <w:p>
            <w:pPr>
              <w:pStyle w:val="Compact"/>
              <w:jc w:val="center"/>
            </w:pPr>
            <w:r>
              <w:rPr>
                <w:vertAlign w:val="subscript"/>
              </w:rPr>
              <w:t xml:space="preserve">Source:</w:t>
            </w:r>
            <w:r>
              <w:rPr>
                <w:vertAlign w:val="subscript"/>
              </w:rPr>
              <w:t xml:space="preserve"> </w:t>
            </w:r>
            <w:hyperlink r:id="rId34">
              <w:r>
                <w:rPr>
                  <w:rStyle w:val="Hyperlink"/>
                  <w:vertAlign w:val="subscript"/>
                </w:rPr>
                <w:t xml:space="preserve">Figures</w:t>
              </w:r>
            </w:hyperlink>
          </w:p>
          <w:p>
            <w:pPr>
              <w:jc w:val="center"/>
            </w:pPr>
            <w:pPr>
              <w:jc w:val="start"/>
              <w:spacing w:before="200"/>
              <w:pStyle w:val="ImageCaption"/>
            </w:pPr>
            <w:r>
              <w:t xml:space="preserve">Figure 2:</w:t>
            </w:r>
            <w:r>
              <w:t xml:space="preserve"> </w:t>
            </w:r>
            <w:r>
              <w:rPr>
                <w:b/>
                <w:bCs/>
              </w:rPr>
              <w:t xml:space="preserve">Ideal mathematical fractal.</w:t>
            </w:r>
            <w:r>
              <w:t xml:space="preserve"> </w:t>
            </w:r>
            <w:r>
              <w:t xml:space="preserve">The 2D Sierpinski triangle starts with a simple equilateral triangle (left), and subdivides it recursively into smaller equilateral triangles. For every iteration, each triangle (in blue) is further subdivided it into four smaller congruent equilateral triangles with the central triangle removed. The first such iteration is shown in the centre, with the fifth iteration shown on the right.</w:t>
            </w:r>
          </w:p>
          <w:bookmarkEnd w:id="35"/>
        </w:tc>
      </w:tr>
    </w:tbl>
    <w:p>
      <w:pPr>
        <w:pStyle w:val="BodyText"/>
      </w:pPr>
      <w:r>
        <w:t xml:space="preserve">See</w:t>
      </w:r>
      <w:r>
        <w:t xml:space="preserve"> </w:t>
      </w:r>
      <w:hyperlink w:anchor="fig-statisticalfractal">
        <w:r>
          <w:rPr>
            <w:rStyle w:val="Hyperlink"/>
          </w:rPr>
          <w:t xml:space="preserve">Figure 3</w:t>
        </w:r>
      </w:hyperlink>
    </w:p>
    <w:tbl>
      <w:tblPr>
        <w:tblStyle w:val="Table"/>
        <w:tblW w:type="pct" w:w="5000"/>
        <w:tblLayout w:type="fixed"/>
        <w:tblLook w:firstRow="0" w:lastRow="0" w:firstColumn="0" w:lastColumn="0" w:noHBand="0" w:noVBand="0" w:val="0000"/>
      </w:tblPr>
      <w:tblGrid>
        <w:gridCol w:w="7920"/>
      </w:tblGrid>
      <w:tr>
        <w:tc>
          <w:tcPr/>
          <w:bookmarkStart w:id="39" w:name="fig-statisticalfractal"/>
          <w:p>
            <w:pPr>
              <w:pStyle w:val="Compact"/>
              <w:jc w:val="center"/>
            </w:pPr>
            <w:r>
              <w:drawing>
                <wp:inline>
                  <wp:extent cx="3333750" cy="3993832"/>
                  <wp:effectExtent b="0" l="0" r="0" t="0"/>
                  <wp:docPr descr="" title="" id="37" name="Picture"/>
                  <a:graphic>
                    <a:graphicData uri="http://schemas.openxmlformats.org/drawingml/2006/picture">
                      <pic:pic>
                        <pic:nvPicPr>
                          <pic:cNvPr descr="./images/exact_vs_statistical_tree.png" id="38" name="Picture"/>
                          <pic:cNvPicPr>
                            <a:picLocks noChangeArrowheads="1" noChangeAspect="1"/>
                          </pic:cNvPicPr>
                        </pic:nvPicPr>
                        <pic:blipFill>
                          <a:blip r:embed="rId36"/>
                          <a:stretch>
                            <a:fillRect/>
                          </a:stretch>
                        </pic:blipFill>
                        <pic:spPr bwMode="auto">
                          <a:xfrm>
                            <a:off x="0" y="0"/>
                            <a:ext cx="3333750" cy="39938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3:</w:t>
            </w:r>
            <w:r>
              <w:t xml:space="preserve"> </w:t>
            </w:r>
            <w:r>
              <w:rPr>
                <w:b/>
                <w:bCs/>
              </w:rPr>
              <w:t xml:space="preserve">A comparison of statistical and exact fractal patterns.</w:t>
            </w:r>
            <w:r>
              <w:t xml:space="preserve"> </w:t>
            </w:r>
            <w:r>
              <w:t xml:space="preserve">The two basic forms of fractals are demonstrated. Zooming in on tree branches (left), an exact self-similar element cannot be found. Zooming in on an exact fractal (right), exact replica of the whole are found. Photo by author. Branching fractal made in Python. Figure inspired by</w:t>
            </w:r>
            <w:r>
              <w:t xml:space="preserve"> </w:t>
            </w:r>
            <w:r>
              <w:t xml:space="preserve">Taylor (2006)</w:t>
            </w:r>
          </w:p>
          <w:bookmarkEnd w:id="39"/>
        </w:tc>
      </w:tr>
    </w:tbl>
    <w:p>
      <w:pPr>
        <w:pStyle w:val="BodyText"/>
      </w:pPr>
      <w:r>
        <w:t xml:space="preserve">See</w:t>
      </w:r>
      <w:r>
        <w:t xml:space="preserve"> </w:t>
      </w:r>
      <w:hyperlink w:anchor="fig-fourproperties">
        <w:r>
          <w:rPr>
            <w:rStyle w:val="Hyperlink"/>
          </w:rPr>
          <w:t xml:space="preserve">Figure 4</w:t>
        </w:r>
      </w:hyperlink>
    </w:p>
    <w:tbl>
      <w:tblPr>
        <w:tblStyle w:val="Table"/>
        <w:tblW w:type="pct" w:w="5000"/>
        <w:tblLayout w:type="fixed"/>
        <w:tblLook w:firstRow="0" w:lastRow="0" w:firstColumn="0" w:lastColumn="0" w:noHBand="0" w:noVBand="0" w:val="0000"/>
      </w:tblPr>
      <w:tblGrid>
        <w:gridCol w:w="7920"/>
      </w:tblGrid>
      <w:tr>
        <w:tc>
          <w:tcPr/>
          <w:bookmarkStart w:id="45" w:name="fig-fourproperties"/>
          <w:p>
            <w:pPr>
              <w:jc w:val="center"/>
            </w:pPr>
            <w:bookmarkStart w:id="43" w:name="fourproperties"/>
            <w:r>
              <w:drawing>
                <wp:inline>
                  <wp:extent cx="5334000" cy="5334000"/>
                  <wp:effectExtent b="0" l="0" r="0" t="0"/>
                  <wp:docPr descr="" title="" id="41" name="Picture"/>
                  <a:graphic>
                    <a:graphicData uri="http://schemas.openxmlformats.org/drawingml/2006/picture">
                      <pic:pic>
                        <pic:nvPicPr>
                          <pic:cNvPr descr="index_files/figure-docx/notebooks-Figures-fourproperties-output-1.png" id="42" name="Picture"/>
                          <pic:cNvPicPr>
                            <a:picLocks noChangeArrowheads="1" noChangeAspect="1"/>
                          </pic:cNvPicPr>
                        </pic:nvPicPr>
                        <pic:blipFill>
                          <a:blip r:embed="rId40"/>
                          <a:stretch>
                            <a:fillRect/>
                          </a:stretch>
                        </pic:blipFill>
                        <pic:spPr bwMode="auto">
                          <a:xfrm>
                            <a:off x="0" y="0"/>
                            <a:ext cx="5334000" cy="5334000"/>
                          </a:xfrm>
                          <a:prstGeom prst="rect">
                            <a:avLst/>
                          </a:prstGeom>
                          <a:noFill/>
                          <a:ln w="9525">
                            <a:noFill/>
                            <a:headEnd/>
                            <a:tailEnd/>
                          </a:ln>
                        </pic:spPr>
                      </pic:pic>
                    </a:graphicData>
                  </a:graphic>
                </wp:inline>
              </w:drawing>
            </w:r>
            <w:bookmarkEnd w:id="43"/>
          </w:p>
          <w:p>
            <w:pPr>
              <w:pStyle w:val="Compact"/>
              <w:jc w:val="center"/>
            </w:pPr>
            <w:r>
              <w:rPr>
                <w:vertAlign w:val="subscript"/>
              </w:rPr>
              <w:t xml:space="preserve">Source:</w:t>
            </w:r>
            <w:r>
              <w:rPr>
                <w:vertAlign w:val="subscript"/>
              </w:rPr>
              <w:t xml:space="preserve"> </w:t>
            </w:r>
            <w:hyperlink r:id="rId44">
              <w:r>
                <w:rPr>
                  <w:rStyle w:val="Hyperlink"/>
                  <w:vertAlign w:val="subscript"/>
                </w:rPr>
                <w:t xml:space="preserve">Figures</w:t>
              </w:r>
            </w:hyperlink>
          </w:p>
          <w:p>
            <w:pPr>
              <w:jc w:val="center"/>
            </w:pPr>
            <w:pPr>
              <w:jc w:val="start"/>
              <w:spacing w:before="200"/>
              <w:pStyle w:val="ImageCaption"/>
            </w:pPr>
            <w:r>
              <w:t xml:space="preserve">Figure 4:</w:t>
            </w:r>
            <w:r>
              <w:t xml:space="preserve"> </w:t>
            </w:r>
            <w:r>
              <w:rPr>
                <w:b/>
                <w:bCs/>
              </w:rPr>
              <w:t xml:space="preserve">Main properties of a fractal time-series</w:t>
            </w:r>
            <w:r>
              <w:t xml:space="preserve"> </w:t>
            </w:r>
            <w:r>
              <w:t xml:space="preserve">A-C show a raw time-series (fractional Gaussian noise in this example) at different scales: B is the first half of A (shown as vertical dashed lines in A), while C is half of B (shown in vertical dashed lines in B). D is a power spectral density plot of A. E shows D but on a log-log plot, demonstrating the linear nature of fractal signals when plotted on a log-log scale. The slope of E is</w:t>
            </w:r>
            <w:r>
              <w:t xml:space="preserve"> </w:t>
            </w:r>
            <m:oMath>
              <m:r>
                <m:rPr>
                  <m:sty m:val="p"/>
                </m:rPr>
                <m:t>−</m:t>
              </m:r>
              <m:r>
                <m:t>β</m:t>
              </m:r>
            </m:oMath>
            <w:r>
              <w:t xml:space="preserve">. In this example,</w:t>
            </w:r>
            <w:r>
              <w:t xml:space="preserve"> </w:t>
            </w:r>
            <m:oMath>
              <m:r>
                <m:t>β</m:t>
              </m:r>
            </m:oMath>
            <w:r>
              <w:t xml:space="preserve"> </w:t>
            </w:r>
            <w:r>
              <w:t xml:space="preserve">is calculated to be 0.6, which translates to an H of 0.8. F shows a modified version of E, which imagines that E only demonstrates a power law scaling relationship between two distinct frequencies. The equation for calculating the scaling range in decades is shown. Exact fractal time-series (A) was created using the Davies-Harte method.</w:t>
            </w:r>
          </w:p>
          <w:bookmarkEnd w:id="45"/>
        </w:tc>
      </w:tr>
    </w:tbl>
    <w:p>
      <w:pPr>
        <w:pStyle w:val="BodyText"/>
      </w:pPr>
      <w:r>
        <w:t xml:space="preserve">See</w:t>
      </w:r>
      <w:r>
        <w:t xml:space="preserve"> </w:t>
      </w:r>
      <w:hyperlink w:anchor="fig-typicalsamplepaths">
        <w:r>
          <w:rPr>
            <w:rStyle w:val="Hyperlink"/>
          </w:rPr>
          <w:t xml:space="preserve">Figure 5</w:t>
        </w:r>
      </w:hyperlink>
    </w:p>
    <w:tbl>
      <w:tblPr>
        <w:tblStyle w:val="Table"/>
        <w:tblW w:type="pct" w:w="5000"/>
        <w:tblLayout w:type="fixed"/>
        <w:tblLook w:firstRow="0" w:lastRow="0" w:firstColumn="0" w:lastColumn="0" w:noHBand="0" w:noVBand="0" w:val="0000"/>
      </w:tblPr>
      <w:tblGrid>
        <w:gridCol w:w="7920"/>
      </w:tblGrid>
      <w:tr>
        <w:tc>
          <w:tcPr/>
          <w:bookmarkStart w:id="51" w:name="fig-typicalsamplepaths"/>
          <w:p>
            <w:pPr>
              <w:jc w:val="center"/>
            </w:pPr>
            <w:bookmarkStart w:id="49" w:name="typicalsamplepaths"/>
            <w:r>
              <w:drawing>
                <wp:inline>
                  <wp:extent cx="5334000" cy="3425857"/>
                  <wp:effectExtent b="0" l="0" r="0" t="0"/>
                  <wp:docPr descr="" title="" id="47" name="Picture"/>
                  <a:graphic>
                    <a:graphicData uri="http://schemas.openxmlformats.org/drawingml/2006/picture">
                      <pic:pic>
                        <pic:nvPicPr>
                          <pic:cNvPr descr="index_files/figure-docx/notebooks-Figures-typicalsamplepaths-output-1.png" id="48" name="Picture"/>
                          <pic:cNvPicPr>
                            <a:picLocks noChangeArrowheads="1" noChangeAspect="1"/>
                          </pic:cNvPicPr>
                        </pic:nvPicPr>
                        <pic:blipFill>
                          <a:blip r:embed="rId46"/>
                          <a:stretch>
                            <a:fillRect/>
                          </a:stretch>
                        </pic:blipFill>
                        <pic:spPr bwMode="auto">
                          <a:xfrm>
                            <a:off x="0" y="0"/>
                            <a:ext cx="5334000" cy="3425857"/>
                          </a:xfrm>
                          <a:prstGeom prst="rect">
                            <a:avLst/>
                          </a:prstGeom>
                          <a:noFill/>
                          <a:ln w="9525">
                            <a:noFill/>
                            <a:headEnd/>
                            <a:tailEnd/>
                          </a:ln>
                        </pic:spPr>
                      </pic:pic>
                    </a:graphicData>
                  </a:graphic>
                </wp:inline>
              </w:drawing>
            </w:r>
            <w:bookmarkEnd w:id="49"/>
          </w:p>
          <w:p>
            <w:pPr>
              <w:pStyle w:val="Compact"/>
              <w:jc w:val="center"/>
            </w:pPr>
            <w:r>
              <w:rPr>
                <w:vertAlign w:val="subscript"/>
              </w:rPr>
              <w:t xml:space="preserve">Source:</w:t>
            </w:r>
            <w:r>
              <w:rPr>
                <w:vertAlign w:val="subscript"/>
              </w:rPr>
              <w:t xml:space="preserve"> </w:t>
            </w:r>
            <w:hyperlink r:id="rId50">
              <w:r>
                <w:rPr>
                  <w:rStyle w:val="Hyperlink"/>
                  <w:vertAlign w:val="subscript"/>
                </w:rPr>
                <w:t xml:space="preserve">Figures</w:t>
              </w:r>
            </w:hyperlink>
          </w:p>
          <w:p>
            <w:pPr>
              <w:jc w:val="center"/>
            </w:pPr>
            <w:pPr>
              <w:jc w:val="start"/>
              <w:spacing w:before="200"/>
              <w:pStyle w:val="ImageCaption"/>
            </w:pPr>
            <w:r>
              <w:t xml:space="preserve">Figure 5:</w:t>
            </w:r>
            <w:r>
              <w:t xml:space="preserve"> </w:t>
            </w:r>
            <w:r>
              <w:rPr>
                <w:b/>
                <w:bCs/>
              </w:rPr>
              <w:t xml:space="preserve">Simulated fractional Gaussian noise and fractional Brownian motion.</w:t>
            </w:r>
            <w:r>
              <w:t xml:space="preserve"> </w:t>
            </w:r>
            <w:r>
              <w:t xml:space="preserve">Raw simulated time-series with 1,024 time-points and known Hurst values are plotted on the left. The top three time-series are fractional Gaussian noise, while the bottom three are fractional Brownian motion. H values are displayed on the left, while</w:t>
            </w:r>
            <w:r>
              <w:t xml:space="preserve"> </w:t>
            </w:r>
            <m:oMath>
              <m:r>
                <m:t>β</m:t>
              </m:r>
            </m:oMath>
            <w:r>
              <w:t xml:space="preserve"> </w:t>
            </w:r>
            <w:r>
              <w:t xml:space="preserve">values are displayed on the right. Note how fractional Gaussian noise remain centered around a mean (i.e. stationary), while fractional Brownian motion wanders away from the mean (i.e. non-stationary). Log-log power spectral density plots of the signals on the left are shown on the right. Linear-regression fits are shown in red, which are used to calculate</w:t>
            </w:r>
            <w:r>
              <w:t xml:space="preserve"> </w:t>
            </w:r>
            <m:oMath>
              <m:r>
                <m:t>β</m:t>
              </m:r>
            </m:oMath>
            <w:r>
              <w:t xml:space="preserve"> </w:t>
            </w:r>
            <w:r>
              <w:t xml:space="preserve">and H using the appropriate equation (on the right). Exact fractal time-series were created using the Davies-Harte method. Figure inspired by</w:t>
            </w:r>
            <w:r>
              <w:t xml:space="preserve"> </w:t>
            </w:r>
            <w:r>
              <w:t xml:space="preserve">Eke et al. (2000)</w:t>
            </w:r>
            <w:r>
              <w:t xml:space="preserve">.</w:t>
            </w:r>
          </w:p>
          <w:bookmarkEnd w:id="51"/>
        </w:tc>
      </w:tr>
    </w:tbl>
    <w:p>
      <w:pPr>
        <w:pStyle w:val="BodyText"/>
      </w:pPr>
      <w:r>
        <w:t xml:space="preserve">See</w:t>
      </w:r>
      <w:r>
        <w:t xml:space="preserve"> </w:t>
      </w:r>
      <w:hyperlink w:anchor="tbl-fmrihurst">
        <w:r>
          <w:rPr>
            <w:rStyle w:val="Hyperlink"/>
          </w:rPr>
          <w:t xml:space="preserve">Table 1</w:t>
        </w:r>
      </w:hyperlink>
    </w:p>
    <w:tbl>
      <w:tblPr>
        <w:tblStyle w:val="Table"/>
        <w:tblW w:type="pct" w:w="5000"/>
        <w:tblLayout w:type="fixed"/>
        <w:tblLook w:firstRow="0" w:lastRow="0" w:firstColumn="0" w:lastColumn="0" w:noHBand="0" w:noVBand="0" w:val="0000"/>
      </w:tblPr>
      <w:tblGrid>
        <w:gridCol w:w="7920"/>
      </w:tblGrid>
      <w:tr>
        <w:tc>
          <w:tcPr/>
          <w:bookmarkStart w:id="52" w:name="tbl-fmrihurst"/>
          <w:p>
            <w:pPr>
              <w:jc w:val="center"/>
            </w:pPr>
            <w:pPr>
              <w:jc w:val="start"/>
              <w:spacing w:before="200"/>
              <w:pStyle w:val="ImageCaption"/>
            </w:pPr>
            <w:r>
              <w:t xml:space="preserve">Table 1:</w:t>
            </w:r>
            <w:r>
              <w:t xml:space="preserve"> </w:t>
            </w:r>
            <w:r>
              <w:rPr>
                <w:b/>
                <w:bCs/>
              </w:rPr>
              <w:t xml:space="preserve">fMRI-Hurst studies.</w:t>
            </w:r>
            <w:r>
              <w:t xml:space="preserve"> </w:t>
            </w:r>
            <w:r>
              <w:t xml:space="preserve">An attempt to gather all published fMRI studies that have used Hurst or Hurst-like analysis, some stats, and the main findings. Main findings are almost certainly more nuanced than how we have reported them here; we have attempted to condense the findings as succinctly as possible. n = number of subjects in the study; TR = repition time; MLWD = maximum likelihood wavelet; PSD</w:t>
            </w:r>
            <w:r>
              <w:rPr>
                <w:vertAlign w:val="subscript"/>
              </w:rPr>
              <w:t xml:space="preserve">Welch</w:t>
            </w:r>
            <w:r>
              <w:t xml:space="preserve"> </w:t>
            </w:r>
            <w:r>
              <w:t xml:space="preserve">= power spectral density Welch method; DMN = default mode network; DFA = detrended fluctuation analysis; DA = dispersional analysis; SWV = scaled window variance; RS = rescaled range; LW = local Whittle;</w:t>
            </w:r>
          </w:p>
          <w:tbl>
            <w:tblPr>
              <w:tblStyle w:val="Table"/>
              <w:tblW w:type="pct" w:w="5000"/>
              <w:tblLayout w:type="fixed"/>
              <w:tblLook w:firstRow="1" w:lastRow="0" w:firstColumn="0" w:lastColumn="0" w:noHBand="0" w:noVBand="0" w:val="0020"/>
            </w:tblPr>
            <w:tblGrid>
              <w:gridCol w:w="931"/>
              <w:gridCol w:w="931"/>
              <w:gridCol w:w="931"/>
              <w:gridCol w:w="931"/>
              <w:gridCol w:w="931"/>
              <w:gridCol w:w="931"/>
              <w:gridCol w:w="2329"/>
            </w:tblGrid>
            <w:tr>
              <w:trPr>
                <w:tblHeader w:val="on"/>
              </w:trPr>
              <w:tc>
                <w:tcPr/>
                <w:p>
                  <w:pPr>
                    <w:pStyle w:val="Compact"/>
                    <w:jc w:val="left"/>
                    <w:jc w:val="center"/>
                  </w:pPr>
                  <w:r>
                    <w:t xml:space="preserve">Study</w:t>
                  </w:r>
                </w:p>
              </w:tc>
              <w:tc>
                <w:tcPr/>
                <w:p>
                  <w:pPr>
                    <w:pStyle w:val="Compact"/>
                    <w:jc w:val="left"/>
                    <w:jc w:val="center"/>
                  </w:pPr>
                  <w:r>
                    <w:t xml:space="preserve">n</w:t>
                  </w:r>
                </w:p>
              </w:tc>
              <w:tc>
                <w:tcPr/>
                <w:p>
                  <w:pPr>
                    <w:pStyle w:val="Compact"/>
                    <w:jc w:val="left"/>
                    <w:jc w:val="center"/>
                  </w:pPr>
                  <w:r>
                    <w:t xml:space="preserve">Age range</w:t>
                  </w:r>
                </w:p>
              </w:tc>
              <w:tc>
                <w:tcPr/>
                <w:p>
                  <w:pPr>
                    <w:pStyle w:val="Compact"/>
                    <w:jc w:val="left"/>
                    <w:jc w:val="center"/>
                  </w:pPr>
                  <w:r>
                    <w:t xml:space="preserve">Methods</w:t>
                  </w:r>
                </w:p>
              </w:tc>
              <w:tc>
                <w:tcPr/>
                <w:p>
                  <w:pPr>
                    <w:pStyle w:val="Compact"/>
                    <w:jc w:val="left"/>
                    <w:jc w:val="center"/>
                  </w:pPr>
                  <w:r>
                    <w:t xml:space="preserve">Volumes</w:t>
                  </w:r>
                </w:p>
              </w:tc>
              <w:tc>
                <w:tcPr/>
                <w:p>
                  <w:pPr>
                    <w:pStyle w:val="Compact"/>
                    <w:jc w:val="left"/>
                    <w:jc w:val="center"/>
                  </w:pPr>
                  <w:r>
                    <w:t xml:space="preserve">TR (s)</w:t>
                  </w:r>
                </w:p>
              </w:tc>
              <w:tc>
                <w:tcPr/>
                <w:p>
                  <w:pPr>
                    <w:pStyle w:val="Compact"/>
                    <w:jc w:val="left"/>
                    <w:jc w:val="center"/>
                  </w:pPr>
                  <w:r>
                    <w:t xml:space="preserve">Results</w:t>
                  </w:r>
                </w:p>
              </w:tc>
            </w:tr>
            <w:tr>
              <w:tc>
                <w:tcPr/>
                <w:p>
                  <w:pPr>
                    <w:pStyle w:val="Compact"/>
                    <w:jc w:val="left"/>
                    <w:jc w:val="center"/>
                  </w:pPr>
                  <w:r>
                    <w:t xml:space="preserve">Akhrif et al. (2018)</w:t>
                  </w:r>
                </w:p>
              </w:tc>
              <w:tc>
                <w:tcPr/>
                <w:p>
                  <w:pPr>
                    <w:pStyle w:val="Compact"/>
                    <w:jc w:val="left"/>
                    <w:jc w:val="center"/>
                  </w:pPr>
                  <w:r>
                    <w:t xml:space="preserve">103</w:t>
                  </w:r>
                </w:p>
              </w:tc>
              <w:tc>
                <w:tcPr/>
                <w:p>
                  <w:pPr>
                    <w:pStyle w:val="Compact"/>
                    <w:jc w:val="left"/>
                    <w:jc w:val="center"/>
                  </w:pPr>
                  <w:r>
                    <w:t xml:space="preserve">19-28</w:t>
                  </w:r>
                </w:p>
              </w:tc>
              <w:tc>
                <w:tcPr/>
                <w:p>
                  <w:pPr>
                    <w:pStyle w:val="Compact"/>
                    <w:jc w:val="left"/>
                    <w:jc w:val="center"/>
                  </w:pPr>
                  <w:r>
                    <w:t xml:space="preserve">AFA</w:t>
                  </w:r>
                </w:p>
              </w:tc>
              <w:tc>
                <w:tcPr/>
                <w:p>
                  <w:pPr>
                    <w:pStyle w:val="Compact"/>
                    <w:jc w:val="left"/>
                    <w:jc w:val="center"/>
                  </w:pPr>
                  <w:r>
                    <w:t xml:space="preserve">task: 425, resting: 350</w:t>
                  </w:r>
                </w:p>
              </w:tc>
              <w:tc>
                <w:tcPr/>
                <w:p>
                  <w:pPr>
                    <w:pStyle w:val="Compact"/>
                    <w:jc w:val="left"/>
                    <w:jc w:val="center"/>
                  </w:pPr>
                  <w:r>
                    <w:t xml:space="preserve">2</w:t>
                  </w:r>
                </w:p>
              </w:tc>
              <w:tc>
                <w:tcPr/>
                <w:p>
                  <w:pPr>
                    <w:pStyle w:val="Compact"/>
                    <w:jc w:val="left"/>
                    <w:jc w:val="center"/>
                  </w:pPr>
                  <w:r>
                    <w:t xml:space="preserve">impulsivity:</w:t>
                  </w:r>
                  <w:r>
                    <w:t xml:space="preserve"> </w:t>
                  </w:r>
                  <m:oMath>
                    <m:r>
                      <m:rPr>
                        <m:sty m:val="p"/>
                      </m:rPr>
                      <m:t>↓</m:t>
                    </m:r>
                  </m:oMath>
                </w:p>
              </w:tc>
            </w:tr>
            <w:tr>
              <w:tc>
                <w:tcPr/>
                <w:p>
                  <w:pPr>
                    <w:pStyle w:val="Compact"/>
                    <w:jc w:val="left"/>
                    <w:jc w:val="center"/>
                  </w:pPr>
                  <w:r>
                    <w:t xml:space="preserve">Barnes, Bullmore, and Suckling (2009)</w:t>
                  </w:r>
                </w:p>
              </w:tc>
              <w:tc>
                <w:tcPr/>
                <w:p>
                  <w:pPr>
                    <w:pStyle w:val="Compact"/>
                    <w:jc w:val="left"/>
                    <w:jc w:val="center"/>
                  </w:pPr>
                  <w:r>
                    <w:t xml:space="preserve">14</w:t>
                  </w:r>
                </w:p>
              </w:tc>
              <w:tc>
                <w:tcPr/>
                <w:p>
                  <w:pPr>
                    <w:pStyle w:val="Compact"/>
                    <w:jc w:val="left"/>
                    <w:jc w:val="center"/>
                  </w:pPr>
                  <w:r>
                    <w:t xml:space="preserve">21-29</w:t>
                  </w:r>
                </w:p>
              </w:tc>
              <w:tc>
                <w:tcPr/>
                <w:p>
                  <w:pPr>
                    <w:pStyle w:val="Compact"/>
                    <w:jc w:val="left"/>
                    <w:jc w:val="center"/>
                  </w:pPr>
                  <w:r>
                    <w:t xml:space="preserve">MLW</w:t>
                  </w:r>
                </w:p>
              </w:tc>
              <w:tc>
                <w:tcPr/>
                <w:p>
                  <w:pPr>
                    <w:pStyle w:val="Compact"/>
                    <w:jc w:val="left"/>
                    <w:jc w:val="center"/>
                  </w:pPr>
                  <w:r>
                    <w:t xml:space="preserve">2048</w:t>
                  </w:r>
                </w:p>
              </w:tc>
              <w:tc>
                <w:tcPr/>
                <w:p>
                  <w:pPr>
                    <w:pStyle w:val="Compact"/>
                    <w:jc w:val="left"/>
                    <w:jc w:val="center"/>
                  </w:pPr>
                  <w:r>
                    <w:t xml:space="preserve">1.1</w:t>
                  </w:r>
                </w:p>
              </w:tc>
              <w:tc>
                <w:tcPr/>
                <w:p>
                  <w:pPr>
                    <w:pStyle w:val="Compact"/>
                    <w:jc w:val="left"/>
                    <w:jc w:val="center"/>
                  </w:pPr>
                  <w:r>
                    <w:t xml:space="preserve">cognitive effort:</w:t>
                  </w:r>
                  <w:r>
                    <w:t xml:space="preserve"> </w:t>
                  </w:r>
                  <m:oMath>
                    <m:r>
                      <m:rPr>
                        <m:sty m:val="p"/>
                      </m:rPr>
                      <m:t>↓</m:t>
                    </m:r>
                  </m:oMath>
                  <w:r>
                    <w:t xml:space="preserve"> </w:t>
                  </w:r>
                  <w:r>
                    <w:t xml:space="preserve">H</w:t>
                  </w:r>
                </w:p>
              </w:tc>
            </w:tr>
            <w:tr>
              <w:tc>
                <w:tcPr/>
                <w:p>
                  <w:pPr>
                    <w:pStyle w:val="Compact"/>
                    <w:jc w:val="left"/>
                    <w:jc w:val="center"/>
                  </w:pPr>
                  <w:r>
                    <w:t xml:space="preserve">Campbell, Vanderwal, and Weber (2022)</w:t>
                  </w:r>
                </w:p>
              </w:tc>
              <w:tc>
                <w:tcPr/>
                <w:p>
                  <w:pPr>
                    <w:pStyle w:val="Compact"/>
                    <w:jc w:val="left"/>
                    <w:jc w:val="center"/>
                  </w:pPr>
                  <w:r>
                    <w:t xml:space="preserve">72</w:t>
                  </w:r>
                </w:p>
              </w:tc>
              <w:tc>
                <w:tcPr/>
                <w:p>
                  <w:pPr>
                    <w:pStyle w:val="Compact"/>
                    <w:jc w:val="left"/>
                    <w:jc w:val="center"/>
                  </w:pPr>
                  <w:r>
                    <w:t xml:space="preserve">mean 29</w:t>
                  </w:r>
                </w:p>
              </w:tc>
              <w:tc>
                <w:tcPr/>
                <w:p>
                  <w:pPr>
                    <w:pStyle w:val="Compact"/>
                    <w:jc w:val="left"/>
                    <w:jc w:val="center"/>
                  </w:pPr>
                  <w:r>
                    <w:t xml:space="preserve">PSD</w:t>
                  </w:r>
                  <w:r>
                    <w:rPr>
                      <w:vertAlign w:val="subscript"/>
                    </w:rPr>
                    <w:t xml:space="preserve">Welch</w:t>
                  </w:r>
                </w:p>
              </w:tc>
              <w:tc>
                <w:tcPr/>
                <w:p>
                  <w:pPr>
                    <w:pStyle w:val="Compact"/>
                    <w:jc w:val="left"/>
                    <w:jc w:val="center"/>
                  </w:pPr>
                  <w:r>
                    <w:t xml:space="preserve">900</w:t>
                  </w:r>
                </w:p>
              </w:tc>
              <w:tc>
                <w:tcPr/>
                <w:p>
                  <w:pPr>
                    <w:pStyle w:val="Compact"/>
                    <w:jc w:val="left"/>
                    <w:jc w:val="center"/>
                  </w:pPr>
                  <w:r>
                    <w:t xml:space="preserve">1</w:t>
                  </w:r>
                </w:p>
              </w:tc>
              <w:tc>
                <w:tcPr/>
                <w:p>
                  <w:pPr>
                    <w:pStyle w:val="Compact"/>
                    <w:jc w:val="left"/>
                    <w:jc w:val="center"/>
                  </w:pPr>
                  <w:r>
                    <w:t xml:space="preserve">movie-watching:</w:t>
                  </w:r>
                  <w:r>
                    <w:t xml:space="preserve"> </w:t>
                  </w:r>
                  <m:oMath>
                    <m:r>
                      <m:rPr>
                        <m:sty m:val="p"/>
                      </m:rPr>
                      <m:t>↑</m:t>
                    </m:r>
                  </m:oMath>
                  <w:r>
                    <w:t xml:space="preserve"> </w:t>
                  </w:r>
                  <w:r>
                    <w:t xml:space="preserve">H in visual, somatosensory, and dorsal attention;</w:t>
                  </w:r>
                  <w:r>
                    <w:t xml:space="preserve"> </w:t>
                  </w:r>
                  <m:oMath>
                    <m:r>
                      <m:rPr>
                        <m:sty m:val="p"/>
                      </m:rPr>
                      <m:t>↓</m:t>
                    </m:r>
                  </m:oMath>
                  <w:r>
                    <w:t xml:space="preserve"> </w:t>
                  </w:r>
                  <w:r>
                    <w:t xml:space="preserve">frontoparietal and DMN</w:t>
                  </w:r>
                </w:p>
              </w:tc>
            </w:tr>
            <w:tr>
              <w:tc>
                <w:tcPr/>
                <w:p>
                  <w:pPr>
                    <w:pStyle w:val="Compact"/>
                    <w:jc w:val="left"/>
                    <w:jc w:val="center"/>
                  </w:pPr>
                  <w:r>
                    <w:t xml:space="preserve">Churchill et al. (2015)</w:t>
                  </w:r>
                </w:p>
              </w:tc>
              <w:tc>
                <w:tcPr/>
                <w:p>
                  <w:pPr>
                    <w:pStyle w:val="Compact"/>
                    <w:jc w:val="left"/>
                    <w:jc w:val="center"/>
                  </w:pPr>
                  <w:r>
                    <w:t xml:space="preserve">97 (28 chemo; 37 radiation; 32 HC)</w:t>
                  </w:r>
                </w:p>
              </w:tc>
              <w:tc>
                <w:tcPr/>
                <w:p>
                  <w:pPr>
                    <w:pStyle w:val="Compact"/>
                    <w:jc w:val="left"/>
                    <w:jc w:val="center"/>
                  </w:pPr>
                  <w:r>
                    <w:t xml:space="preserve">n/a</w:t>
                  </w:r>
                </w:p>
              </w:tc>
              <w:tc>
                <w:tcPr/>
                <w:p>
                  <w:pPr>
                    <w:pStyle w:val="Compact"/>
                    <w:jc w:val="left"/>
                    <w:jc w:val="center"/>
                  </w:pPr>
                  <w:r>
                    <w:t xml:space="preserve">DFA, Wavelet</w:t>
                  </w:r>
                </w:p>
              </w:tc>
              <w:tc>
                <w:tcPr/>
                <w:p>
                  <w:pPr>
                    <w:pStyle w:val="Compact"/>
                    <w:jc w:val="left"/>
                    <w:jc w:val="center"/>
                  </w:pPr>
                  <w:r>
                    <w:t xml:space="preserve">285</w:t>
                  </w:r>
                </w:p>
              </w:tc>
              <w:tc>
                <w:tcPr/>
                <w:p>
                  <w:pPr>
                    <w:pStyle w:val="Compact"/>
                    <w:jc w:val="left"/>
                    <w:jc w:val="center"/>
                  </w:pPr>
                  <w:r>
                    <w:t xml:space="preserve">1.5</w:t>
                  </w:r>
                </w:p>
              </w:tc>
              <w:tc>
                <w:tcPr/>
                <w:p>
                  <w:pPr>
                    <w:pStyle w:val="Compact"/>
                    <w:jc w:val="left"/>
                    <w:jc w:val="center"/>
                  </w:pPr>
                  <w:r>
                    <w:t xml:space="preserve">worry:</w:t>
                  </w:r>
                  <w:r>
                    <w:t xml:space="preserve"> </w:t>
                  </w:r>
                  <m:oMath>
                    <m:r>
                      <m:rPr>
                        <m:sty m:val="p"/>
                      </m:rPr>
                      <m:t>↓</m:t>
                    </m:r>
                  </m:oMath>
                  <w:r>
                    <w:t xml:space="preserve"> </w:t>
                  </w:r>
                  <w:r>
                    <w:t xml:space="preserve">H</w:t>
                  </w:r>
                </w:p>
              </w:tc>
            </w:tr>
            <w:tr>
              <w:tc>
                <w:tcPr/>
                <w:p>
                  <w:pPr>
                    <w:pStyle w:val="Compact"/>
                    <w:jc w:val="left"/>
                    <w:jc w:val="center"/>
                  </w:pPr>
                  <w:r>
                    <w:t xml:space="preserve">Churchill et al. (2016)</w:t>
                  </w:r>
                </w:p>
              </w:tc>
              <w:tc>
                <w:tcPr/>
                <w:p>
                  <w:pPr>
                    <w:pStyle w:val="Compact"/>
                    <w:jc w:val="left"/>
                    <w:jc w:val="center"/>
                  </w:pPr>
                  <w:r>
                    <w:t xml:space="preserve">three datasets (98): 19; 49; 30</w:t>
                  </w:r>
                </w:p>
              </w:tc>
              <w:tc>
                <w:tcPr/>
                <w:p>
                  <w:pPr>
                    <w:pStyle w:val="Compact"/>
                    <w:jc w:val="left"/>
                    <w:jc w:val="center"/>
                  </w:pPr>
                  <w:r>
                    <w:t xml:space="preserve">20-82</w:t>
                  </w:r>
                </w:p>
              </w:tc>
              <w:tc>
                <w:tcPr/>
                <w:p>
                  <w:pPr>
                    <w:pStyle w:val="Compact"/>
                    <w:jc w:val="left"/>
                    <w:jc w:val="center"/>
                  </w:pPr>
                  <w:r>
                    <w:t xml:space="preserve">DFA, PSD</w:t>
                  </w:r>
                  <w:r>
                    <w:rPr>
                      <w:vertAlign w:val="subscript"/>
                    </w:rPr>
                    <w:t xml:space="preserve">Welch</w:t>
                  </w:r>
                </w:p>
              </w:tc>
              <w:tc>
                <w:tcPr/>
                <w:p>
                  <w:pPr>
                    <w:pStyle w:val="Compact"/>
                    <w:jc w:val="left"/>
                    <w:jc w:val="center"/>
                  </w:pPr>
                  <m:oMath>
                    <m:r>
                      <m:rPr>
                        <m:sty m:val="p"/>
                      </m:rPr>
                      <m:t>∼</m:t>
                    </m:r>
                  </m:oMath>
                  <w:r>
                    <w:t xml:space="preserve"> </w:t>
                  </w:r>
                  <w:r>
                    <w:t xml:space="preserve">300</w:t>
                  </w:r>
                </w:p>
              </w:tc>
              <w:tc>
                <w:tcPr/>
                <w:p>
                  <w:pPr>
                    <w:pStyle w:val="Compact"/>
                    <w:jc w:val="left"/>
                    <w:jc w:val="center"/>
                  </w:pPr>
                  <w:r>
                    <w:t xml:space="preserve">2</w:t>
                  </w:r>
                </w:p>
              </w:tc>
              <w:tc>
                <w:tcPr/>
                <w:p>
                  <w:pPr>
                    <w:pStyle w:val="Compact"/>
                    <w:jc w:val="left"/>
                    <w:jc w:val="center"/>
                  </w:pPr>
                  <w:r>
                    <w:t xml:space="preserve">age, task novelty and difficulty:</w:t>
                  </w:r>
                  <w:r>
                    <w:t xml:space="preserve"> </w:t>
                  </w:r>
                  <m:oMath>
                    <m:r>
                      <m:rPr>
                        <m:sty m:val="p"/>
                      </m:rPr>
                      <m:t>↓</m:t>
                    </m:r>
                  </m:oMath>
                  <w:r>
                    <w:t xml:space="preserve"> </w:t>
                  </w:r>
                  <w:r>
                    <w:t xml:space="preserve">H</w:t>
                  </w:r>
                </w:p>
              </w:tc>
            </w:tr>
            <w:tr>
              <w:tc>
                <w:tcPr/>
                <w:p>
                  <w:pPr>
                    <w:pStyle w:val="Compact"/>
                    <w:jc w:val="left"/>
                    <w:jc w:val="center"/>
                  </w:pPr>
                  <w:r>
                    <w:t xml:space="preserve">Ciuciu, Abry, and He (2014)</w:t>
                  </w:r>
                </w:p>
              </w:tc>
              <w:tc>
                <w:tcPr/>
                <w:p>
                  <w:pPr>
                    <w:pStyle w:val="Compact"/>
                    <w:jc w:val="left"/>
                    <w:jc w:val="center"/>
                  </w:pPr>
                  <w:r>
                    <w:t xml:space="preserve">17</w:t>
                  </w:r>
                </w:p>
              </w:tc>
              <w:tc>
                <w:tcPr/>
                <w:p>
                  <w:pPr>
                    <w:pStyle w:val="Compact"/>
                    <w:jc w:val="left"/>
                    <w:jc w:val="center"/>
                  </w:pPr>
                  <w:r>
                    <w:t xml:space="preserve">18-27</w:t>
                  </w:r>
                </w:p>
              </w:tc>
              <w:tc>
                <w:tcPr/>
                <w:p>
                  <w:pPr>
                    <w:pStyle w:val="Compact"/>
                    <w:jc w:val="left"/>
                    <w:jc w:val="center"/>
                  </w:pPr>
                  <w:r>
                    <w:t xml:space="preserve">Wavelet</w:t>
                  </w:r>
                </w:p>
              </w:tc>
              <w:tc>
                <w:tcPr/>
                <w:p>
                  <w:pPr>
                    <w:pStyle w:val="Compact"/>
                    <w:jc w:val="left"/>
                    <w:jc w:val="center"/>
                  </w:pPr>
                  <w:r>
                    <w:t xml:space="preserve">194</w:t>
                  </w:r>
                </w:p>
              </w:tc>
              <w:tc>
                <w:tcPr/>
                <w:p>
                  <w:pPr>
                    <w:pStyle w:val="Compact"/>
                    <w:jc w:val="left"/>
                    <w:jc w:val="center"/>
                  </w:pPr>
                  <w:r>
                    <w:t xml:space="preserve">2.16</w:t>
                  </w:r>
                </w:p>
              </w:tc>
              <w:tc>
                <w:tcPr/>
                <w:p>
                  <w:pPr>
                    <w:pStyle w:val="Compact"/>
                    <w:jc w:val="left"/>
                    <w:jc w:val="center"/>
                  </w:pPr>
                  <w:r>
                    <w:t xml:space="preserve">networks</w:t>
                  </w:r>
                </w:p>
              </w:tc>
            </w:tr>
            <w:tr>
              <w:tc>
                <w:tcPr/>
                <w:p>
                  <w:pPr>
                    <w:pStyle w:val="Compact"/>
                    <w:jc w:val="left"/>
                    <w:jc w:val="center"/>
                  </w:pPr>
                  <w:r>
                    <w:t xml:space="preserve">Dona, Hall, and Noseworthy (2017)</w:t>
                  </w:r>
                </w:p>
              </w:tc>
              <w:tc>
                <w:tcPr/>
                <w:p>
                  <w:pPr>
                    <w:pStyle w:val="Compact"/>
                    <w:jc w:val="left"/>
                    <w:jc w:val="center"/>
                  </w:pPr>
                  <w:r>
                    <w:t xml:space="preserve">71 (56 ASD; 15 HC)</w:t>
                  </w:r>
                </w:p>
              </w:tc>
              <w:tc>
                <w:tcPr/>
                <w:p>
                  <w:pPr>
                    <w:pStyle w:val="Compact"/>
                    <w:jc w:val="left"/>
                    <w:jc w:val="center"/>
                  </w:pPr>
                  <w:r>
                    <w:t xml:space="preserve">mean 13</w:t>
                  </w:r>
                </w:p>
              </w:tc>
              <w:tc>
                <w:tcPr/>
                <w:p>
                  <w:pPr>
                    <w:pStyle w:val="Compact"/>
                    <w:jc w:val="left"/>
                    <w:jc w:val="center"/>
                  </w:pPr>
                  <w:r>
                    <w:t xml:space="preserve">PSD, DA, SWV</w:t>
                  </w:r>
                </w:p>
              </w:tc>
              <w:tc>
                <w:tcPr/>
                <w:p>
                  <w:pPr>
                    <w:pStyle w:val="Compact"/>
                    <w:jc w:val="left"/>
                    <w:jc w:val="center"/>
                  </w:pPr>
                  <w:r>
                    <w:t xml:space="preserve">300</w:t>
                  </w:r>
                </w:p>
              </w:tc>
              <w:tc>
                <w:tcPr/>
                <w:p>
                  <w:pPr>
                    <w:pStyle w:val="Compact"/>
                    <w:jc w:val="left"/>
                    <w:jc w:val="center"/>
                  </w:pPr>
                  <w:r>
                    <w:t xml:space="preserve">2</w:t>
                  </w:r>
                </w:p>
              </w:tc>
              <w:tc>
                <w:tcPr/>
                <w:p>
                  <w:pPr>
                    <w:pStyle w:val="Compact"/>
                    <w:jc w:val="left"/>
                    <w:jc w:val="center"/>
                  </w:pPr>
                  <w:r>
                    <w:t xml:space="preserve">ASD:</w:t>
                  </w:r>
                  <w:r>
                    <w:t xml:space="preserve"> </w:t>
                  </w:r>
                  <m:oMath>
                    <m:r>
                      <m:rPr>
                        <m:sty m:val="p"/>
                      </m:rPr>
                      <m:t>↑</m:t>
                    </m:r>
                  </m:oMath>
                  <w:r>
                    <w:t xml:space="preserve"> </w:t>
                  </w:r>
                  <w:r>
                    <w:t xml:space="preserve">H</w:t>
                  </w:r>
                </w:p>
              </w:tc>
            </w:tr>
            <w:tr>
              <w:tc>
                <w:tcPr/>
                <w:p>
                  <w:pPr>
                    <w:pStyle w:val="Compact"/>
                    <w:jc w:val="left"/>
                    <w:jc w:val="center"/>
                  </w:pPr>
                  <w:r>
                    <w:t xml:space="preserve">Dona et al. (2017)</w:t>
                  </w:r>
                </w:p>
              </w:tc>
              <w:tc>
                <w:tcPr/>
                <w:p>
                  <w:pPr>
                    <w:pStyle w:val="Compact"/>
                    <w:jc w:val="left"/>
                    <w:jc w:val="center"/>
                  </w:pPr>
                  <w:r>
                    <w:t xml:space="preserve">110 (55 mTBI; 55 HC)</w:t>
                  </w:r>
                </w:p>
              </w:tc>
              <w:tc>
                <w:tcPr/>
                <w:p>
                  <w:pPr>
                    <w:pStyle w:val="Compact"/>
                    <w:jc w:val="left"/>
                    <w:jc w:val="center"/>
                  </w:pPr>
                  <w:r>
                    <w:t xml:space="preserve">mean 13</w:t>
                  </w:r>
                </w:p>
              </w:tc>
              <w:tc>
                <w:tcPr/>
                <w:p>
                  <w:pPr>
                    <w:pStyle w:val="Compact"/>
                    <w:jc w:val="left"/>
                    <w:jc w:val="center"/>
                  </w:pPr>
                  <w:r>
                    <w:t xml:space="preserve">PSD, DA, SWV</w:t>
                  </w:r>
                </w:p>
              </w:tc>
              <w:tc>
                <w:tcPr/>
                <w:p>
                  <w:pPr>
                    <w:pStyle w:val="Compact"/>
                    <w:jc w:val="left"/>
                    <w:jc w:val="center"/>
                  </w:pPr>
                  <w:r>
                    <w:t xml:space="preserve">180</w:t>
                  </w:r>
                </w:p>
              </w:tc>
              <w:tc>
                <w:tcPr/>
                <w:p>
                  <w:pPr>
                    <w:pStyle w:val="Compact"/>
                    <w:jc w:val="left"/>
                    <w:jc w:val="center"/>
                  </w:pPr>
                  <w:r>
                    <w:t xml:space="preserve">2</w:t>
                  </w:r>
                </w:p>
              </w:tc>
              <w:tc>
                <w:tcPr/>
                <w:p>
                  <w:pPr>
                    <w:pStyle w:val="Compact"/>
                    <w:jc w:val="left"/>
                    <w:jc w:val="center"/>
                  </w:pPr>
                  <w:r>
                    <w:t xml:space="preserve">mTBI:</w:t>
                  </w:r>
                  <w:r>
                    <w:t xml:space="preserve"> </w:t>
                  </w:r>
                  <m:oMath>
                    <m:r>
                      <m:rPr>
                        <m:sty m:val="p"/>
                      </m:rPr>
                      <m:t>↑</m:t>
                    </m:r>
                  </m:oMath>
                  <w:r>
                    <w:t xml:space="preserve"> </w:t>
                  </w:r>
                  <w:r>
                    <w:t xml:space="preserve">H</w:t>
                  </w:r>
                </w:p>
              </w:tc>
            </w:tr>
            <w:tr>
              <w:tc>
                <w:tcPr/>
                <w:p>
                  <w:pPr>
                    <w:pStyle w:val="Compact"/>
                    <w:jc w:val="left"/>
                    <w:jc w:val="center"/>
                  </w:pPr>
                  <w:r>
                    <w:t xml:space="preserve">Dong et al. (2018)</w:t>
                  </w:r>
                </w:p>
              </w:tc>
              <w:tc>
                <w:tcPr/>
                <w:p>
                  <w:pPr>
                    <w:pStyle w:val="Compact"/>
                    <w:jc w:val="left"/>
                    <w:jc w:val="center"/>
                  </w:pPr>
                  <w:r>
                    <w:t xml:space="preserve">116</w:t>
                  </w:r>
                </w:p>
              </w:tc>
              <w:tc>
                <w:tcPr/>
                <w:p>
                  <w:pPr>
                    <w:pStyle w:val="Compact"/>
                    <w:jc w:val="left"/>
                    <w:jc w:val="center"/>
                  </w:pPr>
                  <w:r>
                    <w:t xml:space="preserve">19-85</w:t>
                  </w:r>
                </w:p>
              </w:tc>
              <w:tc>
                <w:tcPr/>
                <w:p>
                  <w:pPr>
                    <w:pStyle w:val="Compact"/>
                    <w:jc w:val="left"/>
                    <w:jc w:val="center"/>
                  </w:pPr>
                  <w:r>
                    <w:t xml:space="preserve">RS</w:t>
                  </w:r>
                </w:p>
              </w:tc>
              <w:tc>
                <w:tcPr/>
                <w:p>
                  <w:pPr>
                    <w:pStyle w:val="Compact"/>
                    <w:jc w:val="left"/>
                    <w:jc w:val="center"/>
                  </w:pPr>
                  <w:r>
                    <w:t xml:space="preserve">260</w:t>
                  </w:r>
                </w:p>
              </w:tc>
              <w:tc>
                <w:tcPr/>
                <w:p>
                  <w:pPr>
                    <w:pStyle w:val="Compact"/>
                    <w:jc w:val="left"/>
                    <w:jc w:val="center"/>
                  </w:pPr>
                  <w:r>
                    <w:t xml:space="preserve">2.5</w:t>
                  </w:r>
                </w:p>
              </w:tc>
              <w:tc>
                <w:tcPr/>
                <w:p>
                  <w:pPr>
                    <w:pStyle w:val="Compact"/>
                    <w:jc w:val="left"/>
                    <w:jc w:val="center"/>
                  </w:pPr>
                  <w:r>
                    <w:t xml:space="preserve">age:</w:t>
                  </w:r>
                  <w:r>
                    <w:t xml:space="preserve"> </w:t>
                  </w:r>
                  <m:oMath>
                    <m:r>
                      <m:rPr>
                        <m:sty m:val="p"/>
                      </m:rPr>
                      <m:t>↑</m:t>
                    </m:r>
                  </m:oMath>
                  <w:r>
                    <w:t xml:space="preserve"> </w:t>
                  </w:r>
                  <w:r>
                    <w:t xml:space="preserve">H frontal and parietal lobe;</w:t>
                  </w:r>
                  <w:r>
                    <w:t xml:space="preserve"> </w:t>
                  </w:r>
                  <m:oMath>
                    <m:r>
                      <m:rPr>
                        <m:sty m:val="p"/>
                      </m:rPr>
                      <m:t>↓</m:t>
                    </m:r>
                  </m:oMath>
                  <w:r>
                    <w:t xml:space="preserve"> </w:t>
                  </w:r>
                  <w:r>
                    <w:t xml:space="preserve">H insula, limbic, occipital, temporal lobes</w:t>
                  </w:r>
                </w:p>
              </w:tc>
            </w:tr>
            <w:tr>
              <w:tc>
                <w:tcPr/>
                <w:p>
                  <w:pPr>
                    <w:pStyle w:val="Compact"/>
                    <w:jc w:val="left"/>
                    <w:jc w:val="center"/>
                  </w:pPr>
                  <w:r>
                    <w:t xml:space="preserve">Drayne et al. (2024)</w:t>
                  </w:r>
                </w:p>
              </w:tc>
              <w:tc>
                <w:tcPr/>
                <w:p>
                  <w:pPr>
                    <w:pStyle w:val="Compact"/>
                    <w:jc w:val="left"/>
                    <w:jc w:val="center"/>
                  </w:pPr>
                  <w:r>
                    <w:t xml:space="preserve">98</w:t>
                  </w:r>
                </w:p>
              </w:tc>
              <w:tc>
                <w:tcPr/>
                <w:p>
                  <w:pPr>
                    <w:pStyle w:val="Compact"/>
                    <w:jc w:val="left"/>
                    <w:jc w:val="center"/>
                  </w:pPr>
                  <w:r>
                    <w:t xml:space="preserve">preterm</w:t>
                  </w:r>
                </w:p>
              </w:tc>
              <w:tc>
                <w:tcPr/>
                <w:p>
                  <w:pPr>
                    <w:pStyle w:val="Compact"/>
                    <w:jc w:val="left"/>
                    <w:jc w:val="center"/>
                  </w:pPr>
                  <w:r>
                    <w:t xml:space="preserve">PSD</w:t>
                  </w:r>
                  <w:r>
                    <w:rPr>
                      <w:vertAlign w:val="subscript"/>
                    </w:rPr>
                    <w:t xml:space="preserve">Welch</w:t>
                  </w:r>
                </w:p>
              </w:tc>
              <w:tc>
                <w:tcPr/>
                <w:p>
                  <w:pPr>
                    <w:pStyle w:val="Compact"/>
                    <w:jc w:val="left"/>
                    <w:jc w:val="center"/>
                  </w:pPr>
                  <w:r>
                    <w:t xml:space="preserve">100</w:t>
                  </w:r>
                </w:p>
              </w:tc>
              <w:tc>
                <w:tcPr/>
                <w:p>
                  <w:pPr>
                    <w:pStyle w:val="Compact"/>
                    <w:jc w:val="left"/>
                    <w:jc w:val="center"/>
                  </w:pPr>
                  <w:r>
                    <w:t xml:space="preserve">3</w:t>
                  </w:r>
                </w:p>
              </w:tc>
              <w:tc>
                <w:tcPr/>
                <w:p>
                  <w:pPr>
                    <w:pStyle w:val="Compact"/>
                    <w:jc w:val="left"/>
                    <w:jc w:val="center"/>
                  </w:pPr>
                  <w:r>
                    <w:t xml:space="preserve">preterm:</w:t>
                  </w:r>
                  <w:r>
                    <w:t xml:space="preserve"> </w:t>
                  </w:r>
                  <m:oMath>
                    <m:r>
                      <m:rPr>
                        <m:sty m:val="p"/>
                      </m:rPr>
                      <m:t>↓</m:t>
                    </m:r>
                  </m:oMath>
                  <w:r>
                    <w:t xml:space="preserve"> </w:t>
                  </w:r>
                  <w:r>
                    <w:t xml:space="preserve">H; differentiates networks</w:t>
                  </w:r>
                </w:p>
              </w:tc>
            </w:tr>
            <w:tr>
              <w:tc>
                <w:tcPr/>
                <w:p>
                  <w:pPr>
                    <w:pStyle w:val="Compact"/>
                    <w:jc w:val="left"/>
                    <w:jc w:val="center"/>
                  </w:pPr>
                  <w:r>
                    <w:t xml:space="preserve">Erbil and Deshpande (2025)</w:t>
                  </w:r>
                </w:p>
              </w:tc>
              <w:tc>
                <w:tcPr/>
                <w:p>
                  <w:pPr>
                    <w:pStyle w:val="Compact"/>
                    <w:jc w:val="left"/>
                    <w:jc w:val="center"/>
                  </w:pPr>
                  <w:r>
                    <w:t xml:space="preserve">7</w:t>
                  </w:r>
                </w:p>
              </w:tc>
              <w:tc>
                <w:tcPr/>
                <w:p>
                  <w:pPr>
                    <w:pStyle w:val="Compact"/>
                    <w:jc w:val="left"/>
                    <w:jc w:val="center"/>
                  </w:pPr>
                  <w:r>
                    <w:t xml:space="preserve">21-28</w:t>
                  </w:r>
                </w:p>
              </w:tc>
              <w:tc>
                <w:tcPr/>
                <w:p>
                  <w:pPr>
                    <w:pStyle w:val="Compact"/>
                    <w:jc w:val="left"/>
                    <w:jc w:val="center"/>
                  </w:pPr>
                  <w:r>
                    <w:t xml:space="preserve">Wavelet</w:t>
                  </w:r>
                </w:p>
              </w:tc>
              <w:tc>
                <w:tcPr/>
                <w:p>
                  <w:pPr>
                    <w:pStyle w:val="Compact"/>
                    <w:jc w:val="left"/>
                    <w:jc w:val="center"/>
                  </w:pPr>
                  <w:r>
                    <w:t xml:space="preserve">1,000; 1,000, 3,000</w:t>
                  </w:r>
                </w:p>
              </w:tc>
              <w:tc>
                <w:tcPr/>
                <w:p>
                  <w:pPr>
                    <w:pStyle w:val="Compact"/>
                    <w:jc w:val="left"/>
                    <w:jc w:val="center"/>
                  </w:pPr>
                  <w:r>
                    <w:t xml:space="preserve">1; 0.6; 0.2</w:t>
                  </w:r>
                </w:p>
              </w:tc>
              <w:tc>
                <w:tcPr/>
                <w:p>
                  <w:pPr>
                    <w:pStyle w:val="Compact"/>
                    <w:jc w:val="left"/>
                    <w:jc w:val="center"/>
                  </w:pPr>
                  <w:r>
                    <w:t xml:space="preserve">microstates</w:t>
                  </w:r>
                </w:p>
              </w:tc>
            </w:tr>
            <w:tr>
              <w:tc>
                <w:tcPr/>
                <w:p>
                  <w:pPr>
                    <w:pStyle w:val="Compact"/>
                    <w:jc w:val="left"/>
                    <w:jc w:val="center"/>
                  </w:pPr>
                  <w:r>
                    <w:t xml:space="preserve">Gao et al. (2018)</w:t>
                  </w:r>
                </w:p>
              </w:tc>
              <w:tc>
                <w:tcPr/>
                <w:p>
                  <w:pPr>
                    <w:pStyle w:val="Compact"/>
                    <w:jc w:val="left"/>
                    <w:jc w:val="center"/>
                  </w:pPr>
                  <w:r>
                    <w:t xml:space="preserve">110</w:t>
                  </w:r>
                </w:p>
              </w:tc>
              <w:tc>
                <w:tcPr/>
                <w:p>
                  <w:pPr>
                    <w:pStyle w:val="Compact"/>
                    <w:jc w:val="left"/>
                    <w:jc w:val="center"/>
                  </w:pPr>
                  <w:r>
                    <w:t xml:space="preserve">mean 21</w:t>
                  </w:r>
                </w:p>
              </w:tc>
              <w:tc>
                <w:tcPr/>
                <w:p>
                  <w:pPr>
                    <w:pStyle w:val="Compact"/>
                    <w:jc w:val="left"/>
                    <w:jc w:val="center"/>
                  </w:pPr>
                  <w:r>
                    <w:t xml:space="preserve">PSD, Wavelet</w:t>
                  </w:r>
                </w:p>
              </w:tc>
              <w:tc>
                <w:tcPr/>
                <w:p>
                  <w:pPr>
                    <w:pStyle w:val="Compact"/>
                    <w:jc w:val="left"/>
                    <w:jc w:val="center"/>
                  </w:pPr>
                  <w:r>
                    <w:t xml:space="preserve">232</w:t>
                  </w:r>
                </w:p>
              </w:tc>
              <w:tc>
                <w:tcPr/>
                <w:p>
                  <w:pPr>
                    <w:pStyle w:val="Compact"/>
                    <w:jc w:val="left"/>
                    <w:jc w:val="center"/>
                  </w:pPr>
                  <w:r>
                    <w:t xml:space="preserve">2</w:t>
                  </w:r>
                </w:p>
              </w:tc>
              <w:tc>
                <w:tcPr/>
                <w:p>
                  <w:pPr>
                    <w:pStyle w:val="Compact"/>
                    <w:jc w:val="left"/>
                    <w:jc w:val="center"/>
                  </w:pPr>
                  <w:r>
                    <w:t xml:space="preserve">reappraisal scores:</w:t>
                  </w:r>
                  <w:r>
                    <w:t xml:space="preserve"> </w:t>
                  </w:r>
                  <m:oMath>
                    <m:r>
                      <m:rPr>
                        <m:sty m:val="p"/>
                      </m:rPr>
                      <m:t>↓</m:t>
                    </m:r>
                  </m:oMath>
                  <w:r>
                    <w:t xml:space="preserve"> </w:t>
                  </w:r>
                  <w:r>
                    <w:t xml:space="preserve">H</w:t>
                  </w:r>
                </w:p>
              </w:tc>
            </w:tr>
            <w:tr>
              <w:tc>
                <w:tcPr/>
                <w:p>
                  <w:pPr>
                    <w:pStyle w:val="Compact"/>
                    <w:jc w:val="left"/>
                    <w:jc w:val="center"/>
                  </w:pPr>
                  <w:r>
                    <w:t xml:space="preserve">Gao et al. (2023)</w:t>
                  </w:r>
                </w:p>
              </w:tc>
              <w:tc>
                <w:tcPr/>
                <w:p>
                  <w:pPr>
                    <w:pStyle w:val="Compact"/>
                    <w:jc w:val="left"/>
                    <w:jc w:val="center"/>
                  </w:pPr>
                  <w:r>
                    <w:t xml:space="preserve">195 (100; 95)</w:t>
                  </w:r>
                </w:p>
              </w:tc>
              <w:tc>
                <w:tcPr/>
                <w:p>
                  <w:pPr>
                    <w:pStyle w:val="Compact"/>
                    <w:jc w:val="left"/>
                    <w:jc w:val="center"/>
                  </w:pPr>
                  <w:r>
                    <w:t xml:space="preserve">18-28</w:t>
                  </w:r>
                </w:p>
              </w:tc>
              <w:tc>
                <w:tcPr/>
                <w:p>
                  <w:pPr>
                    <w:pStyle w:val="Compact"/>
                    <w:jc w:val="left"/>
                    <w:jc w:val="center"/>
                  </w:pPr>
                  <w:r>
                    <w:t xml:space="preserve">Wavelet</w:t>
                  </w:r>
                </w:p>
              </w:tc>
              <w:tc>
                <w:tcPr/>
                <w:p>
                  <w:pPr>
                    <w:pStyle w:val="Compact"/>
                    <w:jc w:val="left"/>
                    <w:jc w:val="center"/>
                  </w:pPr>
                  <w:r>
                    <w:t xml:space="preserve">?</w:t>
                  </w:r>
                </w:p>
              </w:tc>
              <w:tc>
                <w:tcPr/>
                <w:p>
                  <w:pPr>
                    <w:pStyle w:val="Compact"/>
                    <w:jc w:val="left"/>
                    <w:jc w:val="center"/>
                  </w:pPr>
                  <w:r>
                    <w:t xml:space="preserve">2</w:t>
                  </w:r>
                </w:p>
              </w:tc>
              <w:tc>
                <w:tcPr/>
                <w:p>
                  <w:pPr>
                    <w:pStyle w:val="Compact"/>
                    <w:jc w:val="left"/>
                    <w:jc w:val="center"/>
                  </w:pPr>
                  <w:r>
                    <w:t xml:space="preserve">rumination:</w:t>
                  </w:r>
                  <w:r>
                    <w:t xml:space="preserve"> </w:t>
                  </w:r>
                  <m:oMath>
                    <m:r>
                      <m:rPr>
                        <m:sty m:val="p"/>
                      </m:rPr>
                      <m:t>↑</m:t>
                    </m:r>
                  </m:oMath>
                  <w:r>
                    <w:t xml:space="preserve"> </w:t>
                  </w:r>
                  <w:r>
                    <w:t xml:space="preserve">H</w:t>
                  </w:r>
                </w:p>
              </w:tc>
            </w:tr>
            <w:tr>
              <w:tc>
                <w:tcPr/>
                <w:p>
                  <w:pPr>
                    <w:pStyle w:val="Compact"/>
                    <w:jc w:val="left"/>
                    <w:jc w:val="center"/>
                  </w:pPr>
                  <w:r>
                    <w:t xml:space="preserve">Gentili et al. (2017)</w:t>
                  </w:r>
                </w:p>
              </w:tc>
              <w:tc>
                <w:tcPr/>
                <w:p>
                  <w:pPr>
                    <w:pStyle w:val="Compact"/>
                    <w:jc w:val="left"/>
                    <w:jc w:val="center"/>
                  </w:pPr>
                  <w:r>
                    <w:t xml:space="preserve">31</w:t>
                  </w:r>
                </w:p>
              </w:tc>
              <w:tc>
                <w:tcPr/>
                <w:p>
                  <w:pPr>
                    <w:pStyle w:val="Compact"/>
                    <w:jc w:val="left"/>
                    <w:jc w:val="center"/>
                  </w:pPr>
                  <w:r>
                    <w:t xml:space="preserve">mean 25</w:t>
                  </w:r>
                </w:p>
              </w:tc>
              <w:tc>
                <w:tcPr/>
                <w:p>
                  <w:pPr>
                    <w:pStyle w:val="Compact"/>
                    <w:jc w:val="left"/>
                    <w:jc w:val="center"/>
                  </w:pPr>
                  <w:r>
                    <w:t xml:space="preserve">Wavelet</w:t>
                  </w:r>
                </w:p>
              </w:tc>
              <w:tc>
                <w:tcPr/>
                <w:p>
                  <w:pPr>
                    <w:pStyle w:val="Compact"/>
                    <w:jc w:val="left"/>
                    <w:jc w:val="center"/>
                  </w:pPr>
                  <w:r>
                    <w:t xml:space="preserve">512</w:t>
                  </w:r>
                </w:p>
              </w:tc>
              <w:tc>
                <w:tcPr/>
                <w:p>
                  <w:pPr>
                    <w:pStyle w:val="Compact"/>
                    <w:jc w:val="left"/>
                    <w:jc w:val="center"/>
                  </w:pPr>
                  <w:r>
                    <w:t xml:space="preserve">1.64</w:t>
                  </w:r>
                </w:p>
              </w:tc>
              <w:tc>
                <w:tcPr/>
                <w:p>
                  <w:pPr>
                    <w:pStyle w:val="Compact"/>
                    <w:jc w:val="left"/>
                    <w:jc w:val="center"/>
                  </w:pPr>
                  <w:r>
                    <w:t xml:space="preserve">neuroticism:</w:t>
                  </w:r>
                  <w:r>
                    <w:t xml:space="preserve"> </w:t>
                  </w:r>
                  <m:oMath>
                    <m:r>
                      <m:rPr>
                        <m:sty m:val="p"/>
                      </m:rPr>
                      <m:t>↓</m:t>
                    </m:r>
                  </m:oMath>
                </w:p>
              </w:tc>
            </w:tr>
            <w:tr>
              <w:tc>
                <w:tcPr/>
                <w:p>
                  <w:pPr>
                    <w:pStyle w:val="Compact"/>
                    <w:jc w:val="left"/>
                    <w:jc w:val="center"/>
                  </w:pPr>
                  <w:r>
                    <w:t xml:space="preserve">Gentili et al. (2015)</w:t>
                  </w:r>
                </w:p>
              </w:tc>
              <w:tc>
                <w:tcPr/>
                <w:p>
                  <w:pPr>
                    <w:pStyle w:val="Compact"/>
                    <w:jc w:val="left"/>
                    <w:jc w:val="center"/>
                  </w:pPr>
                  <w:r>
                    <w:t xml:space="preserve">36</w:t>
                  </w:r>
                </w:p>
              </w:tc>
              <w:tc>
                <w:tcPr/>
                <w:p>
                  <w:pPr>
                    <w:pStyle w:val="Compact"/>
                    <w:jc w:val="left"/>
                    <w:jc w:val="center"/>
                  </w:pPr>
                  <w:r>
                    <w:t xml:space="preserve">mean 27</w:t>
                  </w:r>
                </w:p>
              </w:tc>
              <w:tc>
                <w:tcPr/>
                <w:p>
                  <w:pPr>
                    <w:pStyle w:val="Compact"/>
                    <w:jc w:val="left"/>
                    <w:jc w:val="center"/>
                  </w:pPr>
                  <w:r>
                    <w:t xml:space="preserve">Wavelet</w:t>
                  </w:r>
                </w:p>
              </w:tc>
              <w:tc>
                <w:tcPr/>
                <w:p>
                  <w:pPr>
                    <w:pStyle w:val="Compact"/>
                    <w:jc w:val="left"/>
                    <w:jc w:val="center"/>
                  </w:pPr>
                  <w:r>
                    <w:t xml:space="preserve">450</w:t>
                  </w:r>
                </w:p>
              </w:tc>
              <w:tc>
                <w:tcPr/>
                <w:p>
                  <w:pPr>
                    <w:pStyle w:val="Compact"/>
                    <w:jc w:val="left"/>
                    <w:jc w:val="center"/>
                  </w:pPr>
                  <w:r>
                    <w:t xml:space="preserve">2</w:t>
                  </w:r>
                </w:p>
              </w:tc>
              <w:tc>
                <w:tcPr/>
                <w:p>
                  <w:pPr>
                    <w:pStyle w:val="Compact"/>
                    <w:jc w:val="left"/>
                    <w:jc w:val="center"/>
                  </w:pPr>
                  <w:r>
                    <w:t xml:space="preserve">social anxiety:</w:t>
                  </w:r>
                  <w:r>
                    <w:t xml:space="preserve"> </w:t>
                  </w:r>
                  <m:oMath>
                    <m:r>
                      <m:rPr>
                        <m:sty m:val="p"/>
                      </m:rPr>
                      <m:t>↑</m:t>
                    </m:r>
                  </m:oMath>
                  <w:r>
                    <w:t xml:space="preserve"> </w:t>
                  </w:r>
                  <w:r>
                    <w:t xml:space="preserve">H</w:t>
                  </w:r>
                </w:p>
              </w:tc>
            </w:tr>
            <w:tr>
              <w:tc>
                <w:tcPr/>
                <w:p>
                  <w:pPr>
                    <w:pStyle w:val="Compact"/>
                    <w:jc w:val="left"/>
                    <w:jc w:val="center"/>
                  </w:pPr>
                  <w:r>
                    <w:t xml:space="preserve">He (2011)</w:t>
                  </w:r>
                </w:p>
              </w:tc>
              <w:tc>
                <w:tcPr/>
                <w:p>
                  <w:pPr>
                    <w:pStyle w:val="Compact"/>
                    <w:jc w:val="left"/>
                    <w:jc w:val="center"/>
                  </w:pPr>
                  <w:r>
                    <w:t xml:space="preserve">17</w:t>
                  </w:r>
                </w:p>
              </w:tc>
              <w:tc>
                <w:tcPr/>
                <w:p>
                  <w:pPr>
                    <w:pStyle w:val="Compact"/>
                    <w:jc w:val="left"/>
                    <w:jc w:val="center"/>
                  </w:pPr>
                  <w:r>
                    <w:t xml:space="preserve">18-27</w:t>
                  </w:r>
                </w:p>
              </w:tc>
              <w:tc>
                <w:tcPr/>
                <w:p>
                  <w:pPr>
                    <w:pStyle w:val="Compact"/>
                    <w:jc w:val="left"/>
                    <w:jc w:val="center"/>
                  </w:pPr>
                  <w:r>
                    <w:t xml:space="preserve">DFA, PSD</w:t>
                  </w:r>
                </w:p>
              </w:tc>
              <w:tc>
                <w:tcPr/>
                <w:p>
                  <w:pPr>
                    <w:pStyle w:val="Compact"/>
                    <w:jc w:val="left"/>
                    <w:jc w:val="center"/>
                  </w:pPr>
                  <w:r>
                    <w:t xml:space="preserve">194</w:t>
                  </w:r>
                </w:p>
              </w:tc>
              <w:tc>
                <w:tcPr/>
                <w:p>
                  <w:pPr>
                    <w:pStyle w:val="Compact"/>
                    <w:jc w:val="left"/>
                    <w:jc w:val="center"/>
                  </w:pPr>
                  <w:r>
                    <w:t xml:space="preserve">2.16</w:t>
                  </w:r>
                </w:p>
              </w:tc>
              <w:tc>
                <w:tcPr/>
                <w:p>
                  <w:pPr>
                    <w:pStyle w:val="Compact"/>
                    <w:jc w:val="left"/>
                    <w:jc w:val="center"/>
                  </w:pPr>
                  <w:r>
                    <w:t xml:space="preserve">task:</w:t>
                  </w:r>
                  <w:r>
                    <w:t xml:space="preserve"> </w:t>
                  </w:r>
                  <m:oMath>
                    <m:r>
                      <m:rPr>
                        <m:sty m:val="p"/>
                      </m:rPr>
                      <m:t>↓</m:t>
                    </m:r>
                  </m:oMath>
                  <w:r>
                    <w:t xml:space="preserve"> </w:t>
                  </w:r>
                  <w:r>
                    <w:t xml:space="preserve">H; differentiates networks; brain glucose metabolism and neurovascular coupling</w:t>
                  </w:r>
                </w:p>
              </w:tc>
            </w:tr>
            <w:tr>
              <w:tc>
                <w:tcPr/>
                <w:p>
                  <w:pPr>
                    <w:pStyle w:val="Compact"/>
                    <w:jc w:val="left"/>
                    <w:jc w:val="center"/>
                  </w:pPr>
                  <w:r>
                    <w:t xml:space="preserve">Jäger et al. (2024)</w:t>
                  </w:r>
                </w:p>
              </w:tc>
              <w:tc>
                <w:tcPr/>
                <w:p>
                  <w:pPr>
                    <w:pStyle w:val="Compact"/>
                    <w:jc w:val="left"/>
                    <w:jc w:val="center"/>
                  </w:pPr>
                  <w:r>
                    <w:t xml:space="preserve">40 (20 task; 20 no task)</w:t>
                  </w:r>
                </w:p>
              </w:tc>
              <w:tc>
                <w:tcPr/>
                <w:p>
                  <w:pPr>
                    <w:pStyle w:val="Compact"/>
                    <w:jc w:val="left"/>
                    <w:jc w:val="center"/>
                  </w:pPr>
                  <w:r>
                    <w:t xml:space="preserve">20-32</w:t>
                  </w:r>
                </w:p>
              </w:tc>
              <w:tc>
                <w:tcPr/>
                <w:p>
                  <w:pPr>
                    <w:pStyle w:val="Compact"/>
                    <w:jc w:val="left"/>
                    <w:jc w:val="center"/>
                  </w:pPr>
                  <w:r>
                    <w:t xml:space="preserve">DFA</w:t>
                  </w:r>
                </w:p>
              </w:tc>
              <w:tc>
                <w:tcPr/>
                <w:p>
                  <w:pPr>
                    <w:pStyle w:val="Compact"/>
                    <w:jc w:val="left"/>
                    <w:jc w:val="center"/>
                  </w:pPr>
                  <w:r>
                    <w:t xml:space="preserve">512</w:t>
                  </w:r>
                </w:p>
              </w:tc>
              <w:tc>
                <w:tcPr/>
                <w:p>
                  <w:pPr>
                    <w:pStyle w:val="Compact"/>
                    <w:jc w:val="left"/>
                    <w:jc w:val="center"/>
                  </w:pPr>
                  <w:r>
                    <w:t xml:space="preserve">1.13</w:t>
                  </w:r>
                </w:p>
              </w:tc>
              <w:tc>
                <w:tcPr/>
                <w:p>
                  <w:pPr>
                    <w:pStyle w:val="Compact"/>
                    <w:jc w:val="left"/>
                    <w:jc w:val="center"/>
                  </w:pPr>
                  <w:r>
                    <w:t xml:space="preserve">motor sequence learning:</w:t>
                  </w:r>
                  <w:r>
                    <w:t xml:space="preserve"> </w:t>
                  </w:r>
                  <m:oMath>
                    <m:r>
                      <m:rPr>
                        <m:sty m:val="p"/>
                      </m:rPr>
                      <m:t>↓</m:t>
                    </m:r>
                  </m:oMath>
                  <w:r>
                    <w:t xml:space="preserve"> </w:t>
                  </w:r>
                  <w:r>
                    <w:t xml:space="preserve">H</w:t>
                  </w:r>
                </w:p>
              </w:tc>
            </w:tr>
            <w:tr>
              <w:tc>
                <w:tcPr/>
                <w:p>
                  <w:pPr>
                    <w:pStyle w:val="Compact"/>
                    <w:jc w:val="left"/>
                    <w:jc w:val="center"/>
                  </w:pPr>
                  <w:r>
                    <w:t xml:space="preserve">Lai et al. (2010)</w:t>
                  </w:r>
                </w:p>
              </w:tc>
              <w:tc>
                <w:tcPr/>
                <w:p>
                  <w:pPr>
                    <w:pStyle w:val="Compact"/>
                    <w:jc w:val="left"/>
                    <w:jc w:val="center"/>
                  </w:pPr>
                  <w:r>
                    <w:t xml:space="preserve">63 (33 ASD; 3- HC)</w:t>
                  </w:r>
                </w:p>
              </w:tc>
              <w:tc>
                <w:tcPr/>
                <w:p>
                  <w:pPr>
                    <w:pStyle w:val="Compact"/>
                    <w:jc w:val="left"/>
                    <w:jc w:val="center"/>
                  </w:pPr>
                  <w:r>
                    <w:t xml:space="preserve">n/a</w:t>
                  </w:r>
                </w:p>
              </w:tc>
              <w:tc>
                <w:tcPr/>
                <w:p>
                  <w:pPr>
                    <w:pStyle w:val="Compact"/>
                    <w:jc w:val="left"/>
                    <w:jc w:val="center"/>
                  </w:pPr>
                  <w:r>
                    <w:t xml:space="preserve">Wavelet</w:t>
                  </w:r>
                </w:p>
              </w:tc>
              <w:tc>
                <w:tcPr/>
                <w:p>
                  <w:pPr>
                    <w:pStyle w:val="Compact"/>
                    <w:jc w:val="left"/>
                    <w:jc w:val="center"/>
                  </w:pPr>
                  <w:r>
                    <w:t xml:space="preserve">512</w:t>
                  </w:r>
                </w:p>
              </w:tc>
              <w:tc>
                <w:tcPr/>
                <w:p>
                  <w:pPr>
                    <w:pStyle w:val="Compact"/>
                    <w:jc w:val="left"/>
                    <w:jc w:val="center"/>
                  </w:pPr>
                  <w:r>
                    <w:t xml:space="preserve">1.3</w:t>
                  </w:r>
                </w:p>
              </w:tc>
              <w:tc>
                <w:tcPr/>
                <w:p>
                  <w:pPr>
                    <w:pStyle w:val="Compact"/>
                    <w:jc w:val="left"/>
                    <w:jc w:val="center"/>
                  </w:pPr>
                  <w:r>
                    <w:t xml:space="preserve">ASD:</w:t>
                  </w:r>
                  <w:r>
                    <w:t xml:space="preserve"> </w:t>
                  </w:r>
                  <m:oMath>
                    <m:r>
                      <m:rPr>
                        <m:sty m:val="p"/>
                      </m:rPr>
                      <m:t>↓</m:t>
                    </m:r>
                  </m:oMath>
                  <w:r>
                    <w:t xml:space="preserve"> </w:t>
                  </w:r>
                  <w:r>
                    <w:t xml:space="preserve">H</w:t>
                  </w:r>
                </w:p>
              </w:tc>
            </w:tr>
            <w:tr>
              <w:tc>
                <w:tcPr/>
                <w:p>
                  <w:pPr>
                    <w:pStyle w:val="Compact"/>
                    <w:jc w:val="left"/>
                    <w:jc w:val="center"/>
                  </w:pPr>
                  <w:r>
                    <w:t xml:space="preserve">X. Lei, Zhao, and Chen (2013)</w:t>
                  </w:r>
                </w:p>
              </w:tc>
              <w:tc>
                <w:tcPr/>
                <w:p>
                  <w:pPr>
                    <w:pStyle w:val="Compact"/>
                    <w:jc w:val="left"/>
                    <w:jc w:val="center"/>
                  </w:pPr>
                  <w:r>
                    <w:t xml:space="preserve">17</w:t>
                  </w:r>
                </w:p>
              </w:tc>
              <w:tc>
                <w:tcPr/>
                <w:p>
                  <w:pPr>
                    <w:pStyle w:val="Compact"/>
                    <w:jc w:val="left"/>
                    <w:jc w:val="center"/>
                  </w:pPr>
                  <w:r>
                    <w:t xml:space="preserve">18-29</w:t>
                  </w:r>
                </w:p>
              </w:tc>
              <w:tc>
                <w:tcPr/>
                <w:p>
                  <w:pPr>
                    <w:pStyle w:val="Compact"/>
                    <w:jc w:val="left"/>
                    <w:jc w:val="center"/>
                  </w:pPr>
                  <w:r>
                    <w:t xml:space="preserve">Wavelet</w:t>
                  </w:r>
                </w:p>
              </w:tc>
              <w:tc>
                <w:tcPr/>
                <w:p>
                  <w:pPr>
                    <w:pStyle w:val="Compact"/>
                    <w:jc w:val="left"/>
                    <w:jc w:val="center"/>
                  </w:pPr>
                  <w:r>
                    <w:t xml:space="preserve">200</w:t>
                  </w:r>
                </w:p>
              </w:tc>
              <w:tc>
                <w:tcPr/>
                <w:p>
                  <w:pPr>
                    <w:pStyle w:val="Compact"/>
                    <w:jc w:val="left"/>
                    <w:jc w:val="center"/>
                  </w:pPr>
                  <w:r>
                    <w:t xml:space="preserve">1.5</w:t>
                  </w:r>
                </w:p>
              </w:tc>
              <w:tc>
                <w:tcPr/>
                <w:p>
                  <w:pPr>
                    <w:pStyle w:val="Compact"/>
                    <w:jc w:val="left"/>
                    <w:jc w:val="center"/>
                  </w:pPr>
                  <w:r>
                    <w:t xml:space="preserve">extroversion:</w:t>
                  </w:r>
                  <w:r>
                    <w:t xml:space="preserve"> </w:t>
                  </w:r>
                  <m:oMath>
                    <m:r>
                      <m:rPr>
                        <m:sty m:val="p"/>
                      </m:rPr>
                      <m:t>↓</m:t>
                    </m:r>
                  </m:oMath>
                  <w:r>
                    <w:t xml:space="preserve"> </w:t>
                  </w:r>
                  <w:r>
                    <w:t xml:space="preserve">H in DMN</w:t>
                  </w:r>
                </w:p>
              </w:tc>
            </w:tr>
            <w:tr>
              <w:tc>
                <w:tcPr/>
                <w:p>
                  <w:pPr>
                    <w:pStyle w:val="Compact"/>
                    <w:jc w:val="left"/>
                    <w:jc w:val="center"/>
                  </w:pPr>
                  <w:r>
                    <w:t xml:space="preserve">Y. Lei et al. (2021)</w:t>
                  </w:r>
                </w:p>
              </w:tc>
              <w:tc>
                <w:tcPr/>
                <w:p>
                  <w:pPr>
                    <w:pStyle w:val="Compact"/>
                    <w:jc w:val="left"/>
                    <w:jc w:val="center"/>
                  </w:pPr>
                  <w:r>
                    <w:t xml:space="preserve">75 (16 HMMD; 34 IMMD; 25 HC)</w:t>
                  </w:r>
                </w:p>
              </w:tc>
              <w:tc>
                <w:tcPr/>
                <w:p>
                  <w:pPr>
                    <w:pStyle w:val="Compact"/>
                    <w:jc w:val="left"/>
                    <w:jc w:val="center"/>
                  </w:pPr>
                  <w:r>
                    <w:t xml:space="preserve">mean</w:t>
                  </w:r>
                  <w:r>
                    <w:t xml:space="preserve"> </w:t>
                  </w:r>
                  <m:oMath>
                    <m:r>
                      <m:rPr>
                        <m:sty m:val="p"/>
                      </m:rPr>
                      <m:t>∼</m:t>
                    </m:r>
                  </m:oMath>
                  <w:r>
                    <w:t xml:space="preserve"> </w:t>
                  </w:r>
                  <w:r>
                    <w:t xml:space="preserve">41</w:t>
                  </w:r>
                </w:p>
              </w:tc>
              <w:tc>
                <w:tcPr/>
                <w:p>
                  <w:pPr>
                    <w:pStyle w:val="Compact"/>
                    <w:jc w:val="left"/>
                    <w:jc w:val="center"/>
                  </w:pPr>
                  <w:r>
                    <w:t xml:space="preserve">RS</w:t>
                  </w:r>
                </w:p>
              </w:tc>
              <w:tc>
                <w:tcPr/>
                <w:p>
                  <w:pPr>
                    <w:pStyle w:val="Compact"/>
                    <w:jc w:val="left"/>
                    <w:jc w:val="center"/>
                  </w:pPr>
                  <w:r>
                    <w:t xml:space="preserve">240</w:t>
                  </w:r>
                </w:p>
              </w:tc>
              <w:tc>
                <w:tcPr/>
                <w:p>
                  <w:pPr>
                    <w:pStyle w:val="Compact"/>
                    <w:jc w:val="left"/>
                    <w:jc w:val="center"/>
                  </w:pPr>
                  <w:r>
                    <w:t xml:space="preserve">2</w:t>
                  </w:r>
                </w:p>
              </w:tc>
              <w:tc>
                <w:tcPr/>
                <w:p>
                  <w:pPr>
                    <w:pStyle w:val="Compact"/>
                    <w:jc w:val="left"/>
                    <w:jc w:val="center"/>
                  </w:pPr>
                  <w:r>
                    <w:t xml:space="preserve">moyamoya disease:</w:t>
                  </w:r>
                  <w:r>
                    <w:t xml:space="preserve"> </w:t>
                  </w:r>
                  <m:oMath>
                    <m:r>
                      <m:rPr>
                        <m:sty m:val="p"/>
                      </m:rPr>
                      <m:t>↓</m:t>
                    </m:r>
                  </m:oMath>
                  <w:r>
                    <w:t xml:space="preserve"> </w:t>
                  </w:r>
                  <w:r>
                    <w:t xml:space="preserve">H</w:t>
                  </w:r>
                </w:p>
              </w:tc>
            </w:tr>
            <w:tr>
              <w:tc>
                <w:tcPr/>
                <w:p>
                  <w:pPr>
                    <w:pStyle w:val="Compact"/>
                    <w:jc w:val="left"/>
                    <w:jc w:val="center"/>
                  </w:pPr>
                  <w:r>
                    <w:t xml:space="preserve">Linke et al. (2024)</w:t>
                  </w:r>
                </w:p>
              </w:tc>
              <w:tc>
                <w:tcPr/>
                <w:p>
                  <w:pPr>
                    <w:pStyle w:val="Compact"/>
                    <w:jc w:val="left"/>
                    <w:jc w:val="center"/>
                  </w:pPr>
                  <w:r>
                    <w:t xml:space="preserve">83</w:t>
                  </w:r>
                </w:p>
              </w:tc>
              <w:tc>
                <w:tcPr/>
                <w:p>
                  <w:pPr>
                    <w:pStyle w:val="Compact"/>
                    <w:jc w:val="left"/>
                    <w:jc w:val="center"/>
                  </w:pPr>
                  <w:r>
                    <w:t xml:space="preserve">1.5-5</w:t>
                  </w:r>
                </w:p>
              </w:tc>
              <w:tc>
                <w:tcPr/>
                <w:p>
                  <w:pPr>
                    <w:pStyle w:val="Compact"/>
                    <w:jc w:val="left"/>
                    <w:jc w:val="center"/>
                  </w:pPr>
                  <w:r>
                    <w:t xml:space="preserve">WML</w:t>
                  </w:r>
                </w:p>
              </w:tc>
              <w:tc>
                <w:tcPr/>
                <w:p>
                  <w:pPr>
                    <w:pStyle w:val="Compact"/>
                    <w:jc w:val="left"/>
                    <w:jc w:val="center"/>
                  </w:pPr>
                  <w:r>
                    <w:t xml:space="preserve">400</w:t>
                  </w:r>
                </w:p>
              </w:tc>
              <w:tc>
                <w:tcPr/>
                <w:p>
                  <w:pPr>
                    <w:pStyle w:val="Compact"/>
                    <w:jc w:val="left"/>
                    <w:jc w:val="center"/>
                  </w:pPr>
                  <w:r>
                    <w:t xml:space="preserve">0.8</w:t>
                  </w:r>
                </w:p>
              </w:tc>
              <w:tc>
                <w:tcPr/>
                <w:p>
                  <w:pPr>
                    <w:pStyle w:val="Compact"/>
                    <w:jc w:val="left"/>
                    <w:jc w:val="center"/>
                  </w:pPr>
                  <w:r>
                    <w:t xml:space="preserve">age of children ASD:</w:t>
                  </w:r>
                  <w:r>
                    <w:t xml:space="preserve"> </w:t>
                  </w:r>
                  <m:oMath>
                    <m:r>
                      <m:rPr>
                        <m:sty m:val="p"/>
                      </m:rPr>
                      <m:t>↓</m:t>
                    </m:r>
                  </m:oMath>
                  <w:r>
                    <w:t xml:space="preserve"> </w:t>
                  </w:r>
                  <w:r>
                    <w:t xml:space="preserve">H in vmPFC</w:t>
                  </w:r>
                </w:p>
              </w:tc>
            </w:tr>
            <w:tr>
              <w:tc>
                <w:tcPr/>
                <w:p>
                  <w:pPr>
                    <w:pStyle w:val="Compact"/>
                    <w:jc w:val="left"/>
                    <w:jc w:val="center"/>
                  </w:pPr>
                  <w:r>
                    <w:t xml:space="preserve">Maxim et al. (2005)</w:t>
                  </w:r>
                </w:p>
              </w:tc>
              <w:tc>
                <w:tcPr/>
                <w:p>
                  <w:pPr>
                    <w:pStyle w:val="Compact"/>
                    <w:jc w:val="left"/>
                    <w:jc w:val="center"/>
                  </w:pPr>
                  <w:r>
                    <w:t xml:space="preserve">21</w:t>
                  </w:r>
                </w:p>
              </w:tc>
              <w:tc>
                <w:tcPr/>
                <w:p>
                  <w:pPr>
                    <w:pStyle w:val="Compact"/>
                    <w:jc w:val="left"/>
                    <w:jc w:val="center"/>
                  </w:pPr>
                  <w:r>
                    <w:t xml:space="preserve">n/a</w:t>
                  </w:r>
                </w:p>
              </w:tc>
              <w:tc>
                <w:tcPr/>
                <w:p>
                  <w:pPr>
                    <w:pStyle w:val="Compact"/>
                    <w:jc w:val="left"/>
                    <w:jc w:val="center"/>
                  </w:pPr>
                  <w:r>
                    <w:t xml:space="preserve">LW, Wornell, MLW</w:t>
                  </w:r>
                </w:p>
              </w:tc>
              <w:tc>
                <w:tcPr/>
                <w:p>
                  <w:pPr>
                    <w:pStyle w:val="Compact"/>
                    <w:jc w:val="left"/>
                    <w:jc w:val="center"/>
                  </w:pPr>
                  <w:r>
                    <w:t xml:space="preserve">150</w:t>
                  </w:r>
                </w:p>
              </w:tc>
              <w:tc>
                <w:tcPr/>
                <w:p>
                  <w:pPr>
                    <w:pStyle w:val="Compact"/>
                    <w:jc w:val="left"/>
                    <w:jc w:val="center"/>
                  </w:pPr>
                  <w:r>
                    <w:t xml:space="preserve">2</w:t>
                  </w:r>
                </w:p>
              </w:tc>
              <w:tc>
                <w:tcPr/>
                <w:p>
                  <w:pPr>
                    <w:pStyle w:val="Compact"/>
                    <w:jc w:val="left"/>
                    <w:jc w:val="center"/>
                  </w:pPr>
                  <w:r>
                    <w:t xml:space="preserve">AD:</w:t>
                  </w:r>
                  <w:r>
                    <w:t xml:space="preserve"> </w:t>
                  </w:r>
                  <m:oMath>
                    <m:r>
                      <m:rPr>
                        <m:sty m:val="p"/>
                      </m:rPr>
                      <m:t>↑</m:t>
                    </m:r>
                  </m:oMath>
                  <w:r>
                    <w:t xml:space="preserve"> </w:t>
                  </w:r>
                  <w:r>
                    <w:t xml:space="preserve">H</w:t>
                  </w:r>
                </w:p>
              </w:tc>
            </w:tr>
            <w:tr>
              <w:tc>
                <w:tcPr/>
                <w:p>
                  <w:pPr>
                    <w:pStyle w:val="Compact"/>
                    <w:jc w:val="left"/>
                    <w:jc w:val="center"/>
                  </w:pPr>
                  <w:r>
                    <w:t xml:space="preserve">Mella et al. (2024)</w:t>
                  </w:r>
                </w:p>
              </w:tc>
              <w:tc>
                <w:tcPr/>
                <w:p>
                  <w:pPr>
                    <w:pStyle w:val="Compact"/>
                    <w:jc w:val="left"/>
                    <w:jc w:val="center"/>
                  </w:pPr>
                  <w:r>
                    <w:t xml:space="preserve">716</w:t>
                  </w:r>
                </w:p>
              </w:tc>
              <w:tc>
                <w:tcPr/>
                <w:p>
                  <w:pPr>
                    <w:pStyle w:val="Compact"/>
                    <w:jc w:val="left"/>
                    <w:jc w:val="center"/>
                  </w:pPr>
                  <w:r>
                    <w:t xml:space="preserve">preterm</w:t>
                  </w:r>
                </w:p>
              </w:tc>
              <w:tc>
                <w:tcPr/>
                <w:p>
                  <w:pPr>
                    <w:pStyle w:val="Compact"/>
                    <w:jc w:val="left"/>
                    <w:jc w:val="center"/>
                  </w:pPr>
                  <w:r>
                    <w:t xml:space="preserve">PSD</w:t>
                  </w:r>
                  <w:r>
                    <w:rPr>
                      <w:vertAlign w:val="subscript"/>
                    </w:rPr>
                    <w:t xml:space="preserve">Welch</w:t>
                  </w:r>
                </w:p>
              </w:tc>
              <w:tc>
                <w:tcPr/>
                <w:p>
                  <w:pPr>
                    <w:pStyle w:val="Compact"/>
                    <w:jc w:val="left"/>
                    <w:jc w:val="center"/>
                  </w:pPr>
                  <w:r>
                    <w:t xml:space="preserve">2,300</w:t>
                  </w:r>
                </w:p>
              </w:tc>
              <w:tc>
                <w:tcPr/>
                <w:p>
                  <w:pPr>
                    <w:pStyle w:val="Compact"/>
                    <w:jc w:val="left"/>
                    <w:jc w:val="center"/>
                  </w:pPr>
                  <w:r>
                    <w:t xml:space="preserve">0.392</w:t>
                  </w:r>
                </w:p>
              </w:tc>
              <w:tc>
                <w:tcPr/>
                <w:p>
                  <w:pPr>
                    <w:pStyle w:val="Compact"/>
                    <w:jc w:val="left"/>
                    <w:jc w:val="center"/>
                  </w:pPr>
                  <w:r>
                    <w:t xml:space="preserve">preterm:</w:t>
                  </w:r>
                  <w:r>
                    <w:t xml:space="preserve"> </w:t>
                  </w:r>
                  <m:oMath>
                    <m:r>
                      <m:rPr>
                        <m:sty m:val="p"/>
                      </m:rPr>
                      <m:t>↓</m:t>
                    </m:r>
                  </m:oMath>
                  <w:r>
                    <w:t xml:space="preserve"> </w:t>
                  </w:r>
                  <w:r>
                    <w:t xml:space="preserve">H; H starts &lt; 0.5 at preterm age ; differentiates networks</w:t>
                  </w:r>
                </w:p>
              </w:tc>
            </w:tr>
            <w:tr>
              <w:tc>
                <w:tcPr/>
                <w:p>
                  <w:pPr>
                    <w:pStyle w:val="Compact"/>
                    <w:jc w:val="left"/>
                    <w:jc w:val="center"/>
                  </w:pPr>
                  <w:r>
                    <w:t xml:space="preserve">Omidvarnia et al. (2021)</w:t>
                  </w:r>
                </w:p>
              </w:tc>
              <w:tc>
                <w:tcPr/>
                <w:p>
                  <w:pPr>
                    <w:pStyle w:val="Compact"/>
                    <w:jc w:val="left"/>
                    <w:jc w:val="center"/>
                  </w:pPr>
                  <w:r>
                    <w:t xml:space="preserve">100</w:t>
                  </w:r>
                </w:p>
              </w:tc>
              <w:tc>
                <w:tcPr/>
                <w:p>
                  <w:pPr>
                    <w:pStyle w:val="Compact"/>
                    <w:jc w:val="left"/>
                    <w:jc w:val="center"/>
                  </w:pPr>
                  <w:r>
                    <w:t xml:space="preserve">22-35</w:t>
                  </w:r>
                </w:p>
              </w:tc>
              <w:tc>
                <w:tcPr/>
                <w:p>
                  <w:pPr>
                    <w:pStyle w:val="Compact"/>
                    <w:jc w:val="left"/>
                    <w:jc w:val="center"/>
                  </w:pPr>
                  <w:r>
                    <w:t xml:space="preserve">PSD, DFA</w:t>
                  </w:r>
                </w:p>
              </w:tc>
              <w:tc>
                <w:tcPr/>
                <w:p>
                  <w:pPr>
                    <w:pStyle w:val="Compact"/>
                    <w:jc w:val="left"/>
                    <w:jc w:val="center"/>
                  </w:pPr>
                  <w:r>
                    <w:t xml:space="preserve">min 250</w:t>
                  </w:r>
                </w:p>
              </w:tc>
              <w:tc>
                <w:tcPr/>
                <w:p>
                  <w:pPr>
                    <w:pStyle w:val="Compact"/>
                    <w:jc w:val="left"/>
                    <w:jc w:val="center"/>
                  </w:pPr>
                  <w:r>
                    <w:t xml:space="preserve">0.72</w:t>
                  </w:r>
                </w:p>
              </w:tc>
              <w:tc>
                <w:tcPr/>
                <w:p>
                  <w:pPr>
                    <w:pStyle w:val="Compact"/>
                    <w:jc w:val="left"/>
                    <w:jc w:val="center"/>
                  </w:pPr>
                  <w:r>
                    <w:t xml:space="preserve">cognitive load:</w:t>
                  </w:r>
                  <w:r>
                    <w:t xml:space="preserve"> </w:t>
                  </w:r>
                  <m:oMath>
                    <m:r>
                      <m:rPr>
                        <m:sty m:val="p"/>
                      </m:rPr>
                      <m:t>↓</m:t>
                    </m:r>
                  </m:oMath>
                  <w:r>
                    <w:t xml:space="preserve"> </w:t>
                  </w:r>
                  <w:r>
                    <w:t xml:space="preserve">H; H and entropy-based complexity highly correlated; H highest in frontoparietal network and default mode network</w:t>
                  </w:r>
                </w:p>
              </w:tc>
            </w:tr>
            <w:tr>
              <w:tc>
                <w:tcPr/>
                <w:p>
                  <w:pPr>
                    <w:pStyle w:val="Compact"/>
                    <w:jc w:val="left"/>
                    <w:jc w:val="center"/>
                  </w:pPr>
                  <w:r>
                    <w:t xml:space="preserve">Rubin, Fekete, and Mujica-Parodi (2013)</w:t>
                  </w:r>
                </w:p>
              </w:tc>
              <w:tc>
                <w:tcPr/>
                <w:p>
                  <w:pPr>
                    <w:pStyle w:val="Compact"/>
                    <w:jc w:val="left"/>
                    <w:jc w:val="center"/>
                  </w:pPr>
                  <w:r>
                    <w:t xml:space="preserve">22</w:t>
                  </w:r>
                </w:p>
              </w:tc>
              <w:tc>
                <w:tcPr/>
                <w:p>
                  <w:pPr>
                    <w:pStyle w:val="Compact"/>
                    <w:jc w:val="left"/>
                    <w:jc w:val="center"/>
                  </w:pPr>
                  <w:r>
                    <w:t xml:space="preserve">?</w:t>
                  </w:r>
                </w:p>
              </w:tc>
              <w:tc>
                <w:tcPr/>
                <w:p>
                  <w:pPr>
                    <w:pStyle w:val="Compact"/>
                    <w:jc w:val="left"/>
                    <w:jc w:val="center"/>
                  </w:pPr>
                  <w:r>
                    <w:t xml:space="preserve">Many</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HFFT and PSD</w:t>
                  </w:r>
                  <w:r>
                    <w:rPr>
                      <w:vertAlign w:val="subscript"/>
                    </w:rPr>
                    <w:t xml:space="preserve">Welch</w:t>
                  </w:r>
                  <w:r>
                    <w:t xml:space="preserve"> </w:t>
                  </w:r>
                  <w:r>
                    <w:t xml:space="preserve">outperform other methods</w:t>
                  </w:r>
                </w:p>
              </w:tc>
            </w:tr>
            <w:tr>
              <w:tc>
                <w:tcPr/>
                <w:p>
                  <w:pPr>
                    <w:pStyle w:val="Compact"/>
                    <w:jc w:val="left"/>
                    <w:jc w:val="center"/>
                  </w:pPr>
                  <w:r>
                    <w:t xml:space="preserve">Sokunbi et al. (2014)</w:t>
                  </w:r>
                </w:p>
              </w:tc>
              <w:tc>
                <w:tcPr/>
                <w:p>
                  <w:pPr>
                    <w:pStyle w:val="Compact"/>
                    <w:jc w:val="left"/>
                    <w:jc w:val="center"/>
                  </w:pPr>
                  <w:r>
                    <w:t xml:space="preserve">29 (13 SZ; 16 HC)</w:t>
                  </w:r>
                </w:p>
              </w:tc>
              <w:tc>
                <w:tcPr/>
                <w:p>
                  <w:pPr>
                    <w:pStyle w:val="Compact"/>
                    <w:jc w:val="left"/>
                    <w:jc w:val="center"/>
                  </w:pPr>
                  <w:r>
                    <w:t xml:space="preserve">?</w:t>
                  </w:r>
                </w:p>
              </w:tc>
              <w:tc>
                <w:tcPr/>
                <w:p>
                  <w:pPr>
                    <w:pStyle w:val="Compact"/>
                    <w:jc w:val="left"/>
                    <w:jc w:val="center"/>
                  </w:pPr>
                  <w:r>
                    <w:t xml:space="preserve">DA, DFA</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SZ:</w:t>
                  </w:r>
                  <w:r>
                    <w:t xml:space="preserve"> </w:t>
                  </w:r>
                  <m:oMath>
                    <m:r>
                      <m:rPr>
                        <m:sty m:val="p"/>
                      </m:rPr>
                      <m:t>↓</m:t>
                    </m:r>
                  </m:oMath>
                  <w:r>
                    <w:t xml:space="preserve"> </w:t>
                  </w:r>
                  <w:r>
                    <w:t xml:space="preserve">H</w:t>
                  </w:r>
                </w:p>
              </w:tc>
            </w:tr>
            <w:tr>
              <w:tc>
                <w:tcPr/>
                <w:p>
                  <w:pPr>
                    <w:pStyle w:val="Compact"/>
                    <w:jc w:val="left"/>
                    <w:jc w:val="center"/>
                  </w:pPr>
                  <w:r>
                    <w:t xml:space="preserve">Suckling et al. (2008)</w:t>
                  </w:r>
                </w:p>
              </w:tc>
              <w:tc>
                <w:tcPr/>
                <w:p>
                  <w:pPr>
                    <w:pStyle w:val="Compact"/>
                    <w:jc w:val="left"/>
                    <w:jc w:val="center"/>
                  </w:pPr>
                  <w:r>
                    <w:t xml:space="preserve">22 (11 old; 11 young)</w:t>
                  </w:r>
                </w:p>
              </w:tc>
              <w:tc>
                <w:tcPr/>
                <w:p>
                  <w:pPr>
                    <w:pStyle w:val="Compact"/>
                    <w:jc w:val="left"/>
                    <w:jc w:val="center"/>
                  </w:pPr>
                  <w:r>
                    <w:t xml:space="preserve">22 and 65</w:t>
                  </w:r>
                </w:p>
              </w:tc>
              <w:tc>
                <w:tcPr/>
                <w:p>
                  <w:pPr>
                    <w:pStyle w:val="Compact"/>
                    <w:jc w:val="left"/>
                    <w:jc w:val="center"/>
                  </w:pPr>
                  <w:r>
                    <w:t xml:space="preserve">MLW</w:t>
                  </w:r>
                </w:p>
              </w:tc>
              <w:tc>
                <w:tcPr/>
                <w:p>
                  <w:pPr>
                    <w:pStyle w:val="Compact"/>
                    <w:jc w:val="left"/>
                    <w:jc w:val="center"/>
                  </w:pPr>
                  <w:r>
                    <w:t xml:space="preserve">512</w:t>
                  </w:r>
                </w:p>
              </w:tc>
              <w:tc>
                <w:tcPr/>
                <w:p>
                  <w:pPr>
                    <w:pStyle w:val="Compact"/>
                    <w:jc w:val="left"/>
                    <w:jc w:val="center"/>
                  </w:pPr>
                  <w:r>
                    <w:t xml:space="preserve">1.1</w:t>
                  </w:r>
                </w:p>
              </w:tc>
              <w:tc>
                <w:tcPr/>
                <w:p>
                  <w:pPr>
                    <w:pStyle w:val="Compact"/>
                    <w:jc w:val="left"/>
                    <w:jc w:val="center"/>
                  </w:pPr>
                  <w:r>
                    <w:t xml:space="preserve">multifractal reanalysis of</w:t>
                  </w:r>
                  <w:r>
                    <w:t xml:space="preserve"> </w:t>
                  </w:r>
                  <w:r>
                    <w:t xml:space="preserve">(Alle Meije Wink et al. 2006)</w:t>
                  </w:r>
                </w:p>
              </w:tc>
            </w:tr>
            <w:tr>
              <w:tc>
                <w:tcPr/>
                <w:p>
                  <w:pPr>
                    <w:pStyle w:val="Compact"/>
                    <w:jc w:val="left"/>
                    <w:jc w:val="center"/>
                  </w:pPr>
                  <w:r>
                    <w:t xml:space="preserve">Tetereva et al. (2020)</w:t>
                  </w:r>
                </w:p>
              </w:tc>
              <w:tc>
                <w:tcPr/>
                <w:p>
                  <w:pPr>
                    <w:pStyle w:val="Compact"/>
                    <w:jc w:val="left"/>
                    <w:jc w:val="center"/>
                  </w:pPr>
                  <w:r>
                    <w:t xml:space="preserve">23</w:t>
                  </w:r>
                </w:p>
              </w:tc>
              <w:tc>
                <w:tcPr/>
                <w:p>
                  <w:pPr>
                    <w:pStyle w:val="Compact"/>
                    <w:jc w:val="left"/>
                    <w:jc w:val="center"/>
                  </w:pPr>
                  <w:r>
                    <w:t xml:space="preserve">mean 23.9</w:t>
                  </w:r>
                </w:p>
              </w:tc>
              <w:tc>
                <w:tcPr/>
                <w:p>
                  <w:pPr>
                    <w:pStyle w:val="Compact"/>
                    <w:jc w:val="left"/>
                    <w:jc w:val="center"/>
                  </w:pPr>
                  <w:r>
                    <w:t xml:space="preserve">DFA</w:t>
                  </w:r>
                </w:p>
              </w:tc>
              <w:tc>
                <w:tcPr/>
                <w:p>
                  <w:pPr>
                    <w:pStyle w:val="Compact"/>
                    <w:jc w:val="left"/>
                    <w:jc w:val="center"/>
                  </w:pPr>
                  <w:r>
                    <w:t xml:space="preserve">300</w:t>
                  </w:r>
                </w:p>
              </w:tc>
              <w:tc>
                <w:tcPr/>
                <w:p>
                  <w:pPr>
                    <w:pStyle w:val="Compact"/>
                    <w:jc w:val="left"/>
                    <w:jc w:val="center"/>
                  </w:pPr>
                  <w:r>
                    <w:t xml:space="preserve">2</w:t>
                  </w:r>
                </w:p>
              </w:tc>
              <w:tc>
                <w:tcPr/>
                <w:p>
                  <w:pPr>
                    <w:pStyle w:val="Compact"/>
                    <w:jc w:val="left"/>
                    <w:jc w:val="center"/>
                  </w:pPr>
                  <w:r>
                    <w:t xml:space="preserve">fear:</w:t>
                  </w:r>
                  <w:r>
                    <w:t xml:space="preserve"> </w:t>
                  </w:r>
                  <m:oMath>
                    <m:r>
                      <m:rPr>
                        <m:sty m:val="p"/>
                      </m:rPr>
                      <m:t>↓</m:t>
                    </m:r>
                  </m:oMath>
                  <w:r>
                    <w:t xml:space="preserve"> </w:t>
                  </w:r>
                  <w:r>
                    <w:t xml:space="preserve">H then</w:t>
                  </w:r>
                  <w:r>
                    <w:t xml:space="preserve"> </w:t>
                  </w:r>
                  <m:oMath>
                    <m:r>
                      <m:rPr>
                        <m:sty m:val="p"/>
                      </m:rPr>
                      <m:t>↑</m:t>
                    </m:r>
                  </m:oMath>
                  <w:r>
                    <w:t xml:space="preserve"> </w:t>
                  </w:r>
                  <w:r>
                    <w:t xml:space="preserve">H</w:t>
                  </w:r>
                </w:p>
              </w:tc>
            </w:tr>
            <w:tr>
              <w:tc>
                <w:tcPr/>
                <w:p>
                  <w:pPr>
                    <w:pStyle w:val="Compact"/>
                    <w:jc w:val="left"/>
                    <w:jc w:val="center"/>
                  </w:pPr>
                  <w:r>
                    <w:t xml:space="preserve">Uscătescu et al. (2022)</w:t>
                  </w:r>
                </w:p>
              </w:tc>
              <w:tc>
                <w:tcPr/>
                <w:p>
                  <w:pPr>
                    <w:pStyle w:val="Compact"/>
                    <w:jc w:val="left"/>
                    <w:jc w:val="center"/>
                  </w:pPr>
                  <w:r>
                    <w:t xml:space="preserve">124 (55 TD; 30 AT; 39 SZ)</w:t>
                  </w:r>
                </w:p>
              </w:tc>
              <w:tc>
                <w:tcPr/>
                <w:p>
                  <w:pPr>
                    <w:pStyle w:val="Compact"/>
                    <w:jc w:val="left"/>
                    <w:jc w:val="center"/>
                  </w:pPr>
                  <w:r>
                    <w:t xml:space="preserve">?</w:t>
                  </w:r>
                </w:p>
              </w:tc>
              <w:tc>
                <w:tcPr/>
                <w:p>
                  <w:pPr>
                    <w:pStyle w:val="Compact"/>
                    <w:jc w:val="left"/>
                    <w:jc w:val="center"/>
                  </w:pPr>
                  <w:r>
                    <w:t xml:space="preserve">Wavelet</w:t>
                  </w:r>
                </w:p>
              </w:tc>
              <w:tc>
                <w:tcPr/>
                <w:p>
                  <w:pPr>
                    <w:pStyle w:val="Compact"/>
                    <w:jc w:val="left"/>
                    <w:jc w:val="center"/>
                  </w:pPr>
                  <w:r>
                    <w:t xml:space="preserve">947?</w:t>
                  </w:r>
                </w:p>
              </w:tc>
              <w:tc>
                <w:tcPr/>
                <w:p>
                  <w:pPr>
                    <w:pStyle w:val="Compact"/>
                    <w:jc w:val="left"/>
                    <w:jc w:val="center"/>
                  </w:pPr>
                  <w:r>
                    <w:t xml:space="preserve">0.475</w:t>
                  </w:r>
                </w:p>
              </w:tc>
              <w:tc>
                <w:tcPr/>
                <w:p>
                  <w:pPr>
                    <w:pStyle w:val="Compact"/>
                    <w:jc w:val="left"/>
                    <w:jc w:val="center"/>
                  </w:pPr>
                  <w:r>
                    <w:t xml:space="preserve">ASD and SZ:</w:t>
                  </w:r>
                  <w:r>
                    <w:t xml:space="preserve"> </w:t>
                  </w:r>
                  <m:oMath>
                    <m:r>
                      <m:rPr>
                        <m:sty m:val="p"/>
                      </m:rPr>
                      <m:t>↓</m:t>
                    </m:r>
                  </m:oMath>
                  <w:r>
                    <w:t xml:space="preserve"> </w:t>
                  </w:r>
                  <w:r>
                    <w:t xml:space="preserve">H</w:t>
                  </w:r>
                </w:p>
              </w:tc>
            </w:tr>
            <w:tr>
              <w:tc>
                <w:tcPr/>
                <w:p>
                  <w:pPr>
                    <w:pStyle w:val="Compact"/>
                    <w:jc w:val="left"/>
                    <w:jc w:val="center"/>
                  </w:pPr>
                  <w:r>
                    <w:t xml:space="preserve">Varley et al. (2020)</w:t>
                  </w:r>
                </w:p>
              </w:tc>
              <w:tc>
                <w:tcPr/>
                <w:p>
                  <w:pPr>
                    <w:pStyle w:val="Compact"/>
                    <w:jc w:val="left"/>
                    <w:jc w:val="center"/>
                  </w:pPr>
                  <w:r>
                    <w:t xml:space="preserve">33 (15 HC; 10 min conscious; 8 veg)</w:t>
                  </w:r>
                </w:p>
              </w:tc>
              <w:tc>
                <w:tcPr/>
                <w:p>
                  <w:pPr>
                    <w:pStyle w:val="Compact"/>
                    <w:jc w:val="left"/>
                    <w:jc w:val="center"/>
                  </w:pPr>
                  <w:r>
                    <w:t xml:space="preserve">?</w:t>
                  </w:r>
                </w:p>
              </w:tc>
              <w:tc>
                <w:tcPr/>
                <w:p>
                  <w:pPr>
                    <w:pStyle w:val="Compact"/>
                    <w:jc w:val="left"/>
                    <w:jc w:val="center"/>
                  </w:pPr>
                  <w:r>
                    <w:t xml:space="preserve">HFD</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Lower consciousness:</w:t>
                  </w:r>
                  <w:r>
                    <w:t xml:space="preserve"> </w:t>
                  </w:r>
                  <m:oMath>
                    <m:r>
                      <m:rPr>
                        <m:sty m:val="p"/>
                      </m:rPr>
                      <m:t>↓</m:t>
                    </m:r>
                  </m:oMath>
                  <w:r>
                    <w:t xml:space="preserve"> </w:t>
                  </w:r>
                  <w:r>
                    <w:t xml:space="preserve">H</w:t>
                  </w:r>
                </w:p>
              </w:tc>
            </w:tr>
            <w:tr>
              <w:tc>
                <w:tcPr/>
                <w:p>
                  <w:pPr>
                    <w:pStyle w:val="Compact"/>
                    <w:jc w:val="left"/>
                    <w:jc w:val="center"/>
                  </w:pPr>
                  <w:r>
                    <w:t xml:space="preserve">Von Wegner, Laufs, and Tagliazucchi (2018)</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Wavelet, DFA</w:t>
                  </w:r>
                </w:p>
              </w:tc>
              <w:tc>
                <w:tcPr/>
                <w:p>
                  <w:pPr>
                    <w:pStyle w:val="Compact"/>
                    <w:jc w:val="left"/>
                    <w:jc w:val="center"/>
                  </w:pPr>
                  <w:r>
                    <w:t xml:space="preserve">1500</w:t>
                  </w:r>
                </w:p>
              </w:tc>
              <w:tc>
                <w:tcPr/>
                <w:p>
                  <w:pPr>
                    <w:pStyle w:val="Compact"/>
                    <w:jc w:val="left"/>
                    <w:jc w:val="center"/>
                  </w:pPr>
                  <w:r>
                    <w:t xml:space="preserve">2.08</w:t>
                  </w:r>
                </w:p>
              </w:tc>
              <w:tc>
                <w:tcPr/>
                <w:p>
                  <w:pPr>
                    <w:pStyle w:val="Compact"/>
                    <w:jc w:val="left"/>
                    <w:jc w:val="center"/>
                  </w:pPr>
                  <w:r>
                    <w:t xml:space="preserve">multiscale variance effects produce Hurst phenomena without long-range dependence</w:t>
                  </w:r>
                </w:p>
              </w:tc>
            </w:tr>
            <w:tr>
              <w:tc>
                <w:tcPr/>
                <w:p>
                  <w:pPr>
                    <w:pStyle w:val="Compact"/>
                    <w:jc w:val="left"/>
                    <w:jc w:val="center"/>
                  </w:pPr>
                  <w:r>
                    <w:t xml:space="preserve">Warsi, Molloy, and Noseworthy (2012)</w:t>
                  </w:r>
                </w:p>
              </w:tc>
              <w:tc>
                <w:tcPr/>
                <w:p>
                  <w:pPr>
                    <w:pStyle w:val="Compact"/>
                    <w:jc w:val="left"/>
                    <w:jc w:val="center"/>
                  </w:pPr>
                  <w:r>
                    <w:t xml:space="preserve">46 (33 AD; 13 HC)</w:t>
                  </w:r>
                </w:p>
              </w:tc>
              <w:tc>
                <w:tcPr/>
                <w:p>
                  <w:pPr>
                    <w:pStyle w:val="Compact"/>
                    <w:jc w:val="left"/>
                    <w:jc w:val="center"/>
                  </w:pPr>
                  <w:r>
                    <w:t xml:space="preserve">?</w:t>
                  </w:r>
                </w:p>
              </w:tc>
              <w:tc>
                <w:tcPr/>
                <w:p>
                  <w:pPr>
                    <w:pStyle w:val="Compact"/>
                    <w:jc w:val="left"/>
                    <w:jc w:val="center"/>
                  </w:pPr>
                  <w:r>
                    <w:t xml:space="preserve">PSD, RD</w:t>
                  </w:r>
                </w:p>
              </w:tc>
              <w:tc>
                <w:tcPr/>
                <w:p>
                  <w:pPr>
                    <w:pStyle w:val="Compact"/>
                    <w:jc w:val="left"/>
                    <w:jc w:val="center"/>
                  </w:pPr>
                  <w:r>
                    <w:t xml:space="preserve">2,400</w:t>
                  </w:r>
                </w:p>
              </w:tc>
              <w:tc>
                <w:tcPr/>
                <w:p>
                  <w:pPr>
                    <w:pStyle w:val="Compact"/>
                    <w:jc w:val="left"/>
                    <w:jc w:val="center"/>
                  </w:pPr>
                  <w:r>
                    <w:t xml:space="preserve">0.25</w:t>
                  </w:r>
                </w:p>
              </w:tc>
              <w:tc>
                <w:tcPr/>
                <w:p>
                  <w:pPr>
                    <w:pStyle w:val="Compact"/>
                    <w:jc w:val="left"/>
                    <w:jc w:val="center"/>
                  </w:pPr>
                  <w:r>
                    <w:t xml:space="preserve">AD:</w:t>
                  </w:r>
                  <w:r>
                    <w:t xml:space="preserve"> </w:t>
                  </w:r>
                  <m:oMath>
                    <m:r>
                      <m:rPr>
                        <m:sty m:val="p"/>
                      </m:rPr>
                      <m:t>↑</m:t>
                    </m:r>
                  </m:oMath>
                  <w:r>
                    <w:t xml:space="preserve"> </w:t>
                  </w:r>
                  <w:r>
                    <w:t xml:space="preserve">H</w:t>
                  </w:r>
                </w:p>
              </w:tc>
            </w:tr>
            <w:tr>
              <w:tc>
                <w:tcPr/>
                <w:p>
                  <w:pPr>
                    <w:pStyle w:val="Compact"/>
                    <w:jc w:val="left"/>
                    <w:jc w:val="center"/>
                  </w:pPr>
                  <w:r>
                    <w:t xml:space="preserve">Weber, Soreni, and Noseworthy (2014)</w:t>
                  </w:r>
                </w:p>
              </w:tc>
              <w:tc>
                <w:tcPr/>
                <w:p>
                  <w:pPr>
                    <w:pStyle w:val="Compact"/>
                    <w:jc w:val="left"/>
                    <w:jc w:val="center"/>
                  </w:pPr>
                  <w:r>
                    <w:t xml:space="preserve">14</w:t>
                  </w:r>
                </w:p>
              </w:tc>
              <w:tc>
                <w:tcPr/>
                <w:p>
                  <w:pPr>
                    <w:pStyle w:val="Compact"/>
                    <w:jc w:val="left"/>
                    <w:jc w:val="center"/>
                  </w:pPr>
                  <w:r>
                    <w:t xml:space="preserve">22-38</w:t>
                  </w:r>
                </w:p>
              </w:tc>
              <w:tc>
                <w:tcPr/>
                <w:p>
                  <w:pPr>
                    <w:pStyle w:val="Compact"/>
                    <w:jc w:val="left"/>
                    <w:jc w:val="center"/>
                  </w:pPr>
                  <w:r>
                    <w:t xml:space="preserve">Wavelet</w:t>
                  </w:r>
                </w:p>
              </w:tc>
              <w:tc>
                <w:tcPr/>
                <w:p>
                  <w:pPr>
                    <w:pStyle w:val="Compact"/>
                    <w:jc w:val="left"/>
                    <w:jc w:val="center"/>
                  </w:pPr>
                  <w:r>
                    <w:t xml:space="preserve">512</w:t>
                  </w:r>
                </w:p>
              </w:tc>
              <w:tc>
                <w:tcPr/>
                <w:p>
                  <w:pPr>
                    <w:pStyle w:val="Compact"/>
                    <w:jc w:val="left"/>
                    <w:jc w:val="center"/>
                  </w:pPr>
                  <w:r>
                    <w:t xml:space="preserve">2</w:t>
                  </w:r>
                </w:p>
              </w:tc>
              <w:tc>
                <w:tcPr/>
                <w:p>
                  <w:pPr>
                    <w:pStyle w:val="Compact"/>
                    <w:jc w:val="left"/>
                    <w:jc w:val="center"/>
                  </w:pPr>
                  <w:r>
                    <w:t xml:space="preserve">acute alcohol intoxication: mix of</w:t>
                  </w:r>
                  <w:r>
                    <w:t xml:space="preserve"> </w:t>
                  </w:r>
                  <m:oMath>
                    <m:r>
                      <m:t>u</m:t>
                    </m:r>
                    <m:r>
                      <m:t>p</m:t>
                    </m:r>
                    <m:r>
                      <m:t>a</m:t>
                    </m:r>
                    <m:r>
                      <m:t>r</m:t>
                    </m:r>
                    <m:r>
                      <m:t>r</m:t>
                    </m:r>
                    <m:r>
                      <m:t>o</m:t>
                    </m:r>
                    <m:r>
                      <m:t>w</m:t>
                    </m:r>
                  </m:oMath>
                  <w:r>
                    <w:t xml:space="preserve"> </w:t>
                  </w:r>
                  <w:r>
                    <w:t xml:space="preserve">and</w:t>
                  </w:r>
                  <w:r>
                    <w:t xml:space="preserve"> </w:t>
                  </w:r>
                  <m:oMath>
                    <m:r>
                      <m:t>d</m:t>
                    </m:r>
                    <m:r>
                      <m:t>o</m:t>
                    </m:r>
                    <m:r>
                      <m:t>w</m:t>
                    </m:r>
                    <m:r>
                      <m:t>n</m:t>
                    </m:r>
                    <m:r>
                      <m:t>a</m:t>
                    </m:r>
                    <m:r>
                      <m:t>r</m:t>
                    </m:r>
                    <m:r>
                      <m:t>r</m:t>
                    </m:r>
                    <m:r>
                      <m:t>o</m:t>
                    </m:r>
                    <m:r>
                      <m:t>w</m:t>
                    </m:r>
                  </m:oMath>
                  <w:r>
                    <w:t xml:space="preserve"> </w:t>
                  </w:r>
                  <w:r>
                    <w:t xml:space="preserve">H</w:t>
                  </w:r>
                </w:p>
              </w:tc>
            </w:tr>
            <w:tr>
              <w:tc>
                <w:tcPr/>
                <w:p>
                  <w:pPr>
                    <w:pStyle w:val="Compact"/>
                    <w:jc w:val="left"/>
                    <w:jc w:val="center"/>
                  </w:pPr>
                  <w:r>
                    <w:t xml:space="preserve">Alle Meije Wink et al. (2006)</w:t>
                  </w:r>
                </w:p>
              </w:tc>
              <w:tc>
                <w:tcPr/>
                <w:p>
                  <w:pPr>
                    <w:pStyle w:val="Compact"/>
                    <w:jc w:val="left"/>
                    <w:jc w:val="center"/>
                  </w:pPr>
                  <w:r>
                    <w:t xml:space="preserve">22 (11 old; 11 young)</w:t>
                  </w:r>
                </w:p>
              </w:tc>
              <w:tc>
                <w:tcPr/>
                <w:p>
                  <w:pPr>
                    <w:pStyle w:val="Compact"/>
                    <w:jc w:val="left"/>
                    <w:jc w:val="center"/>
                  </w:pPr>
                  <w:r>
                    <w:t xml:space="preserve">22 and 65</w:t>
                  </w:r>
                </w:p>
              </w:tc>
              <w:tc>
                <w:tcPr/>
                <w:p>
                  <w:pPr>
                    <w:pStyle w:val="Compact"/>
                    <w:jc w:val="left"/>
                    <w:jc w:val="center"/>
                  </w:pPr>
                  <w:r>
                    <w:t xml:space="preserve">MLW</w:t>
                  </w:r>
                </w:p>
              </w:tc>
              <w:tc>
                <w:tcPr/>
                <w:p>
                  <w:pPr>
                    <w:pStyle w:val="Compact"/>
                    <w:jc w:val="left"/>
                    <w:jc w:val="center"/>
                  </w:pPr>
                  <w:r>
                    <w:t xml:space="preserve">512</w:t>
                  </w:r>
                </w:p>
              </w:tc>
              <w:tc>
                <w:tcPr/>
                <w:p>
                  <w:pPr>
                    <w:pStyle w:val="Compact"/>
                    <w:jc w:val="left"/>
                    <w:jc w:val="center"/>
                  </w:pPr>
                  <w:r>
                    <w:t xml:space="preserve">1.1</w:t>
                  </w:r>
                </w:p>
              </w:tc>
              <w:tc>
                <w:tcPr/>
                <w:p>
                  <w:pPr>
                    <w:pStyle w:val="Compact"/>
                    <w:jc w:val="left"/>
                    <w:jc w:val="center"/>
                  </w:pPr>
                  <w:r>
                    <w:t xml:space="preserve">age:</w:t>
                  </w:r>
                  <w:r>
                    <w:t xml:space="preserve"> </w:t>
                  </w:r>
                  <m:oMath>
                    <m:r>
                      <m:rPr>
                        <m:sty m:val="p"/>
                      </m:rPr>
                      <m:t>↑</m:t>
                    </m:r>
                  </m:oMath>
                  <w:r>
                    <w:t xml:space="preserve"> </w:t>
                  </w:r>
                  <w:r>
                    <w:t xml:space="preserve">H in bilateral hippocampus; scopolamine:</w:t>
                  </w:r>
                  <w:r>
                    <w:t xml:space="preserve"> </w:t>
                  </w:r>
                  <m:oMath>
                    <m:r>
                      <m:rPr>
                        <m:sty m:val="p"/>
                      </m:rPr>
                      <m:t>↑</m:t>
                    </m:r>
                  </m:oMath>
                  <w:r>
                    <w:t xml:space="preserve"> </w:t>
                  </w:r>
                  <w:r>
                    <w:t xml:space="preserve">H; faster task:</w:t>
                  </w:r>
                  <w:r>
                    <w:t xml:space="preserve"> </w:t>
                  </w:r>
                  <m:oMath>
                    <m:r>
                      <m:rPr>
                        <m:sty m:val="p"/>
                      </m:rPr>
                      <m:t>↑</m:t>
                    </m:r>
                  </m:oMath>
                  <w:r>
                    <w:t xml:space="preserve"> </w:t>
                  </w:r>
                  <w:r>
                    <w:t xml:space="preserve">H</w:t>
                  </w:r>
                </w:p>
              </w:tc>
            </w:tr>
            <w:tr>
              <w:tc>
                <w:tcPr/>
                <w:p>
                  <w:pPr>
                    <w:pStyle w:val="Compact"/>
                    <w:jc w:val="left"/>
                    <w:jc w:val="center"/>
                  </w:pPr>
                  <w:r>
                    <w:t xml:space="preserve">Alle-Meije Wink et al. (2008)</w:t>
                  </w:r>
                </w:p>
              </w:tc>
              <w:tc>
                <w:tcPr/>
                <w:p>
                  <w:pPr>
                    <w:pStyle w:val="Compact"/>
                    <w:jc w:val="left"/>
                    <w:jc w:val="center"/>
                  </w:pPr>
                  <w:r>
                    <w:t xml:space="preserve">11</w:t>
                  </w:r>
                </w:p>
              </w:tc>
              <w:tc>
                <w:tcPr/>
                <w:p>
                  <w:pPr>
                    <w:pStyle w:val="Compact"/>
                    <w:jc w:val="left"/>
                    <w:jc w:val="center"/>
                  </w:pPr>
                  <w:r>
                    <w:t xml:space="preserve">mean 35</w:t>
                  </w:r>
                  <w:r>
                    <w:t xml:space="preserve"> </w:t>
                  </w:r>
                  <m:oMath>
                    <m:r>
                      <m:rPr>
                        <m:sty m:val="p"/>
                      </m:rPr>
                      <m:t>±</m:t>
                    </m:r>
                  </m:oMath>
                  <w:r>
                    <w:t xml:space="preserve"> </w:t>
                  </w:r>
                  <w:r>
                    <w:t xml:space="preserve">10</w:t>
                  </w:r>
                </w:p>
              </w:tc>
              <w:tc>
                <w:tcPr/>
                <w:p>
                  <w:pPr>
                    <w:pStyle w:val="Compact"/>
                    <w:jc w:val="left"/>
                    <w:jc w:val="center"/>
                  </w:pPr>
                  <w:r>
                    <w:t xml:space="preserve">Wavelet</w:t>
                  </w:r>
                </w:p>
              </w:tc>
              <w:tc>
                <w:tcPr/>
                <w:p>
                  <w:pPr>
                    <w:pStyle w:val="Compact"/>
                    <w:jc w:val="left"/>
                    <w:jc w:val="center"/>
                  </w:pPr>
                  <w:r>
                    <w:t xml:space="preserve">136</w:t>
                  </w:r>
                </w:p>
              </w:tc>
              <w:tc>
                <w:tcPr/>
                <w:p>
                  <w:pPr>
                    <w:pStyle w:val="Compact"/>
                    <w:jc w:val="left"/>
                    <w:jc w:val="center"/>
                  </w:pPr>
                  <w:r>
                    <w:t xml:space="preserve">1.1</w:t>
                  </w:r>
                </w:p>
              </w:tc>
              <w:tc>
                <w:tcPr/>
                <w:p>
                  <w:pPr>
                    <w:pStyle w:val="Compact"/>
                    <w:jc w:val="left"/>
                    <w:jc w:val="center"/>
                  </w:pPr>
                  <w:r>
                    <w:t xml:space="preserve">latency in fame decision task:</w:t>
                  </w:r>
                  <w:r>
                    <w:t xml:space="preserve"> </w:t>
                  </w:r>
                  <m:oMath>
                    <m:r>
                      <m:rPr>
                        <m:sty m:val="p"/>
                      </m:rPr>
                      <m:t>↓</m:t>
                    </m:r>
                  </m:oMath>
                  <w:r>
                    <w:t xml:space="preserve"> </w:t>
                  </w:r>
                  <w:r>
                    <w:t xml:space="preserve">H</w:t>
                  </w:r>
                </w:p>
              </w:tc>
            </w:tr>
            <w:tr>
              <w:tc>
                <w:tcPr/>
                <w:p>
                  <w:pPr>
                    <w:pStyle w:val="Compact"/>
                    <w:jc w:val="left"/>
                    <w:jc w:val="center"/>
                  </w:pPr>
                  <w:r>
                    <w:t xml:space="preserve">Xie et al. (2024)</w:t>
                  </w:r>
                </w:p>
              </w:tc>
              <w:tc>
                <w:tcPr/>
                <w:p>
                  <w:pPr>
                    <w:pStyle w:val="Compact"/>
                    <w:jc w:val="left"/>
                    <w:jc w:val="center"/>
                  </w:pPr>
                  <w:r>
                    <w:t xml:space="preserve">70</w:t>
                  </w:r>
                </w:p>
              </w:tc>
              <w:tc>
                <w:tcPr/>
                <w:p>
                  <w:pPr>
                    <w:pStyle w:val="Compact"/>
                    <w:jc w:val="left"/>
                    <w:jc w:val="center"/>
                  </w:pPr>
                  <w:r>
                    <w:t xml:space="preserve">?</w:t>
                  </w:r>
                </w:p>
              </w:tc>
              <w:tc>
                <w:tcPr/>
                <w:p>
                  <w:pPr>
                    <w:pStyle w:val="Compact"/>
                    <w:jc w:val="left"/>
                    <w:jc w:val="center"/>
                  </w:pPr>
                  <w:r>
                    <w:t xml:space="preserve">Wavelet</w:t>
                  </w:r>
                </w:p>
              </w:tc>
              <w:tc>
                <w:tcPr/>
                <w:p>
                  <w:pPr>
                    <w:pStyle w:val="Compact"/>
                    <w:jc w:val="left"/>
                    <w:jc w:val="center"/>
                  </w:pPr>
                  <w:r>
                    <w:t xml:space="preserve">700</w:t>
                  </w:r>
                </w:p>
              </w:tc>
              <w:tc>
                <w:tcPr/>
                <w:p>
                  <w:pPr>
                    <w:pStyle w:val="Compact"/>
                    <w:jc w:val="left"/>
                    <w:jc w:val="center"/>
                  </w:pPr>
                  <w:r>
                    <w:t xml:space="preserve">0.6</w:t>
                  </w:r>
                </w:p>
              </w:tc>
              <w:tc>
                <w:tcPr/>
                <w:p>
                  <w:pPr>
                    <w:pStyle w:val="Compact"/>
                    <w:jc w:val="left"/>
                    <w:jc w:val="center"/>
                  </w:pPr>
                  <w:r>
                    <w:t xml:space="preserve">pharmaco-resistant TLE:</w:t>
                  </w:r>
                  <w:r>
                    <w:t xml:space="preserve"> </w:t>
                  </w:r>
                  <m:oMath>
                    <m:r>
                      <m:rPr>
                        <m:sty m:val="p"/>
                      </m:rPr>
                      <m:t>↓</m:t>
                    </m:r>
                  </m:oMath>
                  <w:r>
                    <w:t xml:space="preserve"> </w:t>
                  </w:r>
                  <w:r>
                    <w:t xml:space="preserve">H</w:t>
                  </w:r>
                </w:p>
              </w:tc>
            </w:tr>
          </w:tbl>
          <w:bookmarkEnd w:id="52"/>
          <w:p/>
        </w:tc>
      </w:tr>
    </w:tbl>
    <w:bookmarkEnd w:id="53"/>
    <w:bookmarkStart w:id="144" w:name="references"/>
    <w:p>
      <w:pPr>
        <w:pStyle w:val="Heading2"/>
      </w:pPr>
      <w:r>
        <w:t xml:space="preserve">References</w:t>
      </w:r>
    </w:p>
    <w:bookmarkStart w:id="143" w:name="refs"/>
    <w:bookmarkStart w:id="55" w:name="ref-akhrifFractalAnalysisBOLD2018"/>
    <w:p>
      <w:pPr>
        <w:pStyle w:val="Bibliography"/>
      </w:pPr>
      <w:r>
        <w:t xml:space="preserve">Akhrif, Atae, Marcel Romanos, Katharina Domschke, Angelika Schmitt-Boehrer, and Susanne Neufang. 2018.</w:t>
      </w:r>
      <w:r>
        <w:t xml:space="preserve"> </w:t>
      </w:r>
      <w:r>
        <w:t xml:space="preserve">“Fractal</w:t>
      </w:r>
      <w:r>
        <w:t xml:space="preserve"> </w:t>
      </w:r>
      <w:r>
        <w:t xml:space="preserve">Analysis</w:t>
      </w:r>
      <w:r>
        <w:t xml:space="preserve"> </w:t>
      </w:r>
      <w:r>
        <w:t xml:space="preserve">of</w:t>
      </w:r>
      <w:r>
        <w:t xml:space="preserve"> </w:t>
      </w:r>
      <w:r>
        <w:t xml:space="preserve">BOLD Time Series</w:t>
      </w:r>
      <w:r>
        <w:t xml:space="preserve"> </w:t>
      </w:r>
      <w:r>
        <w:t xml:space="preserve">in a</w:t>
      </w:r>
      <w:r>
        <w:t xml:space="preserve"> </w:t>
      </w:r>
      <w:r>
        <w:t xml:space="preserve">Network Associated With Waiting Impulsivity</w:t>
      </w:r>
      <w:r>
        <w:t xml:space="preserve">.”</w:t>
      </w:r>
      <w:r>
        <w:t xml:space="preserve"> </w:t>
      </w:r>
      <w:r>
        <w:rPr>
          <w:i/>
          <w:iCs/>
        </w:rPr>
        <w:t xml:space="preserve">Frontiers in Physiology</w:t>
      </w:r>
      <w:r>
        <w:t xml:space="preserve"> </w:t>
      </w:r>
      <w:r>
        <w:t xml:space="preserve">9 (October): 1378.</w:t>
      </w:r>
      <w:r>
        <w:t xml:space="preserve"> </w:t>
      </w:r>
      <w:hyperlink r:id="rId54">
        <w:r>
          <w:rPr>
            <w:rStyle w:val="Hyperlink"/>
          </w:rPr>
          <w:t xml:space="preserve">https://doi.org/10.3389/fphys.2018.01378</w:t>
        </w:r>
      </w:hyperlink>
      <w:r>
        <w:t xml:space="preserve">.</w:t>
      </w:r>
    </w:p>
    <w:bookmarkEnd w:id="55"/>
    <w:bookmarkStart w:id="57" w:name="ref-barnesEndogenousHumanBrain2009"/>
    <w:p>
      <w:pPr>
        <w:pStyle w:val="Bibliography"/>
      </w:pPr>
      <w:r>
        <w:t xml:space="preserve">Barnes, Anna, Edward T. Bullmore, and John Suckling. 2009.</w:t>
      </w:r>
      <w:r>
        <w:t xml:space="preserve"> </w:t>
      </w:r>
      <w:r>
        <w:t xml:space="preserve">“Endogenous</w:t>
      </w:r>
      <w:r>
        <w:t xml:space="preserve"> </w:t>
      </w:r>
      <w:r>
        <w:t xml:space="preserve">Human Brain Dynamics Recover Slowly Following Cognitive Effort</w:t>
      </w:r>
      <w:r>
        <w:t xml:space="preserve">.”</w:t>
      </w:r>
      <w:r>
        <w:t xml:space="preserve"> </w:t>
      </w:r>
      <w:r>
        <w:t xml:space="preserve">Edited by Björn Brembs.</w:t>
      </w:r>
      <w:r>
        <w:t xml:space="preserve"> </w:t>
      </w:r>
      <w:r>
        <w:rPr>
          <w:i/>
          <w:iCs/>
        </w:rPr>
        <w:t xml:space="preserve">PLoS ONE</w:t>
      </w:r>
      <w:r>
        <w:t xml:space="preserve"> </w:t>
      </w:r>
      <w:r>
        <w:t xml:space="preserve">4 (8): e6626.</w:t>
      </w:r>
      <w:r>
        <w:t xml:space="preserve"> </w:t>
      </w:r>
      <w:hyperlink r:id="rId56">
        <w:r>
          <w:rPr>
            <w:rStyle w:val="Hyperlink"/>
          </w:rPr>
          <w:t xml:space="preserve">https://doi.org/10.1371/journal.pone.0006626</w:t>
        </w:r>
      </w:hyperlink>
      <w:r>
        <w:t xml:space="preserve">.</w:t>
      </w:r>
    </w:p>
    <w:bookmarkEnd w:id="57"/>
    <w:bookmarkStart w:id="58" w:name="ref-beggsCortexCriticalPoint2022"/>
    <w:p>
      <w:pPr>
        <w:pStyle w:val="Bibliography"/>
      </w:pPr>
      <w:r>
        <w:t xml:space="preserve">Beggs, John M. 2022.</w:t>
      </w:r>
      <w:r>
        <w:t xml:space="preserve"> </w:t>
      </w:r>
      <w:r>
        <w:rPr>
          <w:i/>
          <w:iCs/>
        </w:rPr>
        <w:t xml:space="preserve">The</w:t>
      </w:r>
      <w:r>
        <w:rPr>
          <w:i/>
          <w:iCs/>
        </w:rPr>
        <w:t xml:space="preserve"> </w:t>
      </w:r>
      <w:r>
        <w:rPr>
          <w:i/>
          <w:iCs/>
        </w:rPr>
        <w:t xml:space="preserve">Cortex</w:t>
      </w:r>
      <w:r>
        <w:rPr>
          <w:i/>
          <w:iCs/>
        </w:rPr>
        <w:t xml:space="preserve"> </w:t>
      </w:r>
      <w:r>
        <w:rPr>
          <w:i/>
          <w:iCs/>
        </w:rPr>
        <w:t xml:space="preserve">and the</w:t>
      </w:r>
      <w:r>
        <w:rPr>
          <w:i/>
          <w:iCs/>
        </w:rPr>
        <w:t xml:space="preserve"> </w:t>
      </w:r>
      <w:r>
        <w:rPr>
          <w:i/>
          <w:iCs/>
        </w:rPr>
        <w:t xml:space="preserve">Critical Point</w:t>
      </w:r>
      <w:r>
        <w:t xml:space="preserve">. 1st ed. Cambridge, MA: MIT Press Direct.</w:t>
      </w:r>
    </w:p>
    <w:bookmarkEnd w:id="58"/>
    <w:bookmarkStart w:id="60" w:name="ref-campbellFractalBasedAnalysisFMRI2022"/>
    <w:p>
      <w:pPr>
        <w:pStyle w:val="Bibliography"/>
      </w:pPr>
      <w:r>
        <w:t xml:space="preserve">Campbell, Olivia, Tamara Vanderwal, and Alexander Mark Weber. 2022.</w:t>
      </w:r>
      <w:r>
        <w:t xml:space="preserve"> </w:t>
      </w:r>
      <w:r>
        <w:t xml:space="preserve">“Fractal-</w:t>
      </w:r>
      <w:r>
        <w:t xml:space="preserve">Based Analysis</w:t>
      </w:r>
      <w:r>
        <w:t xml:space="preserve"> </w:t>
      </w:r>
      <w:r>
        <w:t xml:space="preserve">of</w:t>
      </w:r>
      <w:r>
        <w:t xml:space="preserve"> </w:t>
      </w:r>
      <w:r>
        <w:t xml:space="preserve">fMRI BOLD Signal During Naturalistic Viewing Conditions</w:t>
      </w:r>
      <w:r>
        <w:t xml:space="preserve">.”</w:t>
      </w:r>
      <w:r>
        <w:t xml:space="preserve"> </w:t>
      </w:r>
      <w:r>
        <w:rPr>
          <w:i/>
          <w:iCs/>
        </w:rPr>
        <w:t xml:space="preserve">Frontiers in Physiology</w:t>
      </w:r>
      <w:r>
        <w:t xml:space="preserve"> </w:t>
      </w:r>
      <w:r>
        <w:t xml:space="preserve">12 (January): 809943.</w:t>
      </w:r>
      <w:r>
        <w:t xml:space="preserve"> </w:t>
      </w:r>
      <w:hyperlink r:id="rId59">
        <w:r>
          <w:rPr>
            <w:rStyle w:val="Hyperlink"/>
          </w:rPr>
          <w:t xml:space="preserve">https://doi.org/10.3389/fphys.2021.809943</w:t>
        </w:r>
      </w:hyperlink>
      <w:r>
        <w:t xml:space="preserve">.</w:t>
      </w:r>
    </w:p>
    <w:bookmarkEnd w:id="60"/>
    <w:bookmarkStart w:id="62" w:name="ref-churchillScalefreeBrainDynamics2015"/>
    <w:p>
      <w:pPr>
        <w:pStyle w:val="Bibliography"/>
      </w:pPr>
      <w:r>
        <w:t xml:space="preserve">Churchill, Nathan W., Bernadine Cimprich, Mary K. Askren, Patricia A. Reuter-Lorenz, Mi Sook Jung, Scott Peltier, and Marc G. Berman. 2015.</w:t>
      </w:r>
      <w:r>
        <w:t xml:space="preserve"> </w:t>
      </w:r>
      <w:r>
        <w:t xml:space="preserve">“Scale-Free Brain Dynamics Under Physical and Psychological Distress:</w:t>
      </w:r>
      <w:r>
        <w:t xml:space="preserve"> </w:t>
      </w:r>
      <w:r>
        <w:t xml:space="preserve">Pre</w:t>
      </w:r>
      <w:r>
        <w:t xml:space="preserve">-Treatment Effects in Women Diagnosed with Breast Cancer.”</w:t>
      </w:r>
      <w:r>
        <w:t xml:space="preserve"> </w:t>
      </w:r>
      <w:r>
        <w:rPr>
          <w:i/>
          <w:iCs/>
        </w:rPr>
        <w:t xml:space="preserve">Human Brain Mapping</w:t>
      </w:r>
      <w:r>
        <w:t xml:space="preserve"> </w:t>
      </w:r>
      <w:r>
        <w:t xml:space="preserve">36 (3): 1077–92.</w:t>
      </w:r>
      <w:r>
        <w:t xml:space="preserve"> </w:t>
      </w:r>
      <w:hyperlink r:id="rId61">
        <w:r>
          <w:rPr>
            <w:rStyle w:val="Hyperlink"/>
          </w:rPr>
          <w:t xml:space="preserve">https://doi.org/10.1002/hbm.22687</w:t>
        </w:r>
      </w:hyperlink>
      <w:r>
        <w:t xml:space="preserve">.</w:t>
      </w:r>
    </w:p>
    <w:bookmarkEnd w:id="62"/>
    <w:bookmarkStart w:id="64" w:name="Xafc73dd94de471dc6ce7bfbb5fb85cdff354abb"/>
    <w:p>
      <w:pPr>
        <w:pStyle w:val="Bibliography"/>
      </w:pPr>
      <w:r>
        <w:t xml:space="preserve">Churchill, Nathan W., Robyn Spring, Cheryl Grady, Bernadine Cimprich, Mary K. Askren, Patricia A. Reuter-Lorenz, Mi Sook Jung, Scott Peltier, Stephen C. Strother, and Marc G. Berman. 2016.</w:t>
      </w:r>
      <w:r>
        <w:t xml:space="preserve"> </w:t>
      </w:r>
      <w:r>
        <w:t xml:space="preserve">“The Suppression of Scale-Free</w:t>
      </w:r>
      <w:r>
        <w:t xml:space="preserve"> </w:t>
      </w:r>
      <w:r>
        <w:t xml:space="preserve">fMRI</w:t>
      </w:r>
      <w:r>
        <w:t xml:space="preserve"> </w:t>
      </w:r>
      <w:r>
        <w:t xml:space="preserve">Brain Dynamics Across Three Different Sources of Effort: Aging, Task Novelty and Task Difficulty.”</w:t>
      </w:r>
      <w:r>
        <w:t xml:space="preserve"> </w:t>
      </w:r>
      <w:r>
        <w:rPr>
          <w:i/>
          <w:iCs/>
        </w:rPr>
        <w:t xml:space="preserve">Scientific Reports</w:t>
      </w:r>
      <w:r>
        <w:t xml:space="preserve"> </w:t>
      </w:r>
      <w:r>
        <w:t xml:space="preserve">6 (1): 30895.</w:t>
      </w:r>
      <w:r>
        <w:t xml:space="preserve"> </w:t>
      </w:r>
      <w:hyperlink r:id="rId63">
        <w:r>
          <w:rPr>
            <w:rStyle w:val="Hyperlink"/>
          </w:rPr>
          <w:t xml:space="preserve">https://doi.org/10.1038/srep30895</w:t>
        </w:r>
      </w:hyperlink>
      <w:r>
        <w:t xml:space="preserve">.</w:t>
      </w:r>
    </w:p>
    <w:bookmarkEnd w:id="64"/>
    <w:bookmarkStart w:id="66" w:name="X67f88f309fcd2f4a1598267ccaa3cd1cbb49c50"/>
    <w:p>
      <w:pPr>
        <w:pStyle w:val="Bibliography"/>
      </w:pPr>
      <w:r>
        <w:t xml:space="preserve">Ciuciu, Philippe, Patrice Abry, and Biyu J. He. 2014.</w:t>
      </w:r>
      <w:r>
        <w:t xml:space="preserve"> </w:t>
      </w:r>
      <w:r>
        <w:t xml:space="preserve">“Interplay Between Functional Connectivity and Scale-Free Dynamics in Intrinsic</w:t>
      </w:r>
      <w:r>
        <w:t xml:space="preserve"> </w:t>
      </w:r>
      <w:r>
        <w:t xml:space="preserve">fMRI</w:t>
      </w:r>
      <w:r>
        <w:t xml:space="preserve"> </w:t>
      </w:r>
      <w:r>
        <w:t xml:space="preserve">Networks.”</w:t>
      </w:r>
      <w:r>
        <w:t xml:space="preserve"> </w:t>
      </w:r>
      <w:r>
        <w:rPr>
          <w:i/>
          <w:iCs/>
        </w:rPr>
        <w:t xml:space="preserve">NeuroImage</w:t>
      </w:r>
      <w:r>
        <w:t xml:space="preserve"> </w:t>
      </w:r>
      <w:r>
        <w:t xml:space="preserve">95 (July): 248–63.</w:t>
      </w:r>
      <w:r>
        <w:t xml:space="preserve"> </w:t>
      </w:r>
      <w:hyperlink r:id="rId65">
        <w:r>
          <w:rPr>
            <w:rStyle w:val="Hyperlink"/>
          </w:rPr>
          <w:t xml:space="preserve">https://doi.org/10.1016/j.neuroimage.2014.03.047</w:t>
        </w:r>
      </w:hyperlink>
      <w:r>
        <w:t xml:space="preserve">.</w:t>
      </w:r>
    </w:p>
    <w:bookmarkEnd w:id="66"/>
    <w:bookmarkStart w:id="68" w:name="ref-donaTemporalFractalAnalysis2017"/>
    <w:p>
      <w:pPr>
        <w:pStyle w:val="Bibliography"/>
      </w:pPr>
      <w:r>
        <w:t xml:space="preserve">Dona, Olga, Geoffrey B. Hall, and Michael D. Noseworthy. 2017.</w:t>
      </w:r>
      <w:r>
        <w:t xml:space="preserve"> </w:t>
      </w:r>
      <w:r>
        <w:t xml:space="preserve">“Temporal Fractal Analysis of the Rs-</w:t>
      </w:r>
      <w:r>
        <w:t xml:space="preserve">BOLD</w:t>
      </w:r>
      <w:r>
        <w:t xml:space="preserve"> </w:t>
      </w:r>
      <w:r>
        <w:t xml:space="preserve">Signal Identifies Brain Abnormalities in Autism Spectrum Disorder.”</w:t>
      </w:r>
      <w:r>
        <w:t xml:space="preserve"> </w:t>
      </w:r>
      <w:r>
        <w:t xml:space="preserve">Edited by Satoru Hayasaka.</w:t>
      </w:r>
      <w:r>
        <w:t xml:space="preserve"> </w:t>
      </w:r>
      <w:r>
        <w:rPr>
          <w:i/>
          <w:iCs/>
        </w:rPr>
        <w:t xml:space="preserve">PLOS ONE</w:t>
      </w:r>
      <w:r>
        <w:t xml:space="preserve"> </w:t>
      </w:r>
      <w:r>
        <w:t xml:space="preserve">12 (12): e0190081.</w:t>
      </w:r>
      <w:r>
        <w:t xml:space="preserve"> </w:t>
      </w:r>
      <w:hyperlink r:id="rId67">
        <w:r>
          <w:rPr>
            <w:rStyle w:val="Hyperlink"/>
          </w:rPr>
          <w:t xml:space="preserve">https://doi.org/10.1371/journal.pone.0190081</w:t>
        </w:r>
      </w:hyperlink>
      <w:r>
        <w:t xml:space="preserve">.</w:t>
      </w:r>
    </w:p>
    <w:bookmarkEnd w:id="68"/>
    <w:bookmarkStart w:id="70" w:name="ref-donaFractalAnalysisBrain2017"/>
    <w:p>
      <w:pPr>
        <w:pStyle w:val="Bibliography"/>
      </w:pPr>
      <w:r>
        <w:t xml:space="preserve">Dona, Olga, Michael D. Noseworthy, Carol DeMatteo, and John F. Connolly. 2017.</w:t>
      </w:r>
      <w:r>
        <w:t xml:space="preserve"> </w:t>
      </w:r>
      <w:r>
        <w:t xml:space="preserve">“Fractal</w:t>
      </w:r>
      <w:r>
        <w:t xml:space="preserve"> </w:t>
      </w:r>
      <w:r>
        <w:t xml:space="preserve">Analysis</w:t>
      </w:r>
      <w:r>
        <w:t xml:space="preserve"> </w:t>
      </w:r>
      <w:r>
        <w:t xml:space="preserve">of</w:t>
      </w:r>
      <w:r>
        <w:t xml:space="preserve"> </w:t>
      </w:r>
      <w:r>
        <w:t xml:space="preserve">Brain Blood Oxygenation Level Dependent</w:t>
      </w:r>
      <w:r>
        <w:t xml:space="preserve"> </w:t>
      </w:r>
      <w:r>
        <w:t xml:space="preserve">(</w:t>
      </w:r>
      <w:r>
        <w:t xml:space="preserve">BOLD</w:t>
      </w:r>
      <w:r>
        <w:t xml:space="preserve">)</w:t>
      </w:r>
      <w:r>
        <w:t xml:space="preserve"> </w:t>
      </w:r>
      <w:r>
        <w:t xml:space="preserve">Signals</w:t>
      </w:r>
      <w:r>
        <w:t xml:space="preserve"> </w:t>
      </w:r>
      <w:r>
        <w:t xml:space="preserve">from</w:t>
      </w:r>
      <w:r>
        <w:t xml:space="preserve"> </w:t>
      </w:r>
      <w:r>
        <w:t xml:space="preserve">Children</w:t>
      </w:r>
      <w:r>
        <w:t xml:space="preserve"> </w:t>
      </w:r>
      <w:r>
        <w:t xml:space="preserve">with</w:t>
      </w:r>
      <w:r>
        <w:t xml:space="preserve"> </w:t>
      </w:r>
      <w:r>
        <w:t xml:space="preserve">Mild Traumatic Brain Injury</w:t>
      </w:r>
      <w:r>
        <w:t xml:space="preserve"> </w:t>
      </w:r>
      <w:r>
        <w:t xml:space="preserve">(</w:t>
      </w:r>
      <w:r>
        <w:t xml:space="preserve">mTBI</w:t>
      </w:r>
      <w:r>
        <w:t xml:space="preserve">).”</w:t>
      </w:r>
      <w:r>
        <w:t xml:space="preserve"> </w:t>
      </w:r>
      <w:r>
        <w:t xml:space="preserve">Edited by Radouil Tzekov.</w:t>
      </w:r>
      <w:r>
        <w:t xml:space="preserve"> </w:t>
      </w:r>
      <w:r>
        <w:rPr>
          <w:i/>
          <w:iCs/>
        </w:rPr>
        <w:t xml:space="preserve">PLOS ONE</w:t>
      </w:r>
      <w:r>
        <w:t xml:space="preserve"> </w:t>
      </w:r>
      <w:r>
        <w:t xml:space="preserve">12 (1): e0169647.</w:t>
      </w:r>
      <w:r>
        <w:t xml:space="preserve"> </w:t>
      </w:r>
      <w:hyperlink r:id="rId69">
        <w:r>
          <w:rPr>
            <w:rStyle w:val="Hyperlink"/>
          </w:rPr>
          <w:t xml:space="preserve">https://doi.org/10.1371/journal.pone.0169647</w:t>
        </w:r>
      </w:hyperlink>
      <w:r>
        <w:t xml:space="preserve">.</w:t>
      </w:r>
    </w:p>
    <w:bookmarkEnd w:id="70"/>
    <w:bookmarkStart w:id="72" w:name="ref-dongHurstExponentAnalysis2018"/>
    <w:p>
      <w:pPr>
        <w:pStyle w:val="Bibliography"/>
      </w:pPr>
      <w:r>
        <w:t xml:space="preserve">Dong, Jianxin, Bin Jing, Xiangyu Ma, Han Liu, Xiao Mo, and Haiyun Li. 2018.</w:t>
      </w:r>
      <w:r>
        <w:t xml:space="preserve"> </w:t>
      </w:r>
      <w:r>
        <w:t xml:space="preserve">“Hurst</w:t>
      </w:r>
      <w:r>
        <w:t xml:space="preserve"> </w:t>
      </w:r>
      <w:r>
        <w:t xml:space="preserve">Exponent Analysis</w:t>
      </w:r>
      <w:r>
        <w:t xml:space="preserve"> </w:t>
      </w:r>
      <w:r>
        <w:t xml:space="preserve">of</w:t>
      </w:r>
      <w:r>
        <w:t xml:space="preserve"> </w:t>
      </w:r>
      <w:r>
        <w:t xml:space="preserve">Resting-State fMRI Signal Complexity</w:t>
      </w:r>
      <w:r>
        <w:t xml:space="preserve"> </w:t>
      </w:r>
      <w:r>
        <w:t xml:space="preserve">Across the</w:t>
      </w:r>
      <w:r>
        <w:t xml:space="preserve"> </w:t>
      </w:r>
      <w:r>
        <w:t xml:space="preserve">Adult Lifespan</w:t>
      </w:r>
      <w:r>
        <w:t xml:space="preserve">.”</w:t>
      </w:r>
      <w:r>
        <w:t xml:space="preserve"> </w:t>
      </w:r>
      <w:r>
        <w:rPr>
          <w:i/>
          <w:iCs/>
        </w:rPr>
        <w:t xml:space="preserve">Frontiers in Neuroscience</w:t>
      </w:r>
      <w:r>
        <w:t xml:space="preserve"> </w:t>
      </w:r>
      <w:r>
        <w:t xml:space="preserve">12 (February): 34.</w:t>
      </w:r>
      <w:r>
        <w:t xml:space="preserve"> </w:t>
      </w:r>
      <w:hyperlink r:id="rId71">
        <w:r>
          <w:rPr>
            <w:rStyle w:val="Hyperlink"/>
          </w:rPr>
          <w:t xml:space="preserve">https://doi.org/10.3389/fnins.2018.00034</w:t>
        </w:r>
      </w:hyperlink>
      <w:r>
        <w:t xml:space="preserve">.</w:t>
      </w:r>
    </w:p>
    <w:bookmarkEnd w:id="72"/>
    <w:bookmarkStart w:id="74" w:name="X97b44560818b58dd3259ed73220ff6cb92a06f7"/>
    <w:p>
      <w:pPr>
        <w:pStyle w:val="Bibliography"/>
      </w:pPr>
      <w:r>
        <w:t xml:space="preserve">Donoghue, Thomas, Ryan Hammonds, Eric Lybrand, Leonhard Washcke, Richard Gao, and Bradley Voytek. 2024.</w:t>
      </w:r>
      <w:r>
        <w:t xml:space="preserve"> </w:t>
      </w:r>
      <w:r>
        <w:t xml:space="preserve">“Evaluating and</w:t>
      </w:r>
      <w:r>
        <w:t xml:space="preserve"> </w:t>
      </w:r>
      <w:r>
        <w:t xml:space="preserve">Comparing Measures</w:t>
      </w:r>
      <w:r>
        <w:t xml:space="preserve"> </w:t>
      </w:r>
      <w:r>
        <w:t xml:space="preserve">of</w:t>
      </w:r>
      <w:r>
        <w:t xml:space="preserve"> </w:t>
      </w:r>
      <w:r>
        <w:t xml:space="preserve">Aperiodic Neural Activity</w:t>
      </w:r>
      <w:r>
        <w:t xml:space="preserve">.”</w:t>
      </w:r>
      <w:r>
        <w:t xml:space="preserve"> </w:t>
      </w:r>
      <w:hyperlink r:id="rId73">
        <w:r>
          <w:rPr>
            <w:rStyle w:val="Hyperlink"/>
          </w:rPr>
          <w:t xml:space="preserve">https://doi.org/10.1101/2024.09.15.613114</w:t>
        </w:r>
      </w:hyperlink>
      <w:r>
        <w:t xml:space="preserve">.</w:t>
      </w:r>
    </w:p>
    <w:bookmarkEnd w:id="74"/>
    <w:bookmarkStart w:id="76" w:name="X3818c22cbe53ed9b65517b944d4914f6bdc9b26"/>
    <w:p>
      <w:pPr>
        <w:pStyle w:val="Bibliography"/>
      </w:pPr>
      <w:r>
        <w:t xml:space="preserve">Drayne, Johann P., Allison E. Mella, Mia M. McLean, Steven Ufkes, Vann Chau, Ting Guo, Helen M. Branson, et al. 2024.</w:t>
      </w:r>
      <w:r>
        <w:t xml:space="preserve"> </w:t>
      </w:r>
      <w:r>
        <w:t xml:space="preserve">“Long-Range Temporal Correlation Development in Resting-State</w:t>
      </w:r>
      <w:r>
        <w:t xml:space="preserve"> </w:t>
      </w:r>
      <w:r>
        <w:t xml:space="preserve">fMRI</w:t>
      </w:r>
      <w:r>
        <w:t xml:space="preserve"> </w:t>
      </w:r>
      <w:r>
        <w:t xml:space="preserve">Signal in Preterm Infants:</w:t>
      </w:r>
      <w:r>
        <w:t xml:space="preserve"> </w:t>
      </w:r>
      <w:r>
        <w:t xml:space="preserve">Scanned</w:t>
      </w:r>
      <w:r>
        <w:t xml:space="preserve"> </w:t>
      </w:r>
      <w:r>
        <w:t xml:space="preserve">Shortly After Birth and at Term-Equivalent Age.”</w:t>
      </w:r>
      <w:r>
        <w:t xml:space="preserve"> </w:t>
      </w:r>
      <w:r>
        <w:t xml:space="preserve">Edited by Kosmas Kosmidis.</w:t>
      </w:r>
      <w:r>
        <w:t xml:space="preserve"> </w:t>
      </w:r>
      <w:r>
        <w:rPr>
          <w:i/>
          <w:iCs/>
        </w:rPr>
        <w:t xml:space="preserve">PLOS Complex Systems</w:t>
      </w:r>
      <w:r>
        <w:t xml:space="preserve"> </w:t>
      </w:r>
      <w:r>
        <w:t xml:space="preserve">1 (4): e0000024.</w:t>
      </w:r>
      <w:r>
        <w:t xml:space="preserve"> </w:t>
      </w:r>
      <w:hyperlink r:id="rId75">
        <w:r>
          <w:rPr>
            <w:rStyle w:val="Hyperlink"/>
          </w:rPr>
          <w:t xml:space="preserve">https://doi.org/10.1371/journal.pcsy.0000024</w:t>
        </w:r>
      </w:hyperlink>
      <w:r>
        <w:t xml:space="preserve">.</w:t>
      </w:r>
    </w:p>
    <w:bookmarkEnd w:id="76"/>
    <w:bookmarkStart w:id="78" w:name="ref-ekePhysiologicalTimeSeries2000"/>
    <w:p>
      <w:pPr>
        <w:pStyle w:val="Bibliography"/>
      </w:pPr>
      <w:r>
        <w:t xml:space="preserve">Eke, A., P. Hermán, J. Bassingthwaighte, G. Raymond, D. Percival, M. Cannon, I. Balla, and C. Ikrényi. 2000.</w:t>
      </w:r>
      <w:r>
        <w:t xml:space="preserve"> </w:t>
      </w:r>
      <w:r>
        <w:t xml:space="preserve">“Physiological Time Series: Distinguishing Fractal Noises from Motions.”</w:t>
      </w:r>
      <w:r>
        <w:t xml:space="preserve"> </w:t>
      </w:r>
      <w:r>
        <w:rPr>
          <w:i/>
          <w:iCs/>
        </w:rPr>
        <w:t xml:space="preserve">Pflügers Archiv - European Journal of Physiology</w:t>
      </w:r>
      <w:r>
        <w:t xml:space="preserve"> </w:t>
      </w:r>
      <w:r>
        <w:t xml:space="preserve">439 (4): 403–15.</w:t>
      </w:r>
      <w:r>
        <w:t xml:space="preserve"> </w:t>
      </w:r>
      <w:hyperlink r:id="rId77">
        <w:r>
          <w:rPr>
            <w:rStyle w:val="Hyperlink"/>
          </w:rPr>
          <w:t xml:space="preserve">https://doi.org/10.1007/s004249900135</w:t>
        </w:r>
      </w:hyperlink>
      <w:r>
        <w:t xml:space="preserve">.</w:t>
      </w:r>
    </w:p>
    <w:bookmarkEnd w:id="78"/>
    <w:bookmarkStart w:id="80" w:name="X1c3a324d1c386add4c1b2ec7555c07fd967b452"/>
    <w:p>
      <w:pPr>
        <w:pStyle w:val="Bibliography"/>
      </w:pPr>
      <w:r>
        <w:t xml:space="preserve">Erbil, Nurhan, and Gopikrishna Deshpande. 2025.</w:t>
      </w:r>
      <w:r>
        <w:t xml:space="preserve"> </w:t>
      </w:r>
      <w:r>
        <w:t xml:space="preserve">“Scale-</w:t>
      </w:r>
      <w:r>
        <w:t xml:space="preserve">Free Dynamics</w:t>
      </w:r>
      <w:r>
        <w:t xml:space="preserve"> </w:t>
      </w:r>
      <w:r>
        <w:t xml:space="preserve">of</w:t>
      </w:r>
      <w:r>
        <w:t xml:space="preserve"> </w:t>
      </w:r>
      <w:r>
        <w:t xml:space="preserve">Resting-State fMRI Microstates</w:t>
      </w:r>
      <w:r>
        <w:t xml:space="preserve">.”</w:t>
      </w:r>
      <w:r>
        <w:t xml:space="preserve"> </w:t>
      </w:r>
      <w:r>
        <w:rPr>
          <w:i/>
          <w:iCs/>
        </w:rPr>
        <w:t xml:space="preserve">Fractal and Fractional</w:t>
      </w:r>
      <w:r>
        <w:t xml:space="preserve"> </w:t>
      </w:r>
      <w:r>
        <w:t xml:space="preserve">9 (2): 112.</w:t>
      </w:r>
      <w:r>
        <w:t xml:space="preserve"> </w:t>
      </w:r>
      <w:hyperlink r:id="rId79">
        <w:r>
          <w:rPr>
            <w:rStyle w:val="Hyperlink"/>
          </w:rPr>
          <w:t xml:space="preserve">https://doi.org/10.3390/fractalfract9020112</w:t>
        </w:r>
      </w:hyperlink>
      <w:r>
        <w:t xml:space="preserve">.</w:t>
      </w:r>
    </w:p>
    <w:bookmarkEnd w:id="80"/>
    <w:bookmarkStart w:id="82" w:name="ref-gaoTemporalDynamicPatterns2023"/>
    <w:p>
      <w:pPr>
        <w:pStyle w:val="Bibliography"/>
      </w:pPr>
      <w:r>
        <w:t xml:space="preserve">Gao, Wei, Bharat Biswal, Jiemin Yang, Songlin Li, YanQing Wang, Shengdong Chen, and JiaJin Yuan. 2023.</w:t>
      </w:r>
      <w:r>
        <w:t xml:space="preserve"> </w:t>
      </w:r>
      <w:r>
        <w:t xml:space="preserve">“Temporal Dynamic Patterns of the Ventromedial Prefrontal Cortex Underlie the Association Between Rumination and Depression.”</w:t>
      </w:r>
      <w:r>
        <w:t xml:space="preserve"> </w:t>
      </w:r>
      <w:r>
        <w:rPr>
          <w:i/>
          <w:iCs/>
        </w:rPr>
        <w:t xml:space="preserve">Cerebral Cortex</w:t>
      </w:r>
      <w:r>
        <w:t xml:space="preserve"> </w:t>
      </w:r>
      <w:r>
        <w:t xml:space="preserve">33 (4): 969–82.</w:t>
      </w:r>
      <w:r>
        <w:t xml:space="preserve"> </w:t>
      </w:r>
      <w:hyperlink r:id="rId81">
        <w:r>
          <w:rPr>
            <w:rStyle w:val="Hyperlink"/>
          </w:rPr>
          <w:t xml:space="preserve">https://doi.org/10.1093/cercor/bhac115</w:t>
        </w:r>
      </w:hyperlink>
      <w:r>
        <w:t xml:space="preserve">.</w:t>
      </w:r>
    </w:p>
    <w:bookmarkEnd w:id="82"/>
    <w:bookmarkStart w:id="84" w:name="ref-gaoTemporalDynamicsSpontaneous2018"/>
    <w:p>
      <w:pPr>
        <w:pStyle w:val="Bibliography"/>
      </w:pPr>
      <w:r>
        <w:t xml:space="preserve">Gao, Wei, ShengDong Chen, Bharat Biswal, Xu Lei, and JiaJin Yuan. 2018.</w:t>
      </w:r>
      <w:r>
        <w:t xml:space="preserve"> </w:t>
      </w:r>
      <w:r>
        <w:t xml:space="preserve">“Temporal Dynamics of Spontaneous Default-Mode Network Activity Mediate the Association Between Reappraisal and Depression.”</w:t>
      </w:r>
      <w:r>
        <w:t xml:space="preserve"> </w:t>
      </w:r>
      <w:r>
        <w:rPr>
          <w:i/>
          <w:iCs/>
        </w:rPr>
        <w:t xml:space="preserve">Social Cognitive and Affective Neuroscience</w:t>
      </w:r>
      <w:r>
        <w:t xml:space="preserve">, October.</w:t>
      </w:r>
      <w:r>
        <w:t xml:space="preserve"> </w:t>
      </w:r>
      <w:hyperlink r:id="rId83">
        <w:r>
          <w:rPr>
            <w:rStyle w:val="Hyperlink"/>
          </w:rPr>
          <w:t xml:space="preserve">https://doi.org/10.1093/scan/nsy092</w:t>
        </w:r>
      </w:hyperlink>
      <w:r>
        <w:t xml:space="preserve">.</w:t>
      </w:r>
    </w:p>
    <w:bookmarkEnd w:id="84"/>
    <w:bookmarkStart w:id="86" w:name="ref-gentiliNotOneMetric2017"/>
    <w:p>
      <w:pPr>
        <w:pStyle w:val="Bibliography"/>
      </w:pPr>
      <w:r>
        <w:t xml:space="preserve">Gentili, Claudio, Ioana Alina Cristea, Emiliano Ricciardi, Nicola Vanello, Cristian Popita, Daniel David, and Pietro Pietrini. 2017.</w:t>
      </w:r>
      <w:r>
        <w:t xml:space="preserve"> </w:t>
      </w:r>
      <w:r>
        <w:t xml:space="preserve">“Not in One Metric:</w:t>
      </w:r>
      <w:r>
        <w:t xml:space="preserve"> </w:t>
      </w:r>
      <w:r>
        <w:t xml:space="preserve">Neuroticism</w:t>
      </w:r>
      <w:r>
        <w:t xml:space="preserve"> </w:t>
      </w:r>
      <w:r>
        <w:t xml:space="preserve">Modulates Different Resting State Metrics Within Distinctive Brain Regions.”</w:t>
      </w:r>
      <w:r>
        <w:t xml:space="preserve"> </w:t>
      </w:r>
      <w:r>
        <w:rPr>
          <w:i/>
          <w:iCs/>
        </w:rPr>
        <w:t xml:space="preserve">Behavioural Brain Research</w:t>
      </w:r>
      <w:r>
        <w:t xml:space="preserve"> </w:t>
      </w:r>
      <w:r>
        <w:t xml:space="preserve">327 (June): 34–43.</w:t>
      </w:r>
      <w:r>
        <w:t xml:space="preserve"> </w:t>
      </w:r>
      <w:hyperlink r:id="rId85">
        <w:r>
          <w:rPr>
            <w:rStyle w:val="Hyperlink"/>
          </w:rPr>
          <w:t xml:space="preserve">https://doi.org/10.1016/j.bbr.2017.03.031</w:t>
        </w:r>
      </w:hyperlink>
      <w:r>
        <w:t xml:space="preserve">.</w:t>
      </w:r>
    </w:p>
    <w:bookmarkEnd w:id="86"/>
    <w:bookmarkStart w:id="88" w:name="ref-gentiliPronenessSocialAnxiety2015"/>
    <w:p>
      <w:pPr>
        <w:pStyle w:val="Bibliography"/>
      </w:pPr>
      <w:r>
        <w:t xml:space="preserve">Gentili, Claudio, Nicola Vanello, Ioana Cristea, Daniel David, Emiliano Ricciardi, and Pietro Pietrini. 2015.</w:t>
      </w:r>
      <w:r>
        <w:t xml:space="preserve"> </w:t>
      </w:r>
      <w:r>
        <w:t xml:space="preserve">“Proneness to Social Anxiety Modulates Neural Complexity in the Absence of Exposure:</w:t>
      </w:r>
      <w:r>
        <w:t xml:space="preserve"> </w:t>
      </w:r>
      <w:r>
        <w:t xml:space="preserve">A</w:t>
      </w:r>
      <w:r>
        <w:t xml:space="preserve"> </w:t>
      </w:r>
      <w:r>
        <w:t xml:space="preserve">Resting State</w:t>
      </w:r>
      <w:r>
        <w:t xml:space="preserve"> </w:t>
      </w:r>
      <w:r>
        <w:t xml:space="preserve">fMRI</w:t>
      </w:r>
      <w:r>
        <w:t xml:space="preserve"> </w:t>
      </w:r>
      <w:r>
        <w:t xml:space="preserve">Study Using</w:t>
      </w:r>
      <w:r>
        <w:t xml:space="preserve"> </w:t>
      </w:r>
      <w:r>
        <w:t xml:space="preserve">Hurst</w:t>
      </w:r>
      <w:r>
        <w:t xml:space="preserve"> </w:t>
      </w:r>
      <w:r>
        <w:t xml:space="preserve">Exponent.”</w:t>
      </w:r>
      <w:r>
        <w:t xml:space="preserve"> </w:t>
      </w:r>
      <w:r>
        <w:rPr>
          <w:i/>
          <w:iCs/>
        </w:rPr>
        <w:t xml:space="preserve">Psychiatry Research: Neuroimaging</w:t>
      </w:r>
      <w:r>
        <w:t xml:space="preserve"> </w:t>
      </w:r>
      <w:r>
        <w:t xml:space="preserve">232 (2): 135–44.</w:t>
      </w:r>
      <w:r>
        <w:t xml:space="preserve"> </w:t>
      </w:r>
      <w:hyperlink r:id="rId87">
        <w:r>
          <w:rPr>
            <w:rStyle w:val="Hyperlink"/>
          </w:rPr>
          <w:t xml:space="preserve">https://doi.org/10.1016/j.pscychresns.2015.03.005</w:t>
        </w:r>
      </w:hyperlink>
      <w:r>
        <w:t xml:space="preserve">.</w:t>
      </w:r>
    </w:p>
    <w:bookmarkEnd w:id="88"/>
    <w:bookmarkStart w:id="90" w:name="ref-heScaleFreePropertiesFunctional2011"/>
    <w:p>
      <w:pPr>
        <w:pStyle w:val="Bibliography"/>
      </w:pPr>
      <w:r>
        <w:t xml:space="preserve">He, Biyu J. 2011.</w:t>
      </w:r>
      <w:r>
        <w:t xml:space="preserve"> </w:t>
      </w:r>
      <w:r>
        <w:t xml:space="preserve">“Scale-</w:t>
      </w:r>
      <w:r>
        <w:t xml:space="preserve">Free Properties</w:t>
      </w:r>
      <w:r>
        <w:t xml:space="preserve"> </w:t>
      </w:r>
      <w:r>
        <w:t xml:space="preserve">of the</w:t>
      </w:r>
      <w:r>
        <w:t xml:space="preserve"> </w:t>
      </w:r>
      <w:r>
        <w:t xml:space="preserve">Functional Magnetic Resonance Imaging Signal</w:t>
      </w:r>
      <w:r>
        <w:t xml:space="preserve"> </w:t>
      </w:r>
      <w:r>
        <w:t xml:space="preserve">During</w:t>
      </w:r>
      <w:r>
        <w:t xml:space="preserve"> </w:t>
      </w:r>
      <w:r>
        <w:t xml:space="preserve">Rest</w:t>
      </w:r>
      <w:r>
        <w:t xml:space="preserve"> </w:t>
      </w:r>
      <w:r>
        <w:t xml:space="preserve">and</w:t>
      </w:r>
      <w:r>
        <w:t xml:space="preserve"> </w:t>
      </w:r>
      <w:r>
        <w:t xml:space="preserve">Task</w:t>
      </w:r>
      <w:r>
        <w:t xml:space="preserve">.”</w:t>
      </w:r>
      <w:r>
        <w:t xml:space="preserve"> </w:t>
      </w:r>
      <w:r>
        <w:rPr>
          <w:i/>
          <w:iCs/>
        </w:rPr>
        <w:t xml:space="preserve">The Journal of Neuroscience</w:t>
      </w:r>
      <w:r>
        <w:t xml:space="preserve"> </w:t>
      </w:r>
      <w:r>
        <w:t xml:space="preserve">31 (39): 13786–95.</w:t>
      </w:r>
      <w:r>
        <w:t xml:space="preserve"> </w:t>
      </w:r>
      <w:hyperlink r:id="rId89">
        <w:r>
          <w:rPr>
            <w:rStyle w:val="Hyperlink"/>
          </w:rPr>
          <w:t xml:space="preserve">https://doi.org/10.1523/JNEUROSCI.2111-11.2011</w:t>
        </w:r>
      </w:hyperlink>
      <w:r>
        <w:t xml:space="preserve">.</w:t>
      </w:r>
    </w:p>
    <w:bookmarkEnd w:id="90"/>
    <w:bookmarkStart w:id="92" w:name="Xc94d05a18c18212316f09dc761de559a9f7fd90"/>
    <w:p>
      <w:pPr>
        <w:pStyle w:val="Bibliography"/>
      </w:pPr>
      <w:r>
        <w:t xml:space="preserve">Hernández, Ronald Miguel, Jacqueline Cynthia Ponce-Meza, Miguel Ángel Saavedra-López, Walter Antonio Campos Ugaz, Roxana Monteza Chanduvi, and Walter Campos Monteza. 2023.</w:t>
      </w:r>
      <w:r>
        <w:t xml:space="preserve"> </w:t>
      </w:r>
      <w:r>
        <w:t xml:space="preserve">“Brain</w:t>
      </w:r>
      <w:r>
        <w:t xml:space="preserve"> </w:t>
      </w:r>
      <w:r>
        <w:t xml:space="preserve">Complexity</w:t>
      </w:r>
      <w:r>
        <w:t xml:space="preserve"> </w:t>
      </w:r>
      <w:r>
        <w:t xml:space="preserve">and</w:t>
      </w:r>
      <w:r>
        <w:t xml:space="preserve"> </w:t>
      </w:r>
      <w:r>
        <w:t xml:space="preserve">Psychiatric Disorders</w:t>
      </w:r>
      <w:r>
        <w:t xml:space="preserve">.”</w:t>
      </w:r>
      <w:r>
        <w:t xml:space="preserve"> </w:t>
      </w:r>
      <w:r>
        <w:rPr>
          <w:i/>
          <w:iCs/>
        </w:rPr>
        <w:t xml:space="preserve">Iranian Journal of Psychiatry</w:t>
      </w:r>
      <w:r>
        <w:t xml:space="preserve">, September.</w:t>
      </w:r>
      <w:r>
        <w:t xml:space="preserve"> </w:t>
      </w:r>
      <w:hyperlink r:id="rId91">
        <w:r>
          <w:rPr>
            <w:rStyle w:val="Hyperlink"/>
          </w:rPr>
          <w:t xml:space="preserve">https://doi.org/10.18502/ijps.v18i4.13637</w:t>
        </w:r>
      </w:hyperlink>
      <w:r>
        <w:t xml:space="preserve">.</w:t>
      </w:r>
    </w:p>
    <w:bookmarkEnd w:id="92"/>
    <w:bookmarkStart w:id="94" w:name="ref-jagerDecreasedLongrangeTemporal2024"/>
    <w:p>
      <w:pPr>
        <w:pStyle w:val="Bibliography"/>
      </w:pPr>
      <w:r>
        <w:t xml:space="preserve">Jäger, Anna-Thekla P., Alexander Bailey, Julia M. Huntenburg, Christine L. Tardif, Arno Villringer, Claudine J. Gauthier, Vadim Nikulin, Pierre-Louis Bazin, and Christopher J. Steele. 2024.</w:t>
      </w:r>
      <w:r>
        <w:t xml:space="preserve"> </w:t>
      </w:r>
      <w:r>
        <w:t xml:space="preserve">“Decreased Long-Range Temporal Correlations in the</w:t>
      </w:r>
      <w:r>
        <w:t xml:space="preserve"> </w:t>
      </w:r>
      <w:r>
        <w:rPr>
          <w:smallCaps/>
        </w:rPr>
        <w:t xml:space="preserve">Resting-state Functional Magnetic Resonance Imaging Blood-oxygen-level-dependent</w:t>
      </w:r>
      <w:r>
        <w:t xml:space="preserve"> </w:t>
      </w:r>
      <w:r>
        <w:t xml:space="preserve">Signal Reflect Motor Sequence Learning up to 2 Weeks Following Training.”</w:t>
      </w:r>
      <w:r>
        <w:t xml:space="preserve"> </w:t>
      </w:r>
      <w:r>
        <w:rPr>
          <w:i/>
          <w:iCs/>
        </w:rPr>
        <w:t xml:space="preserve">Human Brain Mapping</w:t>
      </w:r>
      <w:r>
        <w:t xml:space="preserve"> </w:t>
      </w:r>
      <w:r>
        <w:t xml:space="preserve">45 (4): e26539.</w:t>
      </w:r>
      <w:r>
        <w:t xml:space="preserve"> </w:t>
      </w:r>
      <w:hyperlink r:id="rId93">
        <w:r>
          <w:rPr>
            <w:rStyle w:val="Hyperlink"/>
          </w:rPr>
          <w:t xml:space="preserve">https://doi.org/10.1002/hbm.26539</w:t>
        </w:r>
      </w:hyperlink>
      <w:r>
        <w:t xml:space="preserve">.</w:t>
      </w:r>
    </w:p>
    <w:bookmarkEnd w:id="94"/>
    <w:bookmarkStart w:id="96" w:name="ref-keshmiriEntropyBrainOverview2020"/>
    <w:p>
      <w:pPr>
        <w:pStyle w:val="Bibliography"/>
      </w:pPr>
      <w:r>
        <w:t xml:space="preserve">Keshmiri, Soheil. 2020.</w:t>
      </w:r>
      <w:r>
        <w:t xml:space="preserve"> </w:t>
      </w:r>
      <w:r>
        <w:t xml:space="preserve">“Entropy and the</w:t>
      </w:r>
      <w:r>
        <w:t xml:space="preserve"> </w:t>
      </w:r>
      <w:r>
        <w:t xml:space="preserve">Brain</w:t>
      </w:r>
      <w:r>
        <w:t xml:space="preserve">:</w:t>
      </w:r>
      <w:r>
        <w:t xml:space="preserve"> </w:t>
      </w:r>
      <w:r>
        <w:t xml:space="preserve">An Overview</w:t>
      </w:r>
      <w:r>
        <w:t xml:space="preserve">.”</w:t>
      </w:r>
      <w:r>
        <w:t xml:space="preserve"> </w:t>
      </w:r>
      <w:r>
        <w:rPr>
          <w:i/>
          <w:iCs/>
        </w:rPr>
        <w:t xml:space="preserve">Entropy</w:t>
      </w:r>
      <w:r>
        <w:t xml:space="preserve"> </w:t>
      </w:r>
      <w:r>
        <w:t xml:space="preserve">22 (9): 917.</w:t>
      </w:r>
      <w:r>
        <w:t xml:space="preserve"> </w:t>
      </w:r>
      <w:hyperlink r:id="rId95">
        <w:r>
          <w:rPr>
            <w:rStyle w:val="Hyperlink"/>
          </w:rPr>
          <w:t xml:space="preserve">https://doi.org/10.3390/e22090917</w:t>
        </w:r>
      </w:hyperlink>
      <w:r>
        <w:t xml:space="preserve">.</w:t>
      </w:r>
    </w:p>
    <w:bookmarkEnd w:id="96"/>
    <w:bookmarkStart w:id="98" w:name="ref-laiShiftRandomnessBrain2010"/>
    <w:p>
      <w:pPr>
        <w:pStyle w:val="Bibliography"/>
      </w:pPr>
      <w:r>
        <w:t xml:space="preserve">Lai, Meng-Chuan, Michael V. Lombardo, Bhismadev Chakrabarti, Susan A. Sadek, Greg Pasco, Sally J. Wheelwright, Edward T. Bullmore, Simon Baron-Cohen, and John Suckling. 2010.</w:t>
      </w:r>
      <w:r>
        <w:t xml:space="preserve"> </w:t>
      </w:r>
      <w:r>
        <w:t xml:space="preserve">“A</w:t>
      </w:r>
      <w:r>
        <w:t xml:space="preserve"> </w:t>
      </w:r>
      <w:r>
        <w:t xml:space="preserve">Shift</w:t>
      </w:r>
      <w:r>
        <w:t xml:space="preserve"> </w:t>
      </w:r>
      <w:r>
        <w:t xml:space="preserve">to</w:t>
      </w:r>
      <w:r>
        <w:t xml:space="preserve"> </w:t>
      </w:r>
      <w:r>
        <w:t xml:space="preserve">Randomness</w:t>
      </w:r>
      <w:r>
        <w:t xml:space="preserve"> </w:t>
      </w:r>
      <w:r>
        <w:t xml:space="preserve">of</w:t>
      </w:r>
      <w:r>
        <w:t xml:space="preserve"> </w:t>
      </w:r>
      <w:r>
        <w:t xml:space="preserve">Brain Oscillations</w:t>
      </w:r>
      <w:r>
        <w:t xml:space="preserve"> </w:t>
      </w:r>
      <w:r>
        <w:t xml:space="preserve">in</w:t>
      </w:r>
      <w:r>
        <w:t xml:space="preserve"> </w:t>
      </w:r>
      <w:r>
        <w:t xml:space="preserve">People</w:t>
      </w:r>
      <w:r>
        <w:t xml:space="preserve"> </w:t>
      </w:r>
      <w:r>
        <w:t xml:space="preserve">with</w:t>
      </w:r>
      <w:r>
        <w:t xml:space="preserve"> </w:t>
      </w:r>
      <w:r>
        <w:t xml:space="preserve">Autism</w:t>
      </w:r>
      <w:r>
        <w:t xml:space="preserve">.”</w:t>
      </w:r>
      <w:r>
        <w:t xml:space="preserve"> </w:t>
      </w:r>
      <w:r>
        <w:rPr>
          <w:i/>
          <w:iCs/>
        </w:rPr>
        <w:t xml:space="preserve">Biological Psychiatry</w:t>
      </w:r>
      <w:r>
        <w:t xml:space="preserve"> </w:t>
      </w:r>
      <w:r>
        <w:t xml:space="preserve">68 (12): 1092–99.</w:t>
      </w:r>
      <w:r>
        <w:t xml:space="preserve"> </w:t>
      </w:r>
      <w:hyperlink r:id="rId97">
        <w:r>
          <w:rPr>
            <w:rStyle w:val="Hyperlink"/>
          </w:rPr>
          <w:t xml:space="preserve">https://doi.org/10.1016/j.biopsych.2010.06.027</w:t>
        </w:r>
      </w:hyperlink>
      <w:r>
        <w:t xml:space="preserve">.</w:t>
      </w:r>
    </w:p>
    <w:bookmarkEnd w:id="98"/>
    <w:bookmarkStart w:id="100" w:name="ref-leiExtraversionEncodedScalefree2013"/>
    <w:p>
      <w:pPr>
        <w:pStyle w:val="Bibliography"/>
      </w:pPr>
      <w:r>
        <w:t xml:space="preserve">Lei, Xu, Zhiying Zhao, and Hong Chen. 2013.</w:t>
      </w:r>
      <w:r>
        <w:t xml:space="preserve"> </w:t>
      </w:r>
      <w:r>
        <w:t xml:space="preserve">“Extraversion Is Encoded by Scale-Free Dynamics of Default Mode Network.”</w:t>
      </w:r>
      <w:r>
        <w:t xml:space="preserve"> </w:t>
      </w:r>
      <w:r>
        <w:rPr>
          <w:i/>
          <w:iCs/>
        </w:rPr>
        <w:t xml:space="preserve">NeuroImage</w:t>
      </w:r>
      <w:r>
        <w:t xml:space="preserve"> </w:t>
      </w:r>
      <w:r>
        <w:t xml:space="preserve">74 (July): 52–57.</w:t>
      </w:r>
      <w:r>
        <w:t xml:space="preserve"> </w:t>
      </w:r>
      <w:hyperlink r:id="rId99">
        <w:r>
          <w:rPr>
            <w:rStyle w:val="Hyperlink"/>
          </w:rPr>
          <w:t xml:space="preserve">https://doi.org/10.1016/j.neuroimage.2013.02.020</w:t>
        </w:r>
      </w:hyperlink>
      <w:r>
        <w:t xml:space="preserve">.</w:t>
      </w:r>
    </w:p>
    <w:bookmarkEnd w:id="100"/>
    <w:bookmarkStart w:id="102" w:name="ref-leiFadedCriticalDynamics2021"/>
    <w:p>
      <w:pPr>
        <w:pStyle w:val="Bibliography"/>
      </w:pPr>
      <w:r>
        <w:t xml:space="preserve">Lei, Yu, Yuzhu Li, Lianchun Yu, Longzhou Xu, Xin Zhang, Gaoxing Zheng, Liang Chen, et al. 2021.</w:t>
      </w:r>
      <w:r>
        <w:t xml:space="preserve"> </w:t>
      </w:r>
      <w:r>
        <w:t xml:space="preserve">“Faded</w:t>
      </w:r>
      <w:r>
        <w:t xml:space="preserve"> </w:t>
      </w:r>
      <w:r>
        <w:t xml:space="preserve">Critical Dynamics</w:t>
      </w:r>
      <w:r>
        <w:t xml:space="preserve"> </w:t>
      </w:r>
      <w:r>
        <w:t xml:space="preserve">in</w:t>
      </w:r>
      <w:r>
        <w:t xml:space="preserve"> </w:t>
      </w:r>
      <w:r>
        <w:t xml:space="preserve">Adult Moyamoya Disease Revealed</w:t>
      </w:r>
      <w:r>
        <w:t xml:space="preserve"> </w:t>
      </w:r>
      <w:r>
        <w:t xml:space="preserve">by</w:t>
      </w:r>
      <w:r>
        <w:t xml:space="preserve"> </w:t>
      </w:r>
      <w:r>
        <w:t xml:space="preserve">EEG</w:t>
      </w:r>
      <w:r>
        <w:t xml:space="preserve"> </w:t>
      </w:r>
      <w:r>
        <w:t xml:space="preserve">and</w:t>
      </w:r>
      <w:r>
        <w:t xml:space="preserve"> </w:t>
      </w:r>
      <w:r>
        <w:t xml:space="preserve">fMRI</w:t>
      </w:r>
      <w:r>
        <w:t xml:space="preserve">.”</w:t>
      </w:r>
      <w:r>
        <w:t xml:space="preserve"> </w:t>
      </w:r>
      <w:r>
        <w:t xml:space="preserve">Edited by Aldrin Gomes.</w:t>
      </w:r>
      <w:r>
        <w:t xml:space="preserve"> </w:t>
      </w:r>
      <w:r>
        <w:rPr>
          <w:i/>
          <w:iCs/>
        </w:rPr>
        <w:t xml:space="preserve">Oxidative Medicine and Cellular Longevity</w:t>
      </w:r>
      <w:r>
        <w:t xml:space="preserve"> </w:t>
      </w:r>
      <w:r>
        <w:t xml:space="preserve">2021 (1): 6640108.</w:t>
      </w:r>
      <w:r>
        <w:t xml:space="preserve"> </w:t>
      </w:r>
      <w:hyperlink r:id="rId101">
        <w:r>
          <w:rPr>
            <w:rStyle w:val="Hyperlink"/>
          </w:rPr>
          <w:t xml:space="preserve">https://doi.org/10.1155/2021/6640108</w:t>
        </w:r>
      </w:hyperlink>
      <w:r>
        <w:t xml:space="preserve">.</w:t>
      </w:r>
    </w:p>
    <w:bookmarkEnd w:id="102"/>
    <w:bookmarkStart w:id="104" w:name="ref-linkeAlteredDevelopmentHurst2024"/>
    <w:p>
      <w:pPr>
        <w:pStyle w:val="Bibliography"/>
      </w:pPr>
      <w:r>
        <w:t xml:space="preserve">Linke, Annika C., Bosi Chen, Lindsay Olson, Michaela Cordova, Molly Wilkinson, Tiffany Wang, Meagan Herrera, et al. 2024.</w:t>
      </w:r>
      <w:r>
        <w:t xml:space="preserve"> </w:t>
      </w:r>
      <w:r>
        <w:t xml:space="preserve">“Altered</w:t>
      </w:r>
      <w:r>
        <w:t xml:space="preserve"> </w:t>
      </w:r>
      <w:r>
        <w:t xml:space="preserve">Development</w:t>
      </w:r>
      <w:r>
        <w:t xml:space="preserve"> </w:t>
      </w:r>
      <w:r>
        <w:t xml:space="preserve">of the</w:t>
      </w:r>
      <w:r>
        <w:t xml:space="preserve"> </w:t>
      </w:r>
      <w:r>
        <w:t xml:space="preserve">Hurst Exponent</w:t>
      </w:r>
      <w:r>
        <w:t xml:space="preserve"> </w:t>
      </w:r>
      <w:r>
        <w:t xml:space="preserve">in the</w:t>
      </w:r>
      <w:r>
        <w:t xml:space="preserve"> </w:t>
      </w:r>
      <w:r>
        <w:t xml:space="preserve">Medial Prefrontal Cortex</w:t>
      </w:r>
      <w:r>
        <w:t xml:space="preserve"> </w:t>
      </w:r>
      <w:r>
        <w:t xml:space="preserve">in</w:t>
      </w:r>
      <w:r>
        <w:t xml:space="preserve"> </w:t>
      </w:r>
      <w:r>
        <w:t xml:space="preserve">Preschoolers With Autism</w:t>
      </w:r>
      <w:r>
        <w:t xml:space="preserve">.”</w:t>
      </w:r>
      <w:r>
        <w:t xml:space="preserve"> </w:t>
      </w:r>
      <w:r>
        <w:rPr>
          <w:i/>
          <w:iCs/>
        </w:rPr>
        <w:t xml:space="preserve">Biological Psychiatry: Cognitive Neuroscience and Neuroimaging</w:t>
      </w:r>
      <w:r>
        <w:t xml:space="preserve">, September, S2451902224002714.</w:t>
      </w:r>
      <w:r>
        <w:t xml:space="preserve"> </w:t>
      </w:r>
      <w:hyperlink r:id="rId103">
        <w:r>
          <w:rPr>
            <w:rStyle w:val="Hyperlink"/>
          </w:rPr>
          <w:t xml:space="preserve">https://doi.org/10.1016/j.bpsc.2024.09.003</w:t>
        </w:r>
      </w:hyperlink>
      <w:r>
        <w:t xml:space="preserve">.</w:t>
      </w:r>
    </w:p>
    <w:bookmarkEnd w:id="104"/>
    <w:bookmarkStart w:id="106" w:name="ref-maximFractionalGaussianNoise2005"/>
    <w:p>
      <w:pPr>
        <w:pStyle w:val="Bibliography"/>
      </w:pPr>
      <w:r>
        <w:t xml:space="preserve">Maxim, Voichiţa, Levent Şendur, Jalal Fadili, John Suckling, Rebecca Gould, Rob Howard, and Ed Bullmore. 2005.</w:t>
      </w:r>
      <w:r>
        <w:t xml:space="preserve"> </w:t>
      </w:r>
      <w:r>
        <w:t xml:space="preserve">“Fractional</w:t>
      </w:r>
      <w:r>
        <w:t xml:space="preserve"> </w:t>
      </w:r>
      <w:r>
        <w:t xml:space="preserve">Gaussian</w:t>
      </w:r>
      <w:r>
        <w:t xml:space="preserve"> </w:t>
      </w:r>
      <w:r>
        <w:t xml:space="preserve">Noise, Functional</w:t>
      </w:r>
      <w:r>
        <w:t xml:space="preserve"> </w:t>
      </w:r>
      <w:r>
        <w:t xml:space="preserve">MRI</w:t>
      </w:r>
      <w:r>
        <w:t xml:space="preserve"> </w:t>
      </w:r>
      <w:r>
        <w:t xml:space="preserve">and</w:t>
      </w:r>
      <w:r>
        <w:t xml:space="preserve"> </w:t>
      </w:r>
      <w:r>
        <w:t xml:space="preserve">Alzheimer</w:t>
      </w:r>
      <w:r>
        <w:t xml:space="preserve">’s Disease.”</w:t>
      </w:r>
      <w:r>
        <w:t xml:space="preserve"> </w:t>
      </w:r>
      <w:r>
        <w:rPr>
          <w:i/>
          <w:iCs/>
        </w:rPr>
        <w:t xml:space="preserve">NeuroImage</w:t>
      </w:r>
      <w:r>
        <w:t xml:space="preserve"> </w:t>
      </w:r>
      <w:r>
        <w:t xml:space="preserve">25 (1): 141–58.</w:t>
      </w:r>
      <w:r>
        <w:t xml:space="preserve"> </w:t>
      </w:r>
      <w:hyperlink r:id="rId105">
        <w:r>
          <w:rPr>
            <w:rStyle w:val="Hyperlink"/>
          </w:rPr>
          <w:t xml:space="preserve">https://doi.org/10.1016/j.neuroimage.2004.10.044</w:t>
        </w:r>
      </w:hyperlink>
      <w:r>
        <w:t xml:space="preserve">.</w:t>
      </w:r>
    </w:p>
    <w:bookmarkEnd w:id="106"/>
    <w:bookmarkStart w:id="108" w:name="Xb783d2555b92d46afdfcb97c84763e9aa4bd336"/>
    <w:p>
      <w:pPr>
        <w:pStyle w:val="Bibliography"/>
      </w:pPr>
      <w:r>
        <w:t xml:space="preserve">Mella, Allison Eve, Tamara Vanderwal, Steven P Miller, and Alexander Mark Weber. 2024.</w:t>
      </w:r>
      <w:r>
        <w:t xml:space="preserve"> </w:t>
      </w:r>
      <w:r>
        <w:t xml:space="preserve">“Temporal Complexity of the</w:t>
      </w:r>
      <w:r>
        <w:t xml:space="preserve"> </w:t>
      </w:r>
      <w:r>
        <w:t xml:space="preserve">BOLD-signal</w:t>
      </w:r>
      <w:r>
        <w:t xml:space="preserve"> </w:t>
      </w:r>
      <w:r>
        <w:t xml:space="preserve">in Preterm Versus Term Infants.”</w:t>
      </w:r>
      <w:r>
        <w:t xml:space="preserve"> </w:t>
      </w:r>
      <w:r>
        <w:rPr>
          <w:i/>
          <w:iCs/>
        </w:rPr>
        <w:t xml:space="preserve">Cerebral Cortex</w:t>
      </w:r>
      <w:r>
        <w:t xml:space="preserve"> </w:t>
      </w:r>
      <w:r>
        <w:t xml:space="preserve">34 (10): bhae426.</w:t>
      </w:r>
      <w:r>
        <w:t xml:space="preserve"> </w:t>
      </w:r>
      <w:hyperlink r:id="rId107">
        <w:r>
          <w:rPr>
            <w:rStyle w:val="Hyperlink"/>
          </w:rPr>
          <w:t xml:space="preserve">https://doi.org/10.1093/cercor/bhae426</w:t>
        </w:r>
      </w:hyperlink>
      <w:r>
        <w:t xml:space="preserve">.</w:t>
      </w:r>
    </w:p>
    <w:bookmarkEnd w:id="108"/>
    <w:bookmarkStart w:id="110" w:name="X18d0ea5f89ff8e85793790db6d7b9e93a97fb84"/>
    <w:p>
      <w:pPr>
        <w:pStyle w:val="Bibliography"/>
      </w:pPr>
      <w:r>
        <w:t xml:space="preserve">Omidvarnia, Amir, Raphaël Liégeois, Enrico Amico, Maria Giulia Preti, Andrew Zalesky, and Dimitri Van De Ville. 2021.</w:t>
      </w:r>
      <w:r>
        <w:t xml:space="preserve"> </w:t>
      </w:r>
      <w:r>
        <w:t xml:space="preserve">“Assessment of Temporal Complexity in Functional</w:t>
      </w:r>
      <w:r>
        <w:t xml:space="preserve"> </w:t>
      </w:r>
      <w:r>
        <w:t xml:space="preserve">MRI</w:t>
      </w:r>
      <w:r>
        <w:t xml:space="preserve"> </w:t>
      </w:r>
      <w:r>
        <w:t xml:space="preserve">Between Rest and Task Conditions.”</w:t>
      </w:r>
      <w:r>
        <w:t xml:space="preserve"> </w:t>
      </w:r>
      <w:r>
        <w:t xml:space="preserve">Bioengineering.</w:t>
      </w:r>
      <w:r>
        <w:t xml:space="preserve"> </w:t>
      </w:r>
      <w:hyperlink r:id="rId109">
        <w:r>
          <w:rPr>
            <w:rStyle w:val="Hyperlink"/>
          </w:rPr>
          <w:t xml:space="preserve">https://doi.org/10.1101/2021.11.20.469367</w:t>
        </w:r>
      </w:hyperlink>
      <w:r>
        <w:t xml:space="preserve">.</w:t>
      </w:r>
    </w:p>
    <w:bookmarkEnd w:id="110"/>
    <w:bookmarkStart w:id="112" w:name="X8f92efa2129315f50d21293b2abe8849772b3c2"/>
    <w:p>
      <w:pPr>
        <w:pStyle w:val="Bibliography"/>
      </w:pPr>
      <w:r>
        <w:t xml:space="preserve">Rubin, Denis, Tomer Fekete, and Lilianne R. Mujica-Parodi. 2013.</w:t>
      </w:r>
      <w:r>
        <w:t xml:space="preserve"> </w:t>
      </w:r>
      <w:r>
        <w:t xml:space="preserve">“Optimizing</w:t>
      </w:r>
      <w:r>
        <w:t xml:space="preserve"> </w:t>
      </w:r>
      <w:r>
        <w:t xml:space="preserve">Complexity Measures</w:t>
      </w:r>
      <w:r>
        <w:t xml:space="preserve"> </w:t>
      </w:r>
      <w:r>
        <w:t xml:space="preserve">for</w:t>
      </w:r>
      <w:r>
        <w:t xml:space="preserve"> </w:t>
      </w:r>
      <w:r>
        <w:t xml:space="preserve">fMRI Data</w:t>
      </w:r>
      <w:r>
        <w:t xml:space="preserve">:</w:t>
      </w:r>
      <w:r>
        <w:t xml:space="preserve"> </w:t>
      </w:r>
      <w:r>
        <w:t xml:space="preserve">Algorithm</w:t>
      </w:r>
      <w:r>
        <w:t xml:space="preserve">,</w:t>
      </w:r>
      <w:r>
        <w:t xml:space="preserve"> </w:t>
      </w:r>
      <w:r>
        <w:t xml:space="preserve">Artifact</w:t>
      </w:r>
      <w:r>
        <w:t xml:space="preserve">, and</w:t>
      </w:r>
      <w:r>
        <w:t xml:space="preserve"> </w:t>
      </w:r>
      <w:r>
        <w:t xml:space="preserve">Sensitivity</w:t>
      </w:r>
      <w:r>
        <w:t xml:space="preserve">.”</w:t>
      </w:r>
      <w:r>
        <w:t xml:space="preserve"> </w:t>
      </w:r>
      <w:r>
        <w:t xml:space="preserve">Edited by Alejandro Raul Hernandez Montoya.</w:t>
      </w:r>
      <w:r>
        <w:t xml:space="preserve"> </w:t>
      </w:r>
      <w:r>
        <w:rPr>
          <w:i/>
          <w:iCs/>
        </w:rPr>
        <w:t xml:space="preserve">PLoS ONE</w:t>
      </w:r>
      <w:r>
        <w:t xml:space="preserve"> </w:t>
      </w:r>
      <w:r>
        <w:t xml:space="preserve">8 (5): e63448.</w:t>
      </w:r>
      <w:r>
        <w:t xml:space="preserve"> </w:t>
      </w:r>
      <w:hyperlink r:id="rId111">
        <w:r>
          <w:rPr>
            <w:rStyle w:val="Hyperlink"/>
          </w:rPr>
          <w:t xml:space="preserve">https://doi.org/10.1371/journal.pone.0063448</w:t>
        </w:r>
      </w:hyperlink>
      <w:r>
        <w:t xml:space="preserve">.</w:t>
      </w:r>
    </w:p>
    <w:bookmarkEnd w:id="112"/>
    <w:bookmarkStart w:id="114" w:name="X7584e58210ba3d2f3316e8a16952504f14858a9"/>
    <w:p>
      <w:pPr>
        <w:pStyle w:val="Bibliography"/>
      </w:pPr>
      <w:r>
        <w:t xml:space="preserve">Sarasso, Simone, Adenauer Girardi Casali, Silvia Casarotto, Mario Rosanova, Corrado Sinigaglia, and Marcello Massimini. 2021.</w:t>
      </w:r>
      <w:r>
        <w:t xml:space="preserve"> </w:t>
      </w:r>
      <w:r>
        <w:t xml:space="preserve">“Consciousness and Complexity: A Consilience of Evidence.”</w:t>
      </w:r>
      <w:r>
        <w:t xml:space="preserve"> </w:t>
      </w:r>
      <w:r>
        <w:rPr>
          <w:i/>
          <w:iCs/>
        </w:rPr>
        <w:t xml:space="preserve">Neuroscience of Consciousness</w:t>
      </w:r>
      <w:r>
        <w:t xml:space="preserve"> </w:t>
      </w:r>
      <w:r>
        <w:t xml:space="preserve">2021 (2): niab023.</w:t>
      </w:r>
      <w:r>
        <w:t xml:space="preserve"> </w:t>
      </w:r>
      <w:hyperlink r:id="rId113">
        <w:r>
          <w:rPr>
            <w:rStyle w:val="Hyperlink"/>
          </w:rPr>
          <w:t xml:space="preserve">https://doi.org/10.1093/nc/niab023</w:t>
        </w:r>
      </w:hyperlink>
      <w:r>
        <w:t xml:space="preserve">.</w:t>
      </w:r>
    </w:p>
    <w:bookmarkEnd w:id="114"/>
    <w:bookmarkStart w:id="116" w:name="Xb33ad22c9aea02cb9e68fb14f52e57e52d7323b"/>
    <w:p>
      <w:pPr>
        <w:pStyle w:val="Bibliography"/>
      </w:pPr>
      <w:r>
        <w:t xml:space="preserve">Sokunbi, Moses O., Victoria B. Gradin, Gordon D. Waiter, George G. Cameron, Trevor S. Ahearn, Alison D. Murray, Douglas J. Steele, and Roger T. Staff. 2014.</w:t>
      </w:r>
      <w:r>
        <w:t xml:space="preserve"> </w:t>
      </w:r>
      <w:r>
        <w:t xml:space="preserve">“Nonlinear</w:t>
      </w:r>
      <w:r>
        <w:t xml:space="preserve"> </w:t>
      </w:r>
      <w:r>
        <w:t xml:space="preserve">Complexity Analysis</w:t>
      </w:r>
      <w:r>
        <w:t xml:space="preserve"> </w:t>
      </w:r>
      <w:r>
        <w:t xml:space="preserve">of</w:t>
      </w:r>
      <w:r>
        <w:t xml:space="preserve"> </w:t>
      </w:r>
      <w:r>
        <w:t xml:space="preserve">Brain fMRI Signals</w:t>
      </w:r>
      <w:r>
        <w:t xml:space="preserve"> </w:t>
      </w:r>
      <w:r>
        <w:t xml:space="preserve">in</w:t>
      </w:r>
      <w:r>
        <w:t xml:space="preserve"> </w:t>
      </w:r>
      <w:r>
        <w:t xml:space="preserve">Schizophrenia</w:t>
      </w:r>
      <w:r>
        <w:t xml:space="preserve">.”</w:t>
      </w:r>
      <w:r>
        <w:t xml:space="preserve"> </w:t>
      </w:r>
      <w:r>
        <w:t xml:space="preserve">Edited by Emmanuel A. Stamatakis.</w:t>
      </w:r>
      <w:r>
        <w:t xml:space="preserve"> </w:t>
      </w:r>
      <w:r>
        <w:rPr>
          <w:i/>
          <w:iCs/>
        </w:rPr>
        <w:t xml:space="preserve">PLoS ONE</w:t>
      </w:r>
      <w:r>
        <w:t xml:space="preserve"> </w:t>
      </w:r>
      <w:r>
        <w:t xml:space="preserve">9 (5): e95146.</w:t>
      </w:r>
      <w:r>
        <w:t xml:space="preserve"> </w:t>
      </w:r>
      <w:hyperlink r:id="rId115">
        <w:r>
          <w:rPr>
            <w:rStyle w:val="Hyperlink"/>
          </w:rPr>
          <w:t xml:space="preserve">https://doi.org/10.1371/journal.pone.0095146</w:t>
        </w:r>
      </w:hyperlink>
      <w:r>
        <w:t xml:space="preserve">.</w:t>
      </w:r>
    </w:p>
    <w:bookmarkEnd w:id="116"/>
    <w:bookmarkStart w:id="118" w:name="Xbca81d076baecbf676b904aca4e09af3e63d8d9"/>
    <w:p>
      <w:pPr>
        <w:pStyle w:val="Bibliography"/>
      </w:pPr>
      <w:r>
        <w:t xml:space="preserve">Suckling, John, Alle Meije Wink, Frederic A. Bernard, Anna Barnes, and Edward Bullmore. 2008.</w:t>
      </w:r>
      <w:r>
        <w:t xml:space="preserve"> </w:t>
      </w:r>
      <w:r>
        <w:t xml:space="preserve">“Endogenous Multifractal Brain Dynamics Are Modulated by Age, Cholinergic Blockade and Cognitive Performance.”</w:t>
      </w:r>
      <w:r>
        <w:t xml:space="preserve"> </w:t>
      </w:r>
      <w:r>
        <w:rPr>
          <w:i/>
          <w:iCs/>
        </w:rPr>
        <w:t xml:space="preserve">Journal of Neuroscience Methods</w:t>
      </w:r>
      <w:r>
        <w:t xml:space="preserve"> </w:t>
      </w:r>
      <w:r>
        <w:t xml:space="preserve">174 (2): 292–300.</w:t>
      </w:r>
      <w:r>
        <w:t xml:space="preserve"> </w:t>
      </w:r>
      <w:hyperlink r:id="rId117">
        <w:r>
          <w:rPr>
            <w:rStyle w:val="Hyperlink"/>
          </w:rPr>
          <w:t xml:space="preserve">https://doi.org/10.1016/j.jneumeth.2008.06.037</w:t>
        </w:r>
      </w:hyperlink>
      <w:r>
        <w:t xml:space="preserve">.</w:t>
      </w:r>
    </w:p>
    <w:bookmarkEnd w:id="118"/>
    <w:bookmarkStart w:id="120" w:name="ref-sunComplexityAnalysisEEG2020"/>
    <w:p>
      <w:pPr>
        <w:pStyle w:val="Bibliography"/>
      </w:pPr>
      <w:r>
        <w:t xml:space="preserve">Sun, Jie, Bin Wang, Yan Niu, Yuan Tan, Chanjuan Fan, Nan Zhang, Jiayue Xue, et al. 2020.</w:t>
      </w:r>
      <w:r>
        <w:t xml:space="preserve"> </w:t>
      </w:r>
      <w:r>
        <w:t xml:space="preserve">“Complexity</w:t>
      </w:r>
      <w:r>
        <w:t xml:space="preserve"> </w:t>
      </w:r>
      <w:r>
        <w:t xml:space="preserve">Analysis</w:t>
      </w:r>
      <w:r>
        <w:t xml:space="preserve"> </w:t>
      </w:r>
      <w:r>
        <w:t xml:space="preserve">of</w:t>
      </w:r>
      <w:r>
        <w:t xml:space="preserve"> </w:t>
      </w:r>
      <w:r>
        <w:t xml:space="preserve">EEG</w:t>
      </w:r>
      <w:r>
        <w:t xml:space="preserve">,</w:t>
      </w:r>
      <w:r>
        <w:t xml:space="preserve"> </w:t>
      </w:r>
      <w:r>
        <w:t xml:space="preserve">MEG</w:t>
      </w:r>
      <w:r>
        <w:t xml:space="preserve">, and</w:t>
      </w:r>
      <w:r>
        <w:t xml:space="preserve"> </w:t>
      </w:r>
      <w:r>
        <w:t xml:space="preserve">fMRI</w:t>
      </w:r>
      <w:r>
        <w:t xml:space="preserve"> </w:t>
      </w:r>
      <w:r>
        <w:t xml:space="preserve">in</w:t>
      </w:r>
      <w:r>
        <w:t xml:space="preserve"> </w:t>
      </w:r>
      <w:r>
        <w:t xml:space="preserve">Mild Cognitive Impairment</w:t>
      </w:r>
      <w:r>
        <w:t xml:space="preserve"> </w:t>
      </w:r>
      <w:r>
        <w:t xml:space="preserve">and</w:t>
      </w:r>
      <w:r>
        <w:t xml:space="preserve"> </w:t>
      </w:r>
      <w:r>
        <w:t xml:space="preserve">Alzheimer</w:t>
      </w:r>
      <w:r>
        <w:t xml:space="preserve">’s</w:t>
      </w:r>
      <w:r>
        <w:t xml:space="preserve"> </w:t>
      </w:r>
      <w:r>
        <w:t xml:space="preserve">Disease</w:t>
      </w:r>
      <w:r>
        <w:t xml:space="preserve">:</w:t>
      </w:r>
      <w:r>
        <w:t xml:space="preserve"> </w:t>
      </w:r>
      <w:r>
        <w:t xml:space="preserve">A Review</w:t>
      </w:r>
      <w:r>
        <w:t xml:space="preserve">.”</w:t>
      </w:r>
      <w:r>
        <w:t xml:space="preserve"> </w:t>
      </w:r>
      <w:r>
        <w:rPr>
          <w:i/>
          <w:iCs/>
        </w:rPr>
        <w:t xml:space="preserve">Entropy</w:t>
      </w:r>
      <w:r>
        <w:t xml:space="preserve"> </w:t>
      </w:r>
      <w:r>
        <w:t xml:space="preserve">22 (2).</w:t>
      </w:r>
      <w:r>
        <w:t xml:space="preserve"> </w:t>
      </w:r>
      <w:hyperlink r:id="rId119">
        <w:r>
          <w:rPr>
            <w:rStyle w:val="Hyperlink"/>
          </w:rPr>
          <w:t xml:space="preserve">https://doi.org/10.3390/e22020239</w:t>
        </w:r>
      </w:hyperlink>
      <w:r>
        <w:t xml:space="preserve">.</w:t>
      </w:r>
    </w:p>
    <w:bookmarkEnd w:id="120"/>
    <w:bookmarkStart w:id="122" w:name="ref-taylorPersonalReflectionsJackson2006"/>
    <w:p>
      <w:pPr>
        <w:pStyle w:val="Bibliography"/>
      </w:pPr>
      <w:r>
        <w:t xml:space="preserve">Taylor, Richard. 2006.</w:t>
      </w:r>
      <w:r>
        <w:t xml:space="preserve"> </w:t>
      </w:r>
      <w:r>
        <w:t xml:space="preserve">“Personal Reflections on</w:t>
      </w:r>
      <w:r>
        <w:t xml:space="preserve"> </w:t>
      </w:r>
      <w:r>
        <w:t xml:space="preserve">Jackson Pollock</w:t>
      </w:r>
      <w:r>
        <w:t xml:space="preserve">’s Fractal Paintings.”</w:t>
      </w:r>
      <w:r>
        <w:t xml:space="preserve"> </w:t>
      </w:r>
      <w:r>
        <w:rPr>
          <w:i/>
          <w:iCs/>
        </w:rPr>
        <w:t xml:space="preserve">História, Ciências, Saúde-Manguinhos</w:t>
      </w:r>
      <w:r>
        <w:t xml:space="preserve"> </w:t>
      </w:r>
      <w:r>
        <w:t xml:space="preserve">13 (suppl): 109–23.</w:t>
      </w:r>
      <w:r>
        <w:t xml:space="preserve"> </w:t>
      </w:r>
      <w:hyperlink r:id="rId121">
        <w:r>
          <w:rPr>
            <w:rStyle w:val="Hyperlink"/>
          </w:rPr>
          <w:t xml:space="preserve">https://doi.org/10.1590/S0104-59702006000500007</w:t>
        </w:r>
      </w:hyperlink>
      <w:r>
        <w:t xml:space="preserve">.</w:t>
      </w:r>
    </w:p>
    <w:bookmarkEnd w:id="122"/>
    <w:bookmarkStart w:id="124" w:name="Xa1638520bdcbfa3e84385927825972b83e6fcff"/>
    <w:p>
      <w:pPr>
        <w:pStyle w:val="Bibliography"/>
      </w:pPr>
      <w:r>
        <w:t xml:space="preserve">Tetereva, Alina, Sergey Kartashov, Alexey Ivanitsky, and Olga Martynova. 2020.</w:t>
      </w:r>
      <w:r>
        <w:t xml:space="preserve"> </w:t>
      </w:r>
      <w:r>
        <w:t xml:space="preserve">“Variance and</w:t>
      </w:r>
      <w:r>
        <w:t xml:space="preserve"> </w:t>
      </w:r>
      <w:r>
        <w:t xml:space="preserve">Scale-Free Properties</w:t>
      </w:r>
      <w:r>
        <w:t xml:space="preserve"> </w:t>
      </w:r>
      <w:r>
        <w:t xml:space="preserve">of</w:t>
      </w:r>
      <w:r>
        <w:t xml:space="preserve"> </w:t>
      </w:r>
      <w:r>
        <w:t xml:space="preserve">Resting-State Blood Oxygenation Level-Dependent Signal After Fear Memory Acquisition</w:t>
      </w:r>
      <w:r>
        <w:t xml:space="preserve"> </w:t>
      </w:r>
      <w:r>
        <w:t xml:space="preserve">and</w:t>
      </w:r>
      <w:r>
        <w:t xml:space="preserve"> </w:t>
      </w:r>
      <w:r>
        <w:t xml:space="preserve">Extinction</w:t>
      </w:r>
      <w:r>
        <w:t xml:space="preserve">.”</w:t>
      </w:r>
      <w:r>
        <w:t xml:space="preserve"> </w:t>
      </w:r>
      <w:r>
        <w:rPr>
          <w:i/>
          <w:iCs/>
        </w:rPr>
        <w:t xml:space="preserve">Frontiers in Human Neuroscience</w:t>
      </w:r>
      <w:r>
        <w:t xml:space="preserve"> </w:t>
      </w:r>
      <w:r>
        <w:t xml:space="preserve">14 (October): 509075.</w:t>
      </w:r>
      <w:r>
        <w:t xml:space="preserve"> </w:t>
      </w:r>
      <w:hyperlink r:id="rId123">
        <w:r>
          <w:rPr>
            <w:rStyle w:val="Hyperlink"/>
          </w:rPr>
          <w:t xml:space="preserve">https://doi.org/10.3389/fnhum.2020.509075</w:t>
        </w:r>
      </w:hyperlink>
      <w:r>
        <w:t xml:space="preserve">.</w:t>
      </w:r>
    </w:p>
    <w:bookmarkEnd w:id="124"/>
    <w:bookmarkStart w:id="126" w:name="X5a046879b6df805a46bd6b3178347516e98ea02"/>
    <w:p>
      <w:pPr>
        <w:pStyle w:val="Bibliography"/>
      </w:pPr>
      <w:r>
        <w:t xml:space="preserve">Uscătescu, Lavinia Carmen, Christopher J. Hyatt, Jack Dunn, Martin Kronbichler, Vince Calhoun, Silvia Corbera, Kevin Pelphrey, Brian Pittman, Godfrey Pearlson, and Michal Assaf. 2022.</w:t>
      </w:r>
      <w:r>
        <w:t xml:space="preserve"> </w:t>
      </w:r>
      <w:r>
        <w:t xml:space="preserve">“Using the</w:t>
      </w:r>
      <w:r>
        <w:t xml:space="preserve"> </w:t>
      </w:r>
      <w:r>
        <w:t xml:space="preserve">Excitation</w:t>
      </w:r>
      <w:r>
        <w:t xml:space="preserve">/</w:t>
      </w:r>
      <w:r>
        <w:t xml:space="preserve">Inhibition Ratio</w:t>
      </w:r>
      <w:r>
        <w:t xml:space="preserve"> </w:t>
      </w:r>
      <w:r>
        <w:t xml:space="preserve">to</w:t>
      </w:r>
      <w:r>
        <w:t xml:space="preserve"> </w:t>
      </w:r>
      <w:r>
        <w:t xml:space="preserve">Optimize</w:t>
      </w:r>
      <w:r>
        <w:t xml:space="preserve"> </w:t>
      </w:r>
      <w:r>
        <w:t xml:space="preserve">the</w:t>
      </w:r>
      <w:r>
        <w:t xml:space="preserve"> </w:t>
      </w:r>
      <w:r>
        <w:t xml:space="preserve">Classification</w:t>
      </w:r>
      <w:r>
        <w:t xml:space="preserve"> </w:t>
      </w:r>
      <w:r>
        <w:t xml:space="preserve">of</w:t>
      </w:r>
      <w:r>
        <w:t xml:space="preserve"> </w:t>
      </w:r>
      <w:r>
        <w:t xml:space="preserve">Autism</w:t>
      </w:r>
      <w:r>
        <w:t xml:space="preserve"> </w:t>
      </w:r>
      <w:r>
        <w:t xml:space="preserve">and</w:t>
      </w:r>
      <w:r>
        <w:t xml:space="preserve"> </w:t>
      </w:r>
      <w:r>
        <w:t xml:space="preserve">Schizophrenia</w:t>
      </w:r>
      <w:r>
        <w:t xml:space="preserve">.”</w:t>
      </w:r>
      <w:r>
        <w:t xml:space="preserve"> </w:t>
      </w:r>
      <w:hyperlink r:id="rId125">
        <w:r>
          <w:rPr>
            <w:rStyle w:val="Hyperlink"/>
          </w:rPr>
          <w:t xml:space="preserve">https://doi.org/10.1101/2022.05.24.22275531</w:t>
        </w:r>
      </w:hyperlink>
      <w:r>
        <w:t xml:space="preserve">.</w:t>
      </w:r>
    </w:p>
    <w:bookmarkEnd w:id="126"/>
    <w:bookmarkStart w:id="128" w:name="ref-varleyFractalDimensionCortical2020"/>
    <w:p>
      <w:pPr>
        <w:pStyle w:val="Bibliography"/>
      </w:pPr>
      <w:r>
        <w:t xml:space="preserve">Varley, Thomas F., Michael Craig, Ram Adapa, Paola Finoia, Guy Williams, Judith Allanson, John Pickard, David K. Menon, and Emmanuel A. Stamatakis. 2020.</w:t>
      </w:r>
      <w:r>
        <w:t xml:space="preserve"> </w:t>
      </w:r>
      <w:r>
        <w:t xml:space="preserve">“Fractal Dimension of Cortical Functional Connectivity Networks &amp; Severity of Disorders of Consciousness.”</w:t>
      </w:r>
      <w:r>
        <w:t xml:space="preserve"> </w:t>
      </w:r>
      <w:r>
        <w:t xml:space="preserve">Edited by Francisco J. Esteban.</w:t>
      </w:r>
      <w:r>
        <w:t xml:space="preserve"> </w:t>
      </w:r>
      <w:r>
        <w:rPr>
          <w:i/>
          <w:iCs/>
        </w:rPr>
        <w:t xml:space="preserve">PLOS ONE</w:t>
      </w:r>
      <w:r>
        <w:t xml:space="preserve"> </w:t>
      </w:r>
      <w:r>
        <w:t xml:space="preserve">15 (2): e0223812.</w:t>
      </w:r>
      <w:r>
        <w:t xml:space="preserve"> </w:t>
      </w:r>
      <w:hyperlink r:id="rId127">
        <w:r>
          <w:rPr>
            <w:rStyle w:val="Hyperlink"/>
          </w:rPr>
          <w:t xml:space="preserve">https://doi.org/10.1371/journal.pone.0223812</w:t>
        </w:r>
      </w:hyperlink>
      <w:r>
        <w:t xml:space="preserve">.</w:t>
      </w:r>
    </w:p>
    <w:bookmarkEnd w:id="128"/>
    <w:bookmarkStart w:id="130" w:name="X75edce5ec203ab3576476e9eb0b70a36cfd7231"/>
    <w:p>
      <w:pPr>
        <w:pStyle w:val="Bibliography"/>
      </w:pPr>
      <w:r>
        <w:t xml:space="preserve">Von Wegner, Frederic, Helmut Laufs, and Enzo Tagliazucchi. 2018.</w:t>
      </w:r>
      <w:r>
        <w:t xml:space="preserve"> </w:t>
      </w:r>
      <w:r>
        <w:t xml:space="preserve">“Mutual Information Identifies Spurious</w:t>
      </w:r>
      <w:r>
        <w:t xml:space="preserve"> </w:t>
      </w:r>
      <w:r>
        <w:t xml:space="preserve">Hurst</w:t>
      </w:r>
      <w:r>
        <w:t xml:space="preserve"> </w:t>
      </w:r>
      <w:r>
        <w:t xml:space="preserve">Phenomena in Resting State</w:t>
      </w:r>
      <w:r>
        <w:t xml:space="preserve"> </w:t>
      </w:r>
      <w:r>
        <w:t xml:space="preserve">EEG</w:t>
      </w:r>
      <w:r>
        <w:t xml:space="preserve"> </w:t>
      </w:r>
      <w:r>
        <w:t xml:space="preserve">and</w:t>
      </w:r>
      <w:r>
        <w:t xml:space="preserve"> </w:t>
      </w:r>
      <w:r>
        <w:t xml:space="preserve">fMRI</w:t>
      </w:r>
      <w:r>
        <w:t xml:space="preserve"> </w:t>
      </w:r>
      <w:r>
        <w:t xml:space="preserve">Data.”</w:t>
      </w:r>
      <w:r>
        <w:t xml:space="preserve"> </w:t>
      </w:r>
      <w:r>
        <w:rPr>
          <w:i/>
          <w:iCs/>
        </w:rPr>
        <w:t xml:space="preserve">Physical Review E</w:t>
      </w:r>
      <w:r>
        <w:t xml:space="preserve"> </w:t>
      </w:r>
      <w:r>
        <w:t xml:space="preserve">97 (2): 022415.</w:t>
      </w:r>
      <w:r>
        <w:t xml:space="preserve"> </w:t>
      </w:r>
      <w:hyperlink r:id="rId129">
        <w:r>
          <w:rPr>
            <w:rStyle w:val="Hyperlink"/>
          </w:rPr>
          <w:t xml:space="preserve">https://doi.org/10.1103/PhysRevE.97.022415</w:t>
        </w:r>
      </w:hyperlink>
      <w:r>
        <w:t xml:space="preserve">.</w:t>
      </w:r>
    </w:p>
    <w:bookmarkEnd w:id="130"/>
    <w:bookmarkStart w:id="132" w:name="ref-warsiCorrelatingBrainBlood2012"/>
    <w:p>
      <w:pPr>
        <w:pStyle w:val="Bibliography"/>
      </w:pPr>
      <w:r>
        <w:t xml:space="preserve">Warsi, Mohammed A., William Molloy, and Michael D. Noseworthy. 2012.</w:t>
      </w:r>
      <w:r>
        <w:t xml:space="preserve"> </w:t>
      </w:r>
      <w:r>
        <w:t xml:space="preserve">“Correlating Brain Blood Oxygenation Level Dependent (</w:t>
      </w:r>
      <w:r>
        <w:t xml:space="preserve">BOLD</w:t>
      </w:r>
      <w:r>
        <w:t xml:space="preserve">) Fractal Dimension Mapping with Magnetic Resonance Spectroscopy (</w:t>
      </w:r>
      <w:r>
        <w:t xml:space="preserve">MRS</w:t>
      </w:r>
      <w:r>
        <w:t xml:space="preserve">) in</w:t>
      </w:r>
      <w:r>
        <w:t xml:space="preserve"> </w:t>
      </w:r>
      <w:r>
        <w:t xml:space="preserve">Alzheimer</w:t>
      </w:r>
      <w:r>
        <w:t xml:space="preserve">’s Disease.”</w:t>
      </w:r>
      <w:r>
        <w:t xml:space="preserve"> </w:t>
      </w:r>
      <w:r>
        <w:rPr>
          <w:i/>
          <w:iCs/>
        </w:rPr>
        <w:t xml:space="preserve">Magnetic Resonance Materials in Physics, Biology and Medicine</w:t>
      </w:r>
      <w:r>
        <w:t xml:space="preserve"> </w:t>
      </w:r>
      <w:r>
        <w:t xml:space="preserve">25 (5): 335–44.</w:t>
      </w:r>
      <w:r>
        <w:t xml:space="preserve"> </w:t>
      </w:r>
      <w:hyperlink r:id="rId131">
        <w:r>
          <w:rPr>
            <w:rStyle w:val="Hyperlink"/>
          </w:rPr>
          <w:t xml:space="preserve">https://doi.org/10.1007/s10334-012-0312-0</w:t>
        </w:r>
      </w:hyperlink>
      <w:r>
        <w:t xml:space="preserve">.</w:t>
      </w:r>
    </w:p>
    <w:bookmarkEnd w:id="132"/>
    <w:bookmarkStart w:id="134" w:name="ref-weberPreliminaryStudyEffects2014"/>
    <w:p>
      <w:pPr>
        <w:pStyle w:val="Bibliography"/>
      </w:pPr>
      <w:r>
        <w:t xml:space="preserve">Weber, Alexander M., Noam Soreni, and Michael D. Noseworthy. 2014.</w:t>
      </w:r>
      <w:r>
        <w:t xml:space="preserve"> </w:t>
      </w:r>
      <w:r>
        <w:t xml:space="preserve">“A Preliminary Study on the Effects of Acute Ethanol Ingestion on Default Mode Network and Temporal Fractal Properties of the Brain.”</w:t>
      </w:r>
      <w:r>
        <w:t xml:space="preserve"> </w:t>
      </w:r>
      <w:r>
        <w:rPr>
          <w:i/>
          <w:iCs/>
        </w:rPr>
        <w:t xml:space="preserve">Magnetic Resonance Materials in Physics, Biology and Medicine</w:t>
      </w:r>
      <w:r>
        <w:t xml:space="preserve"> </w:t>
      </w:r>
      <w:r>
        <w:t xml:space="preserve">27 (4): 291–301.</w:t>
      </w:r>
      <w:r>
        <w:t xml:space="preserve"> </w:t>
      </w:r>
      <w:hyperlink r:id="rId133">
        <w:r>
          <w:rPr>
            <w:rStyle w:val="Hyperlink"/>
          </w:rPr>
          <w:t xml:space="preserve">https://doi.org/10.1007/s10334-013-0420-5</w:t>
        </w:r>
      </w:hyperlink>
      <w:r>
        <w:t xml:space="preserve">.</w:t>
      </w:r>
    </w:p>
    <w:bookmarkEnd w:id="134"/>
    <w:bookmarkStart w:id="136" w:name="ref-winkAgeCholinergicEffects2006"/>
    <w:p>
      <w:pPr>
        <w:pStyle w:val="Bibliography"/>
      </w:pPr>
      <w:r>
        <w:t xml:space="preserve">Wink, Alle Meije, Frédéric Bernard, Raymond Salvador, Ed Bullmore, and John Suckling. 2006.</w:t>
      </w:r>
      <w:r>
        <w:t xml:space="preserve"> </w:t>
      </w:r>
      <w:r>
        <w:t xml:space="preserve">“Age and Cholinergic Effects on Hemodynamics and Functional Coherence of Human Hippocampus.”</w:t>
      </w:r>
      <w:r>
        <w:t xml:space="preserve"> </w:t>
      </w:r>
      <w:r>
        <w:rPr>
          <w:i/>
          <w:iCs/>
        </w:rPr>
        <w:t xml:space="preserve">Neurobiology of Aging</w:t>
      </w:r>
      <w:r>
        <w:t xml:space="preserve"> </w:t>
      </w:r>
      <w:r>
        <w:t xml:space="preserve">27 (10): 1395–1404.</w:t>
      </w:r>
      <w:r>
        <w:t xml:space="preserve"> </w:t>
      </w:r>
      <w:hyperlink r:id="rId135">
        <w:r>
          <w:rPr>
            <w:rStyle w:val="Hyperlink"/>
          </w:rPr>
          <w:t xml:space="preserve">https://doi.org/10.1016/j.neurobiolaging.2005.08.011</w:t>
        </w:r>
      </w:hyperlink>
      <w:r>
        <w:t xml:space="preserve">.</w:t>
      </w:r>
    </w:p>
    <w:bookmarkEnd w:id="136"/>
    <w:bookmarkStart w:id="138" w:name="X6ee2ccee5d4e65211fef03ed8b33a5daf3d2e4e"/>
    <w:p>
      <w:pPr>
        <w:pStyle w:val="Bibliography"/>
      </w:pPr>
      <w:r>
        <w:t xml:space="preserve">Wink, Alle-Meije, Ed Bullmore, Anna Barnes, Frederic Bernard, and John Suckling. 2008.</w:t>
      </w:r>
      <w:r>
        <w:t xml:space="preserve"> </w:t>
      </w:r>
      <w:r>
        <w:t xml:space="preserve">“Monofractal and Multifractal Dynamics of Low Frequency Endogenous Brain Oscillations in Functional</w:t>
      </w:r>
      <w:r>
        <w:t xml:space="preserve"> </w:t>
      </w:r>
      <w:r>
        <w:t xml:space="preserve">MRI</w:t>
      </w:r>
      <w:r>
        <w:t xml:space="preserve">.”</w:t>
      </w:r>
      <w:r>
        <w:t xml:space="preserve"> </w:t>
      </w:r>
      <w:r>
        <w:rPr>
          <w:i/>
          <w:iCs/>
        </w:rPr>
        <w:t xml:space="preserve">Human Brain Mapping</w:t>
      </w:r>
      <w:r>
        <w:t xml:space="preserve"> </w:t>
      </w:r>
      <w:r>
        <w:t xml:space="preserve">29 (7): 791–801.</w:t>
      </w:r>
      <w:r>
        <w:t xml:space="preserve"> </w:t>
      </w:r>
      <w:hyperlink r:id="rId137">
        <w:r>
          <w:rPr>
            <w:rStyle w:val="Hyperlink"/>
          </w:rPr>
          <w:t xml:space="preserve">https://doi.org/10.1002/hbm.20593</w:t>
        </w:r>
      </w:hyperlink>
      <w:r>
        <w:t xml:space="preserve">.</w:t>
      </w:r>
    </w:p>
    <w:bookmarkEnd w:id="138"/>
    <w:bookmarkStart w:id="140" w:name="ref-xiePharmacoresistantTemporalLobe2024"/>
    <w:p>
      <w:pPr>
        <w:pStyle w:val="Bibliography"/>
      </w:pPr>
      <w:r>
        <w:t xml:space="preserve">Xie, Ke, Jessica Royer, Raul Rodriguez-Cruces, Linda Horwood, Alexander Ngo, Thaera Arafat, Hans Auer, et al. 2024.</w:t>
      </w:r>
      <w:r>
        <w:t xml:space="preserve"> </w:t>
      </w:r>
      <w:r>
        <w:t xml:space="preserve">“Pharmaco-Resistant Temporal Lobe Epilepsy Gradually Perturbs the Cortex-Wide Excitation-Inhibition Balance.”</w:t>
      </w:r>
      <w:r>
        <w:t xml:space="preserve"> </w:t>
      </w:r>
      <w:hyperlink r:id="rId139">
        <w:r>
          <w:rPr>
            <w:rStyle w:val="Hyperlink"/>
          </w:rPr>
          <w:t xml:space="preserve">https://doi.org/10.1101/2024.04.22.590555</w:t>
        </w:r>
      </w:hyperlink>
      <w:r>
        <w:t xml:space="preserve">.</w:t>
      </w:r>
    </w:p>
    <w:bookmarkEnd w:id="140"/>
    <w:bookmarkStart w:id="142" w:name="ref-yangMentalIllnessComplex2013"/>
    <w:p>
      <w:pPr>
        <w:pStyle w:val="Bibliography"/>
      </w:pPr>
      <w:r>
        <w:t xml:space="preserve">Yang, Albert C., and Shih-Jen Tsai. 2013.</w:t>
      </w:r>
      <w:r>
        <w:t xml:space="preserve"> </w:t>
      </w:r>
      <w:r>
        <w:t xml:space="preserve">“Is Mental Illness Complex?</w:t>
      </w:r>
      <w:r>
        <w:t xml:space="preserve"> </w:t>
      </w:r>
      <w:r>
        <w:t xml:space="preserve">From</w:t>
      </w:r>
      <w:r>
        <w:t xml:space="preserve"> </w:t>
      </w:r>
      <w:r>
        <w:t xml:space="preserve">Behavior to Brain.”</w:t>
      </w:r>
      <w:r>
        <w:t xml:space="preserve"> </w:t>
      </w:r>
      <w:r>
        <w:rPr>
          <w:i/>
          <w:iCs/>
        </w:rPr>
        <w:t xml:space="preserve">Progress in Neuro-Psychopharmacology and Biological Psychiatry</w:t>
      </w:r>
      <w:r>
        <w:t xml:space="preserve"> </w:t>
      </w:r>
      <w:r>
        <w:t xml:space="preserve">45 (August): 253–57.</w:t>
      </w:r>
      <w:r>
        <w:t xml:space="preserve"> </w:t>
      </w:r>
      <w:hyperlink r:id="rId141">
        <w:r>
          <w:rPr>
            <w:rStyle w:val="Hyperlink"/>
          </w:rPr>
          <w:t xml:space="preserve">https://doi.org/10.1016/j.pnpbp.2012.09.015</w:t>
        </w:r>
      </w:hyperlink>
      <w:r>
        <w:t xml:space="preserve">.</w:t>
      </w:r>
    </w:p>
    <w:bookmarkEnd w:id="142"/>
    <w:bookmarkEnd w:id="143"/>
    <w:bookmarkEnd w:id="1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20" Target="media/rId20.png" /><Relationship Type="http://schemas.openxmlformats.org/officeDocument/2006/relationships/image" Id="rId40" Target="media/rId40.png" /><Relationship Type="http://schemas.openxmlformats.org/officeDocument/2006/relationships/image" Id="rId30" Target="media/rId30.png" /><Relationship Type="http://schemas.openxmlformats.org/officeDocument/2006/relationships/image" Id="rId46" Target="media/rId46.png" /><Relationship Type="http://schemas.openxmlformats.org/officeDocument/2006/relationships/image" Id="rId24" Target="media/rId24.png" /><Relationship Type="http://schemas.openxmlformats.org/officeDocument/2006/relationships/hyperlink" Id="rId44" Target="https://WeberLab.github.io/A-guide-to-temporal-complexity-for-fMRI-scientists/notebooks/Figures-preview.html#cell-fourproperties" TargetMode="External" /><Relationship Type="http://schemas.openxmlformats.org/officeDocument/2006/relationships/hyperlink" Id="rId34" Target="https://WeberLab.github.io/A-guide-to-temporal-complexity-for-fMRI-scientists/notebooks/Figures-preview.html#cell-sierpinskitriangle" TargetMode="External" /><Relationship Type="http://schemas.openxmlformats.org/officeDocument/2006/relationships/hyperlink" Id="rId50" Target="https://WeberLab.github.io/A-guide-to-temporal-complexity-for-fMRI-scientists/notebooks/Figures-preview.html#cell-typicalsamplepaths" TargetMode="External" /><Relationship Type="http://schemas.openxmlformats.org/officeDocument/2006/relationships/hyperlink" Id="rId28" Target="https://WeberLab.github.io/A-guide-to-temporal-complexity-for-fMRI-scientists/notebooks/Figures-preview.html#cell-wordcloud" TargetMode="External" /><Relationship Type="http://schemas.openxmlformats.org/officeDocument/2006/relationships/hyperlink" Id="rId137" Target="https://doi.org/10.1002/hbm.20593" TargetMode="External" /><Relationship Type="http://schemas.openxmlformats.org/officeDocument/2006/relationships/hyperlink" Id="rId61" Target="https://doi.org/10.1002/hbm.22687" TargetMode="External" /><Relationship Type="http://schemas.openxmlformats.org/officeDocument/2006/relationships/hyperlink" Id="rId93" Target="https://doi.org/10.1002/hbm.26539" TargetMode="External" /><Relationship Type="http://schemas.openxmlformats.org/officeDocument/2006/relationships/hyperlink" Id="rId77" Target="https://doi.org/10.1007/s004249900135" TargetMode="External" /><Relationship Type="http://schemas.openxmlformats.org/officeDocument/2006/relationships/hyperlink" Id="rId131" Target="https://doi.org/10.1007/s10334-012-0312-0" TargetMode="External" /><Relationship Type="http://schemas.openxmlformats.org/officeDocument/2006/relationships/hyperlink" Id="rId133" Target="https://doi.org/10.1007/s10334-013-0420-5" TargetMode="External" /><Relationship Type="http://schemas.openxmlformats.org/officeDocument/2006/relationships/hyperlink" Id="rId85" Target="https://doi.org/10.1016/j.bbr.2017.03.031" TargetMode="External" /><Relationship Type="http://schemas.openxmlformats.org/officeDocument/2006/relationships/hyperlink" Id="rId97" Target="https://doi.org/10.1016/j.biopsych.2010.06.027" TargetMode="External" /><Relationship Type="http://schemas.openxmlformats.org/officeDocument/2006/relationships/hyperlink" Id="rId103" Target="https://doi.org/10.1016/j.bpsc.2024.09.003" TargetMode="External" /><Relationship Type="http://schemas.openxmlformats.org/officeDocument/2006/relationships/hyperlink" Id="rId117" Target="https://doi.org/10.1016/j.jneumeth.2008.06.037" TargetMode="External" /><Relationship Type="http://schemas.openxmlformats.org/officeDocument/2006/relationships/hyperlink" Id="rId135" Target="https://doi.org/10.1016/j.neurobiolaging.2005.08.011" TargetMode="External" /><Relationship Type="http://schemas.openxmlformats.org/officeDocument/2006/relationships/hyperlink" Id="rId105" Target="https://doi.org/10.1016/j.neuroimage.2004.10.044" TargetMode="External" /><Relationship Type="http://schemas.openxmlformats.org/officeDocument/2006/relationships/hyperlink" Id="rId99" Target="https://doi.org/10.1016/j.neuroimage.2013.02.020" TargetMode="External" /><Relationship Type="http://schemas.openxmlformats.org/officeDocument/2006/relationships/hyperlink" Id="rId65" Target="https://doi.org/10.1016/j.neuroimage.2014.03.047" TargetMode="External" /><Relationship Type="http://schemas.openxmlformats.org/officeDocument/2006/relationships/hyperlink" Id="rId141" Target="https://doi.org/10.1016/j.pnpbp.2012.09.015" TargetMode="External" /><Relationship Type="http://schemas.openxmlformats.org/officeDocument/2006/relationships/hyperlink" Id="rId87" Target="https://doi.org/10.1016/j.pscychresns.2015.03.005" TargetMode="External" /><Relationship Type="http://schemas.openxmlformats.org/officeDocument/2006/relationships/hyperlink" Id="rId63" Target="https://doi.org/10.1038/srep30895" TargetMode="External" /><Relationship Type="http://schemas.openxmlformats.org/officeDocument/2006/relationships/hyperlink" Id="rId81" Target="https://doi.org/10.1093/cercor/bhac115" TargetMode="External" /><Relationship Type="http://schemas.openxmlformats.org/officeDocument/2006/relationships/hyperlink" Id="rId107" Target="https://doi.org/10.1093/cercor/bhae426" TargetMode="External" /><Relationship Type="http://schemas.openxmlformats.org/officeDocument/2006/relationships/hyperlink" Id="rId113" Target="https://doi.org/10.1093/nc/niab023" TargetMode="External" /><Relationship Type="http://schemas.openxmlformats.org/officeDocument/2006/relationships/hyperlink" Id="rId83" Target="https://doi.org/10.1093/scan/nsy092" TargetMode="External" /><Relationship Type="http://schemas.openxmlformats.org/officeDocument/2006/relationships/hyperlink" Id="rId109" Target="https://doi.org/10.1101/2021.11.20.469367" TargetMode="External" /><Relationship Type="http://schemas.openxmlformats.org/officeDocument/2006/relationships/hyperlink" Id="rId125" Target="https://doi.org/10.1101/2022.05.24.22275531" TargetMode="External" /><Relationship Type="http://schemas.openxmlformats.org/officeDocument/2006/relationships/hyperlink" Id="rId139" Target="https://doi.org/10.1101/2024.04.22.590555" TargetMode="External" /><Relationship Type="http://schemas.openxmlformats.org/officeDocument/2006/relationships/hyperlink" Id="rId73" Target="https://doi.org/10.1101/2024.09.15.613114" TargetMode="External" /><Relationship Type="http://schemas.openxmlformats.org/officeDocument/2006/relationships/hyperlink" Id="rId129" Target="https://doi.org/10.1103/PhysRevE.97.022415" TargetMode="External" /><Relationship Type="http://schemas.openxmlformats.org/officeDocument/2006/relationships/hyperlink" Id="rId101" Target="https://doi.org/10.1155/2021/6640108" TargetMode="External" /><Relationship Type="http://schemas.openxmlformats.org/officeDocument/2006/relationships/hyperlink" Id="rId75" Target="https://doi.org/10.1371/journal.pcsy.0000024" TargetMode="External" /><Relationship Type="http://schemas.openxmlformats.org/officeDocument/2006/relationships/hyperlink" Id="rId56" Target="https://doi.org/10.1371/journal.pone.0006626" TargetMode="External" /><Relationship Type="http://schemas.openxmlformats.org/officeDocument/2006/relationships/hyperlink" Id="rId111" Target="https://doi.org/10.1371/journal.pone.0063448" TargetMode="External" /><Relationship Type="http://schemas.openxmlformats.org/officeDocument/2006/relationships/hyperlink" Id="rId115" Target="https://doi.org/10.1371/journal.pone.0095146" TargetMode="External" /><Relationship Type="http://schemas.openxmlformats.org/officeDocument/2006/relationships/hyperlink" Id="rId69" Target="https://doi.org/10.1371/journal.pone.0169647" TargetMode="External" /><Relationship Type="http://schemas.openxmlformats.org/officeDocument/2006/relationships/hyperlink" Id="rId67" Target="https://doi.org/10.1371/journal.pone.0190081" TargetMode="External" /><Relationship Type="http://schemas.openxmlformats.org/officeDocument/2006/relationships/hyperlink" Id="rId127" Target="https://doi.org/10.1371/journal.pone.0223812" TargetMode="External" /><Relationship Type="http://schemas.openxmlformats.org/officeDocument/2006/relationships/hyperlink" Id="rId89" Target="https://doi.org/10.1523/JNEUROSCI.2111-11.2011" TargetMode="External" /><Relationship Type="http://schemas.openxmlformats.org/officeDocument/2006/relationships/hyperlink" Id="rId121" Target="https://doi.org/10.1590/S0104-59702006000500007" TargetMode="External" /><Relationship Type="http://schemas.openxmlformats.org/officeDocument/2006/relationships/hyperlink" Id="rId91" Target="https://doi.org/10.18502/ijps.v18i4.13637" TargetMode="External" /><Relationship Type="http://schemas.openxmlformats.org/officeDocument/2006/relationships/hyperlink" Id="rId123" Target="https://doi.org/10.3389/fnhum.2020.509075" TargetMode="External" /><Relationship Type="http://schemas.openxmlformats.org/officeDocument/2006/relationships/hyperlink" Id="rId71" Target="https://doi.org/10.3389/fnins.2018.00034" TargetMode="External" /><Relationship Type="http://schemas.openxmlformats.org/officeDocument/2006/relationships/hyperlink" Id="rId54" Target="https://doi.org/10.3389/fphys.2018.01378" TargetMode="External" /><Relationship Type="http://schemas.openxmlformats.org/officeDocument/2006/relationships/hyperlink" Id="rId59" Target="https://doi.org/10.3389/fphys.2021.809943" TargetMode="External" /><Relationship Type="http://schemas.openxmlformats.org/officeDocument/2006/relationships/hyperlink" Id="rId119" Target="https://doi.org/10.3390/e22020239" TargetMode="External" /><Relationship Type="http://schemas.openxmlformats.org/officeDocument/2006/relationships/hyperlink" Id="rId95" Target="https://doi.org/10.3390/e22090917" TargetMode="External" /><Relationship Type="http://schemas.openxmlformats.org/officeDocument/2006/relationships/hyperlink" Id="rId79" Target="https://doi.org/10.3390/fractalfract9020112" TargetMode="External" /></Relationships>
</file>

<file path=word/_rels/footnotes.xml.rels><?xml version="1.0" encoding="UTF-8"?><Relationships xmlns="http://schemas.openxmlformats.org/package/2006/relationships"><Relationship Type="http://schemas.openxmlformats.org/officeDocument/2006/relationships/hyperlink" Id="rId44" Target="https://WeberLab.github.io/A-guide-to-temporal-complexity-for-fMRI-scientists/notebooks/Figures-preview.html#cell-fourproperties" TargetMode="External" /><Relationship Type="http://schemas.openxmlformats.org/officeDocument/2006/relationships/hyperlink" Id="rId34" Target="https://WeberLab.github.io/A-guide-to-temporal-complexity-for-fMRI-scientists/notebooks/Figures-preview.html#cell-sierpinskitriangle" TargetMode="External" /><Relationship Type="http://schemas.openxmlformats.org/officeDocument/2006/relationships/hyperlink" Id="rId50" Target="https://WeberLab.github.io/A-guide-to-temporal-complexity-for-fMRI-scientists/notebooks/Figures-preview.html#cell-typicalsamplepaths" TargetMode="External" /><Relationship Type="http://schemas.openxmlformats.org/officeDocument/2006/relationships/hyperlink" Id="rId28" Target="https://WeberLab.github.io/A-guide-to-temporal-complexity-for-fMRI-scientists/notebooks/Figures-preview.html#cell-wordcloud" TargetMode="External" /><Relationship Type="http://schemas.openxmlformats.org/officeDocument/2006/relationships/hyperlink" Id="rId137" Target="https://doi.org/10.1002/hbm.20593" TargetMode="External" /><Relationship Type="http://schemas.openxmlformats.org/officeDocument/2006/relationships/hyperlink" Id="rId61" Target="https://doi.org/10.1002/hbm.22687" TargetMode="External" /><Relationship Type="http://schemas.openxmlformats.org/officeDocument/2006/relationships/hyperlink" Id="rId93" Target="https://doi.org/10.1002/hbm.26539" TargetMode="External" /><Relationship Type="http://schemas.openxmlformats.org/officeDocument/2006/relationships/hyperlink" Id="rId77" Target="https://doi.org/10.1007/s004249900135" TargetMode="External" /><Relationship Type="http://schemas.openxmlformats.org/officeDocument/2006/relationships/hyperlink" Id="rId131" Target="https://doi.org/10.1007/s10334-012-0312-0" TargetMode="External" /><Relationship Type="http://schemas.openxmlformats.org/officeDocument/2006/relationships/hyperlink" Id="rId133" Target="https://doi.org/10.1007/s10334-013-0420-5" TargetMode="External" /><Relationship Type="http://schemas.openxmlformats.org/officeDocument/2006/relationships/hyperlink" Id="rId85" Target="https://doi.org/10.1016/j.bbr.2017.03.031" TargetMode="External" /><Relationship Type="http://schemas.openxmlformats.org/officeDocument/2006/relationships/hyperlink" Id="rId97" Target="https://doi.org/10.1016/j.biopsych.2010.06.027" TargetMode="External" /><Relationship Type="http://schemas.openxmlformats.org/officeDocument/2006/relationships/hyperlink" Id="rId103" Target="https://doi.org/10.1016/j.bpsc.2024.09.003" TargetMode="External" /><Relationship Type="http://schemas.openxmlformats.org/officeDocument/2006/relationships/hyperlink" Id="rId117" Target="https://doi.org/10.1016/j.jneumeth.2008.06.037" TargetMode="External" /><Relationship Type="http://schemas.openxmlformats.org/officeDocument/2006/relationships/hyperlink" Id="rId135" Target="https://doi.org/10.1016/j.neurobiolaging.2005.08.011" TargetMode="External" /><Relationship Type="http://schemas.openxmlformats.org/officeDocument/2006/relationships/hyperlink" Id="rId105" Target="https://doi.org/10.1016/j.neuroimage.2004.10.044" TargetMode="External" /><Relationship Type="http://schemas.openxmlformats.org/officeDocument/2006/relationships/hyperlink" Id="rId99" Target="https://doi.org/10.1016/j.neuroimage.2013.02.020" TargetMode="External" /><Relationship Type="http://schemas.openxmlformats.org/officeDocument/2006/relationships/hyperlink" Id="rId65" Target="https://doi.org/10.1016/j.neuroimage.2014.03.047" TargetMode="External" /><Relationship Type="http://schemas.openxmlformats.org/officeDocument/2006/relationships/hyperlink" Id="rId141" Target="https://doi.org/10.1016/j.pnpbp.2012.09.015" TargetMode="External" /><Relationship Type="http://schemas.openxmlformats.org/officeDocument/2006/relationships/hyperlink" Id="rId87" Target="https://doi.org/10.1016/j.pscychresns.2015.03.005" TargetMode="External" /><Relationship Type="http://schemas.openxmlformats.org/officeDocument/2006/relationships/hyperlink" Id="rId63" Target="https://doi.org/10.1038/srep30895" TargetMode="External" /><Relationship Type="http://schemas.openxmlformats.org/officeDocument/2006/relationships/hyperlink" Id="rId81" Target="https://doi.org/10.1093/cercor/bhac115" TargetMode="External" /><Relationship Type="http://schemas.openxmlformats.org/officeDocument/2006/relationships/hyperlink" Id="rId107" Target="https://doi.org/10.1093/cercor/bhae426" TargetMode="External" /><Relationship Type="http://schemas.openxmlformats.org/officeDocument/2006/relationships/hyperlink" Id="rId113" Target="https://doi.org/10.1093/nc/niab023" TargetMode="External" /><Relationship Type="http://schemas.openxmlformats.org/officeDocument/2006/relationships/hyperlink" Id="rId83" Target="https://doi.org/10.1093/scan/nsy092" TargetMode="External" /><Relationship Type="http://schemas.openxmlformats.org/officeDocument/2006/relationships/hyperlink" Id="rId109" Target="https://doi.org/10.1101/2021.11.20.469367" TargetMode="External" /><Relationship Type="http://schemas.openxmlformats.org/officeDocument/2006/relationships/hyperlink" Id="rId125" Target="https://doi.org/10.1101/2022.05.24.22275531" TargetMode="External" /><Relationship Type="http://schemas.openxmlformats.org/officeDocument/2006/relationships/hyperlink" Id="rId139" Target="https://doi.org/10.1101/2024.04.22.590555" TargetMode="External" /><Relationship Type="http://schemas.openxmlformats.org/officeDocument/2006/relationships/hyperlink" Id="rId73" Target="https://doi.org/10.1101/2024.09.15.613114" TargetMode="External" /><Relationship Type="http://schemas.openxmlformats.org/officeDocument/2006/relationships/hyperlink" Id="rId129" Target="https://doi.org/10.1103/PhysRevE.97.022415" TargetMode="External" /><Relationship Type="http://schemas.openxmlformats.org/officeDocument/2006/relationships/hyperlink" Id="rId101" Target="https://doi.org/10.1155/2021/6640108" TargetMode="External" /><Relationship Type="http://schemas.openxmlformats.org/officeDocument/2006/relationships/hyperlink" Id="rId75" Target="https://doi.org/10.1371/journal.pcsy.0000024" TargetMode="External" /><Relationship Type="http://schemas.openxmlformats.org/officeDocument/2006/relationships/hyperlink" Id="rId56" Target="https://doi.org/10.1371/journal.pone.0006626" TargetMode="External" /><Relationship Type="http://schemas.openxmlformats.org/officeDocument/2006/relationships/hyperlink" Id="rId111" Target="https://doi.org/10.1371/journal.pone.0063448" TargetMode="External" /><Relationship Type="http://schemas.openxmlformats.org/officeDocument/2006/relationships/hyperlink" Id="rId115" Target="https://doi.org/10.1371/journal.pone.0095146" TargetMode="External" /><Relationship Type="http://schemas.openxmlformats.org/officeDocument/2006/relationships/hyperlink" Id="rId69" Target="https://doi.org/10.1371/journal.pone.0169647" TargetMode="External" /><Relationship Type="http://schemas.openxmlformats.org/officeDocument/2006/relationships/hyperlink" Id="rId67" Target="https://doi.org/10.1371/journal.pone.0190081" TargetMode="External" /><Relationship Type="http://schemas.openxmlformats.org/officeDocument/2006/relationships/hyperlink" Id="rId127" Target="https://doi.org/10.1371/journal.pone.0223812" TargetMode="External" /><Relationship Type="http://schemas.openxmlformats.org/officeDocument/2006/relationships/hyperlink" Id="rId89" Target="https://doi.org/10.1523/JNEUROSCI.2111-11.2011" TargetMode="External" /><Relationship Type="http://schemas.openxmlformats.org/officeDocument/2006/relationships/hyperlink" Id="rId121" Target="https://doi.org/10.1590/S0104-59702006000500007" TargetMode="External" /><Relationship Type="http://schemas.openxmlformats.org/officeDocument/2006/relationships/hyperlink" Id="rId91" Target="https://doi.org/10.18502/ijps.v18i4.13637" TargetMode="External" /><Relationship Type="http://schemas.openxmlformats.org/officeDocument/2006/relationships/hyperlink" Id="rId123" Target="https://doi.org/10.3389/fnhum.2020.509075" TargetMode="External" /><Relationship Type="http://schemas.openxmlformats.org/officeDocument/2006/relationships/hyperlink" Id="rId71" Target="https://doi.org/10.3389/fnins.2018.00034" TargetMode="External" /><Relationship Type="http://schemas.openxmlformats.org/officeDocument/2006/relationships/hyperlink" Id="rId54" Target="https://doi.org/10.3389/fphys.2018.01378" TargetMode="External" /><Relationship Type="http://schemas.openxmlformats.org/officeDocument/2006/relationships/hyperlink" Id="rId59" Target="https://doi.org/10.3389/fphys.2021.809943" TargetMode="External" /><Relationship Type="http://schemas.openxmlformats.org/officeDocument/2006/relationships/hyperlink" Id="rId119" Target="https://doi.org/10.3390/e22020239" TargetMode="External" /><Relationship Type="http://schemas.openxmlformats.org/officeDocument/2006/relationships/hyperlink" Id="rId95" Target="https://doi.org/10.3390/e22090917" TargetMode="External" /><Relationship Type="http://schemas.openxmlformats.org/officeDocument/2006/relationships/hyperlink" Id="rId79" Target="https://doi.org/10.3390/fractalfract90201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Hitchhiker’s Guide to Temporal Complexity for Resting State fMRI Analysis</dc:title>
  <dc:creator>Isabel Si-En Wilson; Andre Reza Zamani; Alexander Mark Weber</dc:creator>
  <cp:keywords>temporal complexity, complexity, entropy, sample entropy, hurst exponent, fractal dimension, fractal, functional magnetic resonance imaging, resting-state, nonlinear dynamics, neuroscience, brain, blood-oxygen level dependence, predictability, irregularity, long-range temporal correlations, long-term memory, scale-invariance, power-law</cp:keywords>
  <dcterms:created xsi:type="dcterms:W3CDTF">2025-12-09T18:47:26Z</dcterms:created>
  <dcterms:modified xsi:type="dcterms:W3CDTF">2025-12-09T18:47:26Z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Cognitive and clinical neuroimaging have increasingly drawn on tools from complexity science to characterize the nonlinear dynamics of the brain. Temporal complexity metrics reflect a range of approaches to complexity in time series, including describing the system’s regularity and irregularity, predictability and unpredictability, information compressibility, and long-term memory. In functional magnetic resonance imaging (fMRI), applications of temporal complexity are scattered across siloed literatures with varying clarity, which limits accessibility and therefore prevalence. This review aims to bridge this gap by communicating the basics of temporal complexity to fMRI scientists. We offer a comprehensive guide to temporal complexity in fMRI, including an overview of fMRI temporal complexity metrics—Shannon entropy, variations of (multi-scale) sample entropy, Lempel-Ziv complexity, avalanche measures, and Hurst—followed by a comprehensive review of extant applications in fMRI.</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BrainDynamics.bib</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date">
    <vt:lpwstr>2025-12-03</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auto</vt:lpwstr>
  </property>
  <property fmtid="{D5CDD505-2E9C-101B-9397-08002B2CF9AE}" pid="18" name="manuscript">
    <vt:lpwstr/>
  </property>
  <property fmtid="{D5CDD505-2E9C-101B-9397-08002B2CF9AE}" pid="19" name="notebook-preview-options">
    <vt:lpwstr/>
  </property>
  <property fmtid="{D5CDD505-2E9C-101B-9397-08002B2CF9AE}" pid="20" name="quarto-internal">
    <vt:lpwstr/>
  </property>
  <property fmtid="{D5CDD505-2E9C-101B-9397-08002B2CF9AE}" pid="21" name="remove-hidden">
    <vt:lpwstr>all</vt:lpwstr>
  </property>
  <property fmtid="{D5CDD505-2E9C-101B-9397-08002B2CF9AE}" pid="22" name="template-partials">
    <vt:lpwstr/>
  </property>
  <property fmtid="{D5CDD505-2E9C-101B-9397-08002B2CF9AE}" pid="23" name="theme">
    <vt:lpwstr>cosmo</vt:lpwstr>
  </property>
  <property fmtid="{D5CDD505-2E9C-101B-9397-08002B2CF9AE}" pid="24" name="title-block-style">
    <vt:lpwstr>manuscript</vt:lpwstr>
  </property>
  <property fmtid="{D5CDD505-2E9C-101B-9397-08002B2CF9AE}" pid="25" name="toc-title">
    <vt:lpwstr>Table of contents</vt:lpwstr>
  </property>
  <property fmtid="{D5CDD505-2E9C-101B-9397-08002B2CF9AE}" pid="26" name="unroll-markdown-cells">
    <vt:lpwstr>True</vt:lpwstr>
  </property>
</Properties>
</file>