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Graphical Abstract</w:t>
      </w:r>
    </w:p>
    <w:p>
      <w:pPr>
        <w:pStyle w:val="Normal"/>
        <w:bidi w:val="0"/>
        <w:jc w:val="start"/>
        <w:rPr>
          <w:rFonts w:ascii="aptos" w:hAnsi="aptos"/>
        </w:rPr>
      </w:pPr>
      <w:r>
        <w:rPr>
          <w:rFonts w:ascii="aptos" w:hAnsi="aptos"/>
        </w:rPr>
        <w:t xml:space="preserve">This study presents a novel multi-modal MRI approach to measure cerebral blood flow (CBF) and oxygen metabolism (CMRO₂) in preterm infants. </w:t>
      </w:r>
      <w:r>
        <w:rPr>
          <w:rFonts w:ascii="aptos" w:hAnsi="aptos"/>
        </w:rPr>
        <w:t>Exploratory f</w:t>
      </w:r>
      <w:r>
        <w:rPr>
          <w:rFonts w:ascii="aptos" w:hAnsi="aptos"/>
        </w:rPr>
        <w:t>indings suggest non-invasive respiratory support is associated with higher CBF and CMRO₂, highlighting its potential impact on neonatal brain oxygenation and development.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50</Words>
  <Characters>297</Characters>
  <CharactersWithSpaces>341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2025-03-24T15:28:24Z</dcterms:created>
  <dc:creator>Alex Weber</dc:creator>
  <dc:description/>
  <dc:language>en-CA</dc:language>
  <cp:lastModifiedBy>Alex Weber</cp:lastModifiedBy>
  <dcterms:modified xsi:type="dcterms:W3CDTF">2025-03-24T15:29:41Z</dcterms:modified>
  <cp:revision>1</cp:revision>
  <dc:subject/>
  <dc:title/>
</cp:coreProperties>
</file>