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left"/>
        <w:rPr/>
      </w:pPr>
      <w:r>
        <w:rPr/>
        <w:t>Tables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noHBand="0" w:noVBand="0" w:firstColumn="0" w:lastRow="0" w:lastColumn="0" w:firstRow="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9360" w:type="dxa"/>
            <w:gridSpan w:val="5"/>
            <w:tcBorders/>
          </w:tcPr>
          <w:p>
            <w:pPr>
              <w:pStyle w:val="ImageCaption"/>
              <w:widowControl w:val="false"/>
              <w:spacing w:before="200" w:after="120"/>
              <w:jc w:val="left"/>
              <w:rPr/>
            </w:pPr>
            <w:r>
              <w:rPr>
                <w:b/>
                <w:bCs/>
              </w:rPr>
              <w:t>Table</w:t>
            </w:r>
            <w:r>
              <w:rPr/>
              <w:t> 1</w:t>
            </w:r>
            <w:r>
              <w:rPr>
                <w:b/>
                <w:bCs/>
              </w:rPr>
              <w:t>.</w:t>
            </w:r>
            <w:r>
              <w:rPr/>
              <w:t xml:space="preserve"> </w:t>
            </w:r>
            <w:r>
              <w:rPr>
                <w:b/>
                <w:bCs/>
              </w:rPr>
              <w:t>Technical parameters for MR imaging pulse sequences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b/>
                <w:sz w:val="20"/>
              </w:rPr>
              <w:t>T1w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b/>
                <w:sz w:val="20"/>
              </w:rPr>
              <w:t>T2w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b/>
                <w:sz w:val="20"/>
              </w:rPr>
              <w:t>pcASL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b/>
                <w:sz w:val="20"/>
              </w:rPr>
              <w:t>SWI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Sequence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3D FSPGR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3D CUBE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Multi-shot 3D fast spin-echo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3D spoiled GRE flow-compensated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Acquisition plane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Coronal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Sagittal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Axial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Axial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Phase-encoding direction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Left-Right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Posterior-Anterior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Posterior-Anterior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Left-Right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TR (ms)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7.74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2,300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4,680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30.9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TE (ms)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2.97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66.29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10.55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5 echoes; first echo: 5; echo spacing: 5.24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Flip angle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12°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90°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111°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20°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FOV (cm)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24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25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Acquisition matrix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512 x 512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256 x 256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128 x 128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256 x 256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In-plane resolution (mm)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0.39 x 0.39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0.78 x 0.78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1.875 x 1.875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0.977 x 0.977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Slice thickness (mm)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2, reconstructed to 1 with zero filling (ZIP2)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Number of slices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126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106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50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92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Additional parameters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n/a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n/a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1,450 ms label period; 2,025 ms pulse label; 24 control-label pairs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n/a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Scan duration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4 min 39 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5 min 1 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5 min 26 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5 min 29 s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/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bookmarkStart w:id="0" w:name="tbl-mri"/>
            <w:r>
              <w:rPr>
                <w:rFonts w:ascii="Calibri" w:hAnsi="Calibri"/>
                <w:sz w:val="20"/>
              </w:rPr>
              <w:t>T1w = T1-weighted; T2w = T2-weighted; pcASL = pseudo-continuous arterial spin labelling; SWI = susceptibility weighted imaging; FSPG = fast spoiled gradient echo; CUBE = General Electric name of sequence, not an acronym; GRE = gradient echo; ZIP2 = through-plane zero filling interpolation</w:t>
            </w:r>
            <w:bookmarkEnd w:id="0"/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noHBand="0" w:noVBand="0" w:firstColumn="0" w:lastRow="0" w:lastColumn="0" w:firstRow="0"/>
      </w:tblPr>
      <w:tblGrid>
        <w:gridCol w:w="4679"/>
        <w:gridCol w:w="4680"/>
      </w:tblGrid>
      <w:tr>
        <w:trPr/>
        <w:tc>
          <w:tcPr>
            <w:tcW w:w="9359" w:type="dxa"/>
            <w:gridSpan w:val="2"/>
            <w:tcBorders/>
          </w:tcPr>
          <w:p>
            <w:pPr>
              <w:pStyle w:val="ImageCaption"/>
              <w:pageBreakBefore/>
              <w:widowControl w:val="false"/>
              <w:spacing w:before="200" w:after="120"/>
              <w:jc w:val="left"/>
              <w:rPr/>
            </w:pPr>
            <w:r>
              <w:rPr>
                <w:b/>
                <w:bCs/>
              </w:rPr>
              <w:t>Table</w:t>
            </w:r>
            <w:r>
              <w:rPr/>
              <w:t> 2</w:t>
            </w:r>
            <w:r>
              <w:rPr>
                <w:b/>
                <w:bCs/>
              </w:rPr>
              <w:t>.</w:t>
            </w:r>
            <w:r>
              <w:rPr/>
              <w:t xml:space="preserve"> </w:t>
            </w:r>
            <w:r>
              <w:rPr>
                <w:b/>
                <w:bCs/>
              </w:rPr>
              <w:t>Demographic and clinical characteristic of the study sample.</w:t>
            </w:r>
          </w:p>
        </w:tc>
      </w:tr>
      <w:tr>
        <w:trPr>
          <w:cantSplit w:val="true"/>
        </w:trPr>
        <w:tc>
          <w:tcPr>
            <w:tcW w:w="4679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b/>
                <w:sz w:val="20"/>
              </w:rPr>
              <w:t>Variable</w:t>
            </w:r>
          </w:p>
        </w:tc>
        <w:tc>
          <w:tcPr>
            <w:tcW w:w="4680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b/>
                <w:sz w:val="20"/>
              </w:rPr>
              <w:t>Subject data (n = 19)</w:t>
            </w:r>
          </w:p>
        </w:tc>
      </w:tr>
      <w:tr>
        <w:trPr>
          <w:cantSplit w:val="true"/>
        </w:trPr>
        <w:tc>
          <w:tcPr>
            <w:tcW w:w="467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Gestational age, weeks (mean ± SD)</w:t>
            </w:r>
          </w:p>
        </w:tc>
        <w:tc>
          <w:tcPr>
            <w:tcW w:w="468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28.8 ± 1.68</w:t>
            </w:r>
          </w:p>
        </w:tc>
      </w:tr>
      <w:tr>
        <w:trPr>
          <w:cantSplit w:val="true"/>
        </w:trPr>
        <w:tc>
          <w:tcPr>
            <w:tcW w:w="467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Corrected gestational age on scan day, weeks (mean ± SD)</w:t>
            </w:r>
          </w:p>
        </w:tc>
        <w:tc>
          <w:tcPr>
            <w:tcW w:w="468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40.36 ± 1.4</w:t>
            </w:r>
          </w:p>
        </w:tc>
      </w:tr>
      <w:tr>
        <w:trPr>
          <w:cantSplit w:val="true"/>
        </w:trPr>
        <w:tc>
          <w:tcPr>
            <w:tcW w:w="467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Number of male neonates (%)</w:t>
            </w:r>
          </w:p>
        </w:tc>
        <w:tc>
          <w:tcPr>
            <w:tcW w:w="468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10 (52.63)</w:t>
            </w:r>
          </w:p>
        </w:tc>
      </w:tr>
      <w:tr>
        <w:trPr>
          <w:cantSplit w:val="true"/>
        </w:trPr>
        <w:tc>
          <w:tcPr>
            <w:tcW w:w="467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Birth weight, g (mean ± SD)</w:t>
            </w:r>
          </w:p>
        </w:tc>
        <w:tc>
          <w:tcPr>
            <w:tcW w:w="468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1276.05 ± 294.87</w:t>
            </w:r>
          </w:p>
        </w:tc>
      </w:tr>
      <w:tr>
        <w:trPr>
          <w:cantSplit w:val="true"/>
        </w:trPr>
        <w:tc>
          <w:tcPr>
            <w:tcW w:w="467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Weight on scan day, g (mean ± SD)</w:t>
            </w:r>
          </w:p>
        </w:tc>
        <w:tc>
          <w:tcPr>
            <w:tcW w:w="468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3396.58 ± 597.72</w:t>
            </w:r>
          </w:p>
        </w:tc>
      </w:tr>
      <w:tr>
        <w:trPr>
          <w:cantSplit w:val="true"/>
        </w:trPr>
        <w:tc>
          <w:tcPr>
            <w:tcW w:w="467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Days spent in NICU (median, IQR)</w:t>
            </w:r>
          </w:p>
        </w:tc>
        <w:tc>
          <w:tcPr>
            <w:tcW w:w="468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53, 23</w:t>
            </w:r>
          </w:p>
        </w:tc>
      </w:tr>
      <w:tr>
        <w:trPr>
          <w:cantSplit w:val="true"/>
        </w:trPr>
        <w:tc>
          <w:tcPr>
            <w:tcW w:w="467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Days on ventilation (median, IQR)</w:t>
            </w:r>
          </w:p>
        </w:tc>
        <w:tc>
          <w:tcPr>
            <w:tcW w:w="468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31, 28.5</w:t>
            </w:r>
          </w:p>
        </w:tc>
      </w:tr>
      <w:tr>
        <w:trPr>
          <w:cantSplit w:val="true"/>
        </w:trPr>
        <w:tc>
          <w:tcPr>
            <w:tcW w:w="9359" w:type="dxa"/>
            <w:gridSpan w:val="2"/>
            <w:tcBorders/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bookmarkStart w:id="1" w:name="tbl-dem"/>
            <w:r>
              <w:rPr>
                <w:rFonts w:ascii="Calibri" w:hAnsi="Calibri"/>
                <w:sz w:val="20"/>
              </w:rPr>
              <w:t>SD = standard deviation; IQR = inter quartile range</w:t>
            </w:r>
            <w:bookmarkEnd w:id="1"/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noHBand="0" w:noVBand="0" w:firstColumn="0" w:lastRow="0" w:lastColumn="0" w:firstRow="0"/>
      </w:tblPr>
      <w:tblGrid>
        <w:gridCol w:w="1559"/>
        <w:gridCol w:w="1560"/>
        <w:gridCol w:w="1560"/>
        <w:gridCol w:w="1560"/>
        <w:gridCol w:w="1560"/>
        <w:gridCol w:w="1560"/>
      </w:tblGrid>
      <w:tr>
        <w:trPr/>
        <w:tc>
          <w:tcPr>
            <w:tcW w:w="9359" w:type="dxa"/>
            <w:gridSpan w:val="6"/>
            <w:tcBorders/>
          </w:tcPr>
          <w:p>
            <w:pPr>
              <w:pStyle w:val="ImageCaption"/>
              <w:pageBreakBefore/>
              <w:widowControl w:val="false"/>
              <w:spacing w:before="200" w:after="120"/>
              <w:jc w:val="left"/>
              <w:rPr/>
            </w:pPr>
            <w:r>
              <w:rPr>
                <w:b/>
                <w:bCs/>
              </w:rPr>
              <w:t>Table</w:t>
            </w:r>
            <w:r>
              <w:rPr/>
              <w:t> 3</w:t>
            </w:r>
            <w:r>
              <w:rPr>
                <w:b/>
                <w:bCs/>
              </w:rPr>
              <w:t>.</w:t>
            </w:r>
            <w:r>
              <w:rPr/>
              <w:t xml:space="preserve"> </w:t>
            </w:r>
            <w:r>
              <w:rPr>
                <w:b/>
                <w:bCs/>
              </w:rPr>
              <w:t>Summary of acquired physiological parameters.</w:t>
            </w:r>
            <w:r>
              <w:rPr/>
              <w:t xml:space="preserve"> Mean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±</m:t>
              </m:r>
            </m:oMath>
            <w:r>
              <w:rPr/>
              <w:t xml:space="preserve"> SD is shown for chi and SvO</w:t>
            </w:r>
            <w:r>
              <w:rPr>
                <w:vertAlign w:val="subscript"/>
              </w:rPr>
              <w:t>2</w:t>
            </w:r>
            <w:r>
              <w:rPr/>
              <w:t xml:space="preserve"> values. The P-value and 95% confidence interval (CI) were obtained through the comparison of values between QSM and paramagnetic maps; (n=19).</w:t>
            </w:r>
          </w:p>
        </w:tc>
      </w:tr>
      <w:tr>
        <w:trPr>
          <w:cantSplit w:val="true"/>
        </w:trPr>
        <w:tc>
          <w:tcPr>
            <w:tcW w:w="1559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b/>
                <w:sz w:val="20"/>
              </w:rPr>
              <w:t>Region</w:t>
            </w:r>
          </w:p>
        </w:tc>
        <w:tc>
          <w:tcPr>
            <w:tcW w:w="1560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b/>
                <w:sz w:val="20"/>
              </w:rPr>
              <w:t>Measure</w:t>
            </w:r>
          </w:p>
        </w:tc>
        <w:tc>
          <w:tcPr>
            <w:tcW w:w="1560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QSM</w:t>
            </w:r>
          </w:p>
        </w:tc>
        <w:tc>
          <w:tcPr>
            <w:tcW w:w="1560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Paramagnetic map</w:t>
            </w:r>
          </w:p>
        </w:tc>
        <w:tc>
          <w:tcPr>
            <w:tcW w:w="1560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  <w:tc>
          <w:tcPr>
            <w:tcW w:w="1560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</w:tr>
      <w:tr>
        <w:trPr>
          <w:cantSplit w:val="true"/>
        </w:trPr>
        <w:tc>
          <w:tcPr>
            <w:tcW w:w="15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SSS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Chi (ppm)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0.1 ± 0.02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0.21 ± 0.05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2.84e-11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-0.13, -0.09</w:t>
            </w:r>
          </w:p>
        </w:tc>
      </w:tr>
      <w:tr>
        <w:trPr>
          <w:cantSplit w:val="true"/>
        </w:trPr>
        <w:tc>
          <w:tcPr>
            <w:tcW w:w="15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SSS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SvO₂ (%)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72.46 ± 3.43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58.14 ± 7.3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6.12e-10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0.12, 0.17</w:t>
            </w:r>
          </w:p>
        </w:tc>
      </w:tr>
      <w:tr>
        <w:trPr>
          <w:cantSplit w:val="true"/>
        </w:trPr>
        <w:tc>
          <w:tcPr>
            <w:tcW w:w="15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CCV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Chi (ppm)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0.13 ± 0.02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0.22 ± 0.05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6.25e-09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-0.1, -0.07</w:t>
            </w:r>
          </w:p>
        </w:tc>
      </w:tr>
      <w:tr>
        <w:trPr>
          <w:cantSplit w:val="true"/>
        </w:trPr>
        <w:tc>
          <w:tcPr>
            <w:tcW w:w="155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CCV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SvO₂ (%)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68.71 ± 3.46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57.69 ± 6.97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2.16e-09</w:t>
            </w:r>
          </w:p>
        </w:tc>
        <w:tc>
          <w:tcPr>
            <w:tcW w:w="156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0.09, 0.13</w:t>
            </w:r>
          </w:p>
        </w:tc>
      </w:tr>
      <w:tr>
        <w:trPr>
          <w:cantSplit w:val="true"/>
        </w:trPr>
        <w:tc>
          <w:tcPr>
            <w:tcW w:w="9359" w:type="dxa"/>
            <w:gridSpan w:val="6"/>
            <w:tcBorders/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bookmarkStart w:id="2" w:name="tbl-chistats"/>
            <w:r>
              <w:rPr>
                <w:rFonts w:ascii="Calibri" w:hAnsi="Calibri"/>
                <w:sz w:val="20"/>
              </w:rPr>
              <w:t>QSM = quantitative susceptibility mapping; CI = confidence interval; SSS = superior sagitall sinus; CCV = central cerebral vein</w:t>
            </w:r>
            <w:bookmarkEnd w:id="2"/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noHBand="0" w:noVBand="0" w:firstColumn="0" w:lastRow="0" w:lastColumn="0" w:firstRow="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9360" w:type="dxa"/>
            <w:gridSpan w:val="5"/>
            <w:tcBorders/>
          </w:tcPr>
          <w:p>
            <w:pPr>
              <w:pStyle w:val="ImageCaption"/>
              <w:pageBreakBefore/>
              <w:widowControl w:val="false"/>
              <w:spacing w:before="200" w:after="120"/>
              <w:jc w:val="left"/>
              <w:rPr/>
            </w:pPr>
            <w:r>
              <w:rPr>
                <w:b/>
                <w:bCs/>
              </w:rPr>
              <w:t>Table</w:t>
            </w:r>
            <w:r>
              <w:rPr/>
              <w:t> 4</w:t>
            </w:r>
            <w:r>
              <w:rPr>
                <w:b/>
                <w:bCs/>
              </w:rPr>
              <w:t>.</w:t>
            </w:r>
            <w:r>
              <w:rPr/>
              <w:t xml:space="preserve"> </w:t>
            </w:r>
            <w:r>
              <w:rPr>
                <w:b/>
                <w:bCs/>
              </w:rPr>
              <w:t>Cerebral oxygenation values of neonates and fetuses in the literature.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Region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Study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b/>
                <w:sz w:val="20"/>
              </w:rPr>
              <w:t>Subjects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b/>
                <w:sz w:val="20"/>
              </w:rPr>
              <w:t>Method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b/>
                <w:sz w:val="20"/>
              </w:rPr>
              <w:t>SvO~2~ (%)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Whole-brain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Skov et al. (1993)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Preterm neonates (n=9)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NIRS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53.4 ± 15.4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Whole-brain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Skov et al. (1993)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Asphyxiated term neonates (n=10)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NIRS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67.3 ± 9.4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Whole-brain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Altman et al. (1993)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Preterm and term neonates with HIE (n=11)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PET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21.6 ± 21.0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SSS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Gou et al. (2024)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Healthy neonates (n=37)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MRI: TRUST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66.7 ± 4.9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SSS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Jiang et al. (2019)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Healthy neonates (n=4)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MRI: aTRUPC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64.8 ± 2.9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SSS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De Vis et al. (2014)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PT-TEA neonates (n=18)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MRI: T2-TRIR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52.0 ± 12.0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SSS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Yadav et al. (2020)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Late third trimester fetuses (n=33)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MRI: Susceptometry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58.6 ± 4.8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SSS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This study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PT-TEA neonates n=19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MRI: QSM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72.46 ± 3.43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SSS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This study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PT-TEA neonates n=19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MRI:  χ-separation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58.14 ± 7.3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CCV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Weber et al. (2021)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Preterm neonates with HIE (n=8)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MRI: QSM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72.2 ± 6.0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CCV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Weber et al. (2021)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Healthy neonates (n=8)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MRI: QSM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73.6 ± 2.8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CCV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Jiang et al. (2019)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Healthy neonates (n=4)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MRI: aTRUPC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70.2 ± 3.3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CCV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This study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PT-TEA neonates n=19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MRI: QSM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68.71 ± 0.03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CCV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This study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PT-TEA neonates n=19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MRI:  χ-separation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57.69 ± 6.97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/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bookmarkStart w:id="3" w:name="tbl-litvalues"/>
            <w:r>
              <w:rPr>
                <w:rFonts w:ascii="Calibri" w:hAnsi="Calibri"/>
                <w:sz w:val="20"/>
              </w:rPr>
              <w:t>PT-TEA = born preterm and scanned at term-equivalent age; late third trimester = &gt;35 weeks gestational age; HIE = hypoxic-ischemic encephalopathy; TRUST = T2-relaxation-under-spin tagging; aTRUPC = accelerated T2-relaxation-under-phase-contrast; T2-TRIR = T2-tissue-relaxation-inversion-recovery; SWI = susceptibility weighted imaging.</w:t>
            </w:r>
            <w:bookmarkEnd w:id="3"/>
          </w:p>
        </w:tc>
      </w:tr>
    </w:tbl>
    <w:p>
      <w:pPr>
        <w:pStyle w:val="TextBody"/>
        <w:spacing w:before="180" w:after="18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00000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00000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00000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00000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LineNumbering">
    <w:name w:val="Line Numbering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KeywordTok" w:customStyle="1">
    <w:name w:val="KeywordTok"/>
    <w:basedOn w:val="VerbatimChar"/>
    <w:qFormat/>
    <w:rPr>
      <w:b/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b/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  <w:ind w:left="0" w:right="0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>
      <w:spacing w:lineRule="auto" w:line="480"/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lineRule="auto" w:line="480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LibreOffice/7.3.7.2$Linux_X86_64 LibreOffice_project/30$Build-2</Application>
  <AppVersion>15.0000</AppVersion>
  <Pages>4</Pages>
  <Words>635</Words>
  <Characters>3104</Characters>
  <CharactersWithSpaces>3541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2025-01-28T17:12:17Z</dcterms:created>
  <dc:creator>Thomas Gavin Carmichael1,2, Alexander Rauscher3, Ruth E Grunau2,3, and Alexander Mark Weber2,3,✉</dc:creator>
  <dc:description/>
  <cp:keywords>Quantitative Susceptbility Mapping Preterm Newborn Cerebral Venous Oxygen Saturation</cp:keywords>
  <dc:language>en-CA</dc:language>
  <cp:lastModifiedBy>Alex Weber</cp:lastModifiedBy>
  <dcterms:modified xsi:type="dcterms:W3CDTF">2025-02-15T11:45:23Z</dcterms:modified>
  <cp:revision>6</cp:revision>
  <dc:subject/>
  <dc:title>The Application of Magnetic Susceptibility Separation for Measuring Cerebral Oxygenation in Preterm Neonates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Gavin_Thesis_Ref.bib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itation">
    <vt:lpwstr/>
  </property>
  <property fmtid="{D5CDD505-2E9C-101B-9397-08002B2CF9AE}" pid="8" name="clear-hidden-classes">
    <vt:lpwstr>none</vt:lpwstr>
  </property>
  <property fmtid="{D5CDD505-2E9C-101B-9397-08002B2CF9AE}" pid="9" name="code-links">
    <vt:lpwstr/>
  </property>
  <property fmtid="{D5CDD505-2E9C-101B-9397-08002B2CF9AE}" pid="10" name="crossref">
    <vt:lpwstr/>
  </property>
  <property fmtid="{D5CDD505-2E9C-101B-9397-08002B2CF9AE}" pid="11" name="csl">
    <vt:lpwstr>pediatric-research.csl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itlerunning">
    <vt:lpwstr>SVO2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