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8.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Application</w:t>
      </w:r>
      <w:r>
        <w:t xml:space="preserve"> </w:t>
      </w:r>
      <w:r>
        <w:t xml:space="preserve">of</w:t>
      </w:r>
      <w:r>
        <w:t xml:space="preserve"> </w:t>
      </w:r>
      <w:r>
        <w:t xml:space="preserve">Magnetic</w:t>
      </w:r>
      <w:r>
        <w:t xml:space="preserve"> </w:t>
      </w:r>
      <w:r>
        <w:t xml:space="preserve">Susceptibility</w:t>
      </w:r>
      <w:r>
        <w:t xml:space="preserve"> </w:t>
      </w:r>
      <w:r>
        <w:t xml:space="preserve">Separation</w:t>
      </w:r>
      <w:r>
        <w:t xml:space="preserve"> </w:t>
      </w:r>
      <w:r>
        <w:t xml:space="preserve">for</w:t>
      </w:r>
      <w:r>
        <w:t xml:space="preserve"> </w:t>
      </w:r>
      <w:r>
        <w:t xml:space="preserve">Measuring</w:t>
      </w:r>
      <w:r>
        <w:t xml:space="preserve"> </w:t>
      </w:r>
      <w:r>
        <w:t xml:space="preserve">Cerebral</w:t>
      </w:r>
      <w:r>
        <w:t xml:space="preserve"> </w:t>
      </w:r>
      <w:r>
        <w:t xml:space="preserve">Oxygenation</w:t>
      </w:r>
      <w:r>
        <w:t xml:space="preserve"> </w:t>
      </w:r>
      <w:r>
        <w:t xml:space="preserve">in</w:t>
      </w:r>
      <w:r>
        <w:t xml:space="preserve"> </w:t>
      </w:r>
      <w:r>
        <w:t xml:space="preserve">Preterm</w:t>
      </w:r>
      <w:r>
        <w:t xml:space="preserve"> </w:t>
      </w:r>
      <w:r>
        <w:t xml:space="preserve">Neonates</w:t>
      </w:r>
    </w:p>
    <w:p>
      <w:pPr>
        <w:pStyle w:val="Author"/>
      </w:pPr>
      <w:r>
        <w:t xml:space="preserve">Thomas</w:t>
      </w:r>
      <w:r>
        <w:t xml:space="preserve"> </w:t>
      </w:r>
      <w:r>
        <w:t xml:space="preserve">Gavin</w:t>
      </w:r>
      <w:r>
        <w:t xml:space="preserve"> </w:t>
      </w:r>
      <w:r>
        <w:t xml:space="preserve">Carmichael</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Alexander</w:t>
      </w:r>
      <w:r>
        <w:t xml:space="preserve"> </w:t>
      </w:r>
      <w:r>
        <w:t xml:space="preserve">Rauscher</w:t>
      </w:r>
      <w:r>
        <w:rPr>
          <w:vertAlign w:val="superscript"/>
        </w:rPr>
        <w:t xml:space="preserve">3</w:t>
      </w:r>
      <w:r>
        <w:t xml:space="preserve">,</w:t>
      </w:r>
      <w:r>
        <w:t xml:space="preserve"> </w:t>
      </w:r>
      <w:r>
        <w:t xml:space="preserve">Ruth</w:t>
      </w:r>
      <w:r>
        <w:t xml:space="preserve"> </w:t>
      </w:r>
      <w:r>
        <w:t xml:space="preserve">E</w:t>
      </w:r>
      <w:r>
        <w:t xml:space="preserve"> </w:t>
      </w:r>
      <w:r>
        <w:t xml:space="preserve">Grunau</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and</w:t>
      </w:r>
      <w:r>
        <w:t xml:space="preserve"> </w:t>
      </w:r>
      <w:r>
        <w:t xml:space="preserve">Alexander</w:t>
      </w:r>
      <w:r>
        <w:t xml:space="preserve"> </w:t>
      </w:r>
      <w:r>
        <w:t xml:space="preserve">Mark</w:t>
      </w:r>
      <w:r>
        <w:t xml:space="preserve"> </w:t>
      </w:r>
      <w:r>
        <w:t xml:space="preserve">Weber</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Date"/>
      </w:pPr>
      <w:r>
        <w:t xml:space="preserve">2025-03-31</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r>
        <w:br/>
      </w:r>
      <w:r>
        <w:rPr>
          <w:vertAlign w:val="superscript"/>
        </w:rPr>
        <w:t xml:space="preserve">4</w:t>
      </w:r>
      <w:r>
        <w:t xml:space="preserve"> </w:t>
      </w:r>
      <w:r>
        <w:t xml:space="preserve">Physics and Astronomy,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bookmarkStart w:id="21" w:name="impact-statement"/>
    <w:p>
      <w:pPr>
        <w:pStyle w:val="Heading2"/>
      </w:pPr>
      <w:r>
        <w:t xml:space="preserve">Impact Statement</w:t>
      </w:r>
    </w:p>
    <w:p>
      <w:pPr>
        <w:pStyle w:val="Compact"/>
        <w:numPr>
          <w:ilvl w:val="0"/>
          <w:numId w:val="1001"/>
        </w:numPr>
      </w:pPr>
      <w:r>
        <w:t xml:space="preserve">This study evaluated the use of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p>
      <w:pPr>
        <w:pStyle w:val="FirstParagraph"/>
      </w:pPr>
      <w:r>
        <w:rPr>
          <w:b/>
          <w:bCs/>
        </w:rPr>
        <w:t xml:space="preserve">Category of Study:</w:t>
      </w:r>
      <w:r>
        <w:t xml:space="preserve"> </w:t>
      </w:r>
      <w:r>
        <w:t xml:space="preserve">basic science</w:t>
      </w:r>
    </w:p>
    <w:p>
      <w:r>
        <w:br w:type="page"/>
      </w:r>
    </w:p>
    <w:bookmarkEnd w:id="21"/>
    <w:bookmarkStart w:id="23" w:name="abstract"/>
    <w:p>
      <w:pPr>
        <w:pStyle w:val="Heading2"/>
      </w:pPr>
      <w:r>
        <w:t xml:space="preserve">Abstract:</w:t>
      </w:r>
    </w:p>
    <w:p>
      <w:pPr>
        <w:pStyle w:val="FirstParagraph"/>
      </w:pPr>
      <w:r>
        <w:rPr>
          <w:b/>
          <w:bCs/>
        </w:rPr>
        <w:t xml:space="preserve">Background</w:t>
      </w:r>
      <w:r>
        <w:t xml:space="preserve">: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TextBody"/>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TextBody"/>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TextBody"/>
      </w:pPr>
      <w:r>
        <w:rPr>
          <w:b/>
          <w:bCs/>
        </w:rPr>
        <w:t xml:space="preserve">Conclusion</w:t>
      </w:r>
      <w:r>
        <w:t xml:space="preserve">: While paramagnetic component decomposition yielded SSS values closer to those found in the literature, it increased variability. No significant oxygenation differences were found between the SSS and CCV, contrasting with prior studies.</w:t>
      </w:r>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r>
        <w:br w:type="page"/>
      </w:r>
    </w:p>
    <w:bookmarkEnd w:id="23"/>
    <w:bookmarkStart w:id="24" w:name="sec-intro"/>
    <w:p>
      <w:pPr>
        <w:pStyle w:val="Heading1"/>
      </w:pPr>
      <w:r>
        <w:t xml:space="preserve">Introduction</w:t>
      </w:r>
    </w:p>
    <w:p>
      <w:pPr>
        <w:pStyle w:val="FirstParagraph"/>
      </w:pPr>
      <w:r>
        <w:t xml:space="preserve">With advances in neonatal medical care, more infants born preterm are surviving into childhood</w:t>
      </w:r>
      <w:r>
        <w:rPr>
          <w:vertAlign w:val="superscript"/>
        </w:rPr>
        <w:t xml:space="preserve">1</w:t>
      </w:r>
      <w:r>
        <w:t xml:space="preserve">. These children are at high risk of acquiring adverse neurodevelopmental outcomes when compared to their term-born peers</w:t>
      </w:r>
      <w:r>
        <w:rPr>
          <w:vertAlign w:val="superscript"/>
        </w:rP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rPr>
          <w:vertAlign w:val="superscript"/>
        </w:rP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rPr>
          <w:vertAlign w:val="superscript"/>
        </w:rPr>
        <w:t xml:space="preserve">4</w:t>
      </w:r>
      <w:r>
        <w:t xml:space="preserve">, has been measured in infants</w:t>
      </w:r>
      <w:r>
        <w:rPr>
          <w:vertAlign w:val="superscript"/>
        </w:rP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rPr>
          <w:vertAlign w:val="superscript"/>
        </w:rPr>
        <w:t xml:space="preserve">6</w:t>
      </w:r>
      <w:r>
        <w:t xml:space="preserve">. Deoxygenated and oxygenated hemoglobin absorb this light differently, allowing NIRS to estimate changes in deoxyhemoglobin and oxyhemoglobin</w:t>
      </w:r>
      <w:r>
        <w:rPr>
          <w:vertAlign w:val="superscript"/>
        </w:rP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rPr>
          <w:vertAlign w:val="superscript"/>
        </w:rPr>
        <w:t xml:space="preserve">8</w:t>
      </w:r>
      <w:r>
        <w:t xml:space="preserve">.</w:t>
      </w:r>
    </w:p>
    <w:p>
      <w:pPr>
        <w:pStyle w:val="TextBody"/>
      </w:pPr>
      <w:r>
        <w:t xml:space="preserve">For the preceding reasons, non-invasive MRI-based techniques are actively being explored to assess regional and whole-brain blood oxygenation. While MRI-based methods have been developed for adults</w:t>
      </w:r>
      <w:r>
        <w:rPr>
          <w:vertAlign w:val="superscript"/>
        </w:rPr>
        <w:t xml:space="preserve">9–11</w:t>
      </w:r>
      <w:r>
        <w:t xml:space="preserve">, their application in neonates is only beginning to be explored</w:t>
      </w:r>
      <w:r>
        <w:rPr>
          <w:vertAlign w:val="superscript"/>
        </w:rPr>
        <w:t xml:space="preserve">12–16</w:t>
      </w:r>
      <w:r>
        <w:t xml:space="preserve">. This delay is likely due to the unique challenges posed by neonates, including their smaller anatomies, distinct hemodynamic profiles, susceptibility to motion artifacts, and the difficulties associated with recruiting this population for research. These methods have almost all relied on T2 relaxation to estimate CSvO</w:t>
      </w:r>
      <w:r>
        <w:rPr>
          <w:vertAlign w:val="subscript"/>
        </w:rPr>
        <w:t xml:space="preserve">2</w:t>
      </w:r>
      <w:r>
        <w:rPr>
          <w:vertAlign w:val="superscript"/>
        </w:rPr>
        <w:t xml:space="preserve">12–14,16</w:t>
      </w:r>
      <w:r>
        <w:t xml:space="preserve"> </w:t>
      </w:r>
      <w:r>
        <w:t xml:space="preserve">with the exception of</w:t>
      </w:r>
      <w:r>
        <w:rPr>
          <w:vertAlign w:val="superscript"/>
        </w:rPr>
        <w:t xml:space="preserve">15</w:t>
      </w:r>
      <w:r>
        <w:t xml:space="preserve"> </w:t>
      </w:r>
      <w:r>
        <w:t xml:space="preserve">which used susceptometry</w:t>
      </w:r>
      <w:r>
        <w:rPr>
          <w:vertAlign w:val="superscript"/>
        </w:rP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rPr>
          <w:vertAlign w:val="superscript"/>
        </w:rP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rPr>
          <w:vertAlign w:val="superscript"/>
        </w:rP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rPr>
          <w:vertAlign w:val="superscript"/>
        </w:rPr>
        <w:t xml:space="preserve">18</w:t>
      </w:r>
      <w:r>
        <w:t xml:space="preserve">. Furthermore, QSM tends to underestimates parametric components due to the inclusion of diamagnetic tissue, and vice versa, as the opposing magnetic susceptibilities effectively subtract from one another</w:t>
      </w:r>
      <w:r>
        <w:rPr>
          <w:vertAlign w:val="superscript"/>
        </w:rPr>
        <w:t xml:space="preserve">19</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4"/>
    <w:bookmarkStart w:id="46"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5" w:name="study-population"/>
    <w:p>
      <w:pPr>
        <w:pStyle w:val="Heading2"/>
      </w:pPr>
      <w:r>
        <w:t xml:space="preserve">Study population</w:t>
      </w:r>
    </w:p>
    <w:p>
      <w:pPr>
        <w:pStyle w:val="FirstParagraph"/>
      </w:pPr>
      <w:r>
        <w:t xml:space="preserve">Participant data comes from a previous study</w:t>
      </w:r>
      <w:r>
        <w:rPr>
          <w:vertAlign w:val="superscript"/>
        </w:rPr>
        <w:t xml:space="preserve">20</w:t>
      </w:r>
      <w:r>
        <w:t xml:space="preserve"> </w:t>
      </w:r>
      <w:r>
        <w:t xml:space="preserve">(under review). Participants consisted of preterm neonates born between 25- and 31-weeks gestational age (GA) who were admitted to the level III NICU at BC Women’s Hospital.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5"/>
    <w:bookmarkStart w:id="27"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single-channel neonatal head coil (</w:t>
      </w:r>
      <w:hyperlink w:anchor="tbl-mri">
        <w:r>
          <w:rPr>
            <w:rStyle w:val="InternetLink"/>
          </w:rPr>
          <w:t xml:space="preserve">Table 1</w:t>
        </w:r>
      </w:hyperlink>
      <w:r>
        <w:t xml:space="preserve">). The scans were conducted at the BC Children’s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6"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T1w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T2w</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pcASL</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plane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Posterior-Anterior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Left-Right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6"/>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MRI scan protocol comprised of the following sequences (plane of acquisition in parentheses): a T1-weighted scan (coronal), a T2-weighted scan (sagittal), a pseudo-continuous arterial spin labeling (ASL) scan</w:t>
      </w:r>
      <w:r>
        <w:rPr>
          <w:vertAlign w:val="superscript"/>
        </w:rPr>
        <w:t xml:space="preserve">21</w:t>
      </w:r>
      <w:r>
        <w:t xml:space="preserve"> </w:t>
      </w:r>
      <w:r>
        <w:t xml:space="preserve">(axial), a multi-echo susceptibility-weighted imaging scan</w:t>
      </w:r>
      <w:r>
        <w:rPr>
          <w:vertAlign w:val="superscript"/>
        </w:rPr>
        <w:t xml:space="preserve">22</w:t>
      </w:r>
      <w:r>
        <w:t xml:space="preserve"> </w:t>
      </w:r>
      <w:r>
        <w:t xml:space="preserve">(axial), and a diffusion-weighted imaging (DWI) spin-echo echo planar imaging (EPI) sequence (axial). The DWI sequence was not used for the present study.</w:t>
      </w:r>
    </w:p>
    <w:bookmarkEnd w:id="27"/>
    <w:bookmarkStart w:id="44"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rPr>
          <w:vertAlign w:val="superscript"/>
        </w:rPr>
        <w:t xml:space="preserve">23</w:t>
      </w:r>
      <w:r>
        <w:t xml:space="preserve">. SWI magnitude data files were then used to create subject-specific brain masks that would not erode the SSS during QSM processing, an issue faced by our group in the past</w:t>
      </w:r>
      <w:r>
        <w:rPr>
          <w:vertAlign w:val="superscript"/>
        </w:rPr>
        <w:t xml:space="preserve">18</w:t>
      </w:r>
      <w:r>
        <w:t xml:space="preserve">. A step-by-step summary of the pipeline used is shown in</w:t>
      </w:r>
      <w:r>
        <w:t xml:space="preserve"> </w:t>
      </w:r>
      <w:hyperlink w:anchor="fig-graph">
        <w:r>
          <w:rPr>
            <w:rStyle w:val="Internet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graph"/>
          <w:p>
            <w:pPr>
              <w:pStyle w:val="Compact"/>
              <w:jc w:val="center"/>
            </w:pPr>
            <w:r>
              <w:drawing>
                <wp:inline>
                  <wp:extent cx="5943600" cy="3464396"/>
                  <wp:effectExtent b="0" l="0" r="0" t="0"/>
                  <wp:docPr descr="" title="" id="29" name="Picture"/>
                  <a:graphic>
                    <a:graphicData uri="http://schemas.openxmlformats.org/drawingml/2006/picture">
                      <pic:pic>
                        <pic:nvPicPr>
                          <pic:cNvPr descr="index_files/figure-docx/notebooks-Figures-fig-graph-output-1.png" id="30" name="Picture"/>
                          <pic:cNvPicPr>
                            <a:picLocks noChangeArrowheads="1" noChangeAspect="1"/>
                          </pic:cNvPicPr>
                        </pic:nvPicPr>
                        <pic:blipFill>
                          <a:blip r:embed="rId28"/>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31"/>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Python Figures</w:t>
        </w:r>
      </w:hyperlink>
    </w:p>
    <w:p>
      <w:pPr>
        <w:pStyle w:val="TextBody"/>
      </w:pPr>
      <w:r>
        <w:t xml:space="preserve">First, the fifth echo (TE = 25.96 ms) SWI magnitude file was processed using FSL’s (v. 6.0.7.3)</w:t>
      </w:r>
      <w:r>
        <w:rPr>
          <w:vertAlign w:val="superscript"/>
        </w:rPr>
        <w:t xml:space="preserve">24</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rPr>
          <w:vertAlign w:val="superscript"/>
        </w:rPr>
        <w:t xml:space="preserve">25</w:t>
      </w:r>
      <w:r>
        <w:t xml:space="preserve"> </w:t>
      </w:r>
      <w:r>
        <w:t xml:space="preserve">to create a preliminary brain mask, similar to our previous efforts, which does not contain the SSS. 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w:t>
      </w:r>
      <w:r>
        <w:t xml:space="preserve"> </w:t>
      </w:r>
      <w:r>
        <w:rPr>
          <w:rStyle w:val="VerbatimChar"/>
        </w:rPr>
        <w:t xml:space="preserve">bet</w:t>
      </w:r>
      <w:r>
        <w:t xml:space="preserve"> </w:t>
      </w:r>
      <w:r>
        <w:t xml:space="preserve">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rPr>
          <w:vertAlign w:val="superscript"/>
        </w:rPr>
        <w:t xml:space="preserve">26</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rPr>
          <w:vertAlign w:val="superscript"/>
        </w:rPr>
        <w:t xml:space="preserve">27</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rPr>
          <w:vertAlign w:val="superscript"/>
        </w:rPr>
        <w:t xml:space="preserve">28</w:t>
      </w:r>
      <w:r>
        <w:t xml:space="preserve">, was used to process the final QSM images as it produced the images with the least amount of artifacts (based on a visual assessment by the authors) without eroding the SSS. The finalized brain mask along with all five echoes of the magnitude and phase images were used in STI Suite along with the following parameters: 0.9766 x 0.9766 x 1 mm</w:t>
      </w:r>
      <w:r>
        <w:rPr>
          <w:vertAlign w:val="superscript"/>
        </w:rPr>
        <w:t xml:space="preserve">3</w:t>
      </w:r>
      <w:r>
        <w:t xml:space="preserve"> </w:t>
      </w:r>
      <w:r>
        <w:t xml:space="preserve">voxel size, 5 ms TE1, 5.24 ms</w:t>
      </w:r>
      <w:r>
        <w:t xml:space="preserve"> </w:t>
      </w:r>
      <m:oMath>
        <m:r>
          <m:t>Δ</m:t>
        </m:r>
      </m:oMath>
      <w:r>
        <w:t xml:space="preserve">TE, and 77.4 ms sum TE, B0 strength = 3, and B0 direction = [0, 0, 1]. The 3D GRE data option was selected for the phase processing stage, and STAR-QSM was selected for the QSM stage. STAR-QSM outputs a single QSM map for each echo (i.e. five total). The last three echoes of the QSM maps were then averaged to create the final QSM image using</w:t>
      </w:r>
      <w:r>
        <w:t xml:space="preserve"> </w:t>
      </w:r>
      <w:r>
        <w:rPr>
          <w:rStyle w:val="VerbatimChar"/>
        </w:rPr>
        <w:t xml:space="preserve">fslmaths</w:t>
      </w:r>
      <w:r>
        <w:t xml:space="preserve">, as the accumulation of phase due to susceptibility is small in early echoes and artifacts dominate the phase</w:t>
      </w:r>
      <w:r>
        <w:rPr>
          <w:vertAlign w:val="superscript"/>
        </w:rPr>
        <w:t xml:space="preserve">29</w:t>
      </w:r>
      <w:r>
        <w:t xml:space="preserv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w:t>
      </w:r>
      <w:hyperlink w:anchor="fig-masks">
        <w:r>
          <w:rPr>
            <w:rStyle w:val="InternetLink"/>
          </w:rPr>
          <w:t xml:space="preserve">Figure 2</w:t>
        </w:r>
      </w:hyperlink>
      <w:r>
        <w:t xml:space="preserve">). The vascular masks were used to calculate the mean susceptibility of each subject’s SSS and CCV from their QSM image with</w:t>
      </w:r>
      <w:r>
        <w:t xml:space="preserve"> </w:t>
      </w:r>
      <w:r>
        <w:rPr>
          <w:rStyle w:val="VerbatimChar"/>
        </w:rPr>
        <w:t xml:space="preserve">fslstats</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masks"/>
          <w:p>
            <w:pPr>
              <w:pStyle w:val="Compact"/>
              <w:jc w:val="center"/>
            </w:pPr>
            <w:r>
              <w:drawing>
                <wp:inline>
                  <wp:extent cx="5943600" cy="2443933"/>
                  <wp:effectExtent b="0" l="0" r="0" t="0"/>
                  <wp:docPr descr="" title="" id="34" name="Picture"/>
                  <a:graphic>
                    <a:graphicData uri="http://schemas.openxmlformats.org/drawingml/2006/picture">
                      <pic:pic>
                        <pic:nvPicPr>
                          <pic:cNvPr descr="index_files/figure-docx/notebooks-Figures-fig-masks-output-1.png" id="35" name="Picture"/>
                          <pic:cNvPicPr>
                            <a:picLocks noChangeArrowheads="1" noChangeAspect="1"/>
                          </pic:cNvPicPr>
                        </pic:nvPicPr>
                        <pic:blipFill>
                          <a:blip r:embed="rId33"/>
                          <a:stretch>
                            <a:fillRect/>
                          </a:stretch>
                        </pic:blipFill>
                        <pic:spPr bwMode="auto">
                          <a:xfrm>
                            <a:off x="0" y="0"/>
                            <a:ext cx="5943600" cy="2443933"/>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Sample venous masks.</w:t>
            </w:r>
            <w:r>
              <w:t xml:space="preserve"> </w:t>
            </w:r>
            <w:r>
              <w:t xml:space="preserve">A sample superior sagittal sinus (red) and central cerebral vein mask (blue)</w:t>
            </w:r>
            <w:r>
              <w:t xml:space="preserve"> </w:t>
            </w:r>
            <w:r>
              <w:t xml:space="preserve">displayed in coronal, sagittal, and axial view. The QSM image is used as the underlay.</w:t>
            </w:r>
            <w:r>
              <w:t xml:space="preserve"> </w:t>
            </w:r>
            <w:r>
              <w:t xml:space="preserve">y, x and z values represent the slice number in each plane (coronal, sagittal, and axial, respectively).</w:t>
            </w:r>
          </w:p>
          <w:bookmarkEnd w:id="36"/>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Python Figures</w:t>
        </w:r>
      </w:hyperlink>
    </w:p>
    <w:p>
      <w:pPr>
        <w:pStyle w:val="TextBody"/>
      </w:pPr>
      <w:r>
        <w:t xml:space="preserve">To isolate the paramagnetic component of subjects’ QSM data, the</w:t>
      </w:r>
      <w:r>
        <w:t xml:space="preserve"> </w:t>
      </w:r>
      <m:oMath>
        <m:r>
          <m:t>χ</m:t>
        </m:r>
      </m:oMath>
      <w:r>
        <w:t xml:space="preserve">-separation toolbox</w:t>
      </w:r>
      <w:r>
        <w:rPr>
          <w:vertAlign w:val="superscript"/>
        </w:rPr>
        <w:t xml:space="preserve">30</w:t>
      </w:r>
      <w:r>
        <w:t xml:space="preserve"> </w:t>
      </w:r>
      <w:r>
        <w:t xml:space="preserve">from the Laboratory for Imaging Science and Technology was used. All five echoes of each subject’s magnitude and phase SWI data were used along with the following parameters: 0.9766 x 0.9766 x 1 mm</w:t>
      </w:r>
      <w:r>
        <w:rPr>
          <w:vertAlign w:val="superscript"/>
        </w:rPr>
        <w:t xml:space="preserve">3</w:t>
      </w:r>
      <w:r>
        <w:t xml:space="preserve"> </w:t>
      </w:r>
      <w:r>
        <w:t xml:space="preserve">voxel size; TE (ms) = [5, 10.24, 15.48, 20.72, 26.96];</w:t>
      </w:r>
      <w:r>
        <w:t xml:space="preserve"> </w:t>
      </w:r>
      <m:oMath>
        <m:r>
          <m:t>Δ</m:t>
        </m:r>
      </m:oMath>
      <w:r>
        <w:t xml:space="preserve">TE (ms) = 5.24; B0 strength = 3; B0 direction = [0, 0, 1]. The</w:t>
      </w:r>
      <w:r>
        <w:t xml:space="preserve"> </w:t>
      </w:r>
      <m:oMath>
        <m:r>
          <m:t>χ</m:t>
        </m:r>
      </m:oMath>
      <w:r>
        <w:t xml:space="preserve">-separation toolbox outputs a single negative (diamagnetic), positive (paramagnetic), and total</w:t>
      </w:r>
      <w:r>
        <w:t xml:space="preserve"> </w:t>
      </w:r>
      <m:oMath>
        <m:r>
          <m:t>χ</m:t>
        </m:r>
      </m:oMath>
      <w:r>
        <w:t xml:space="preserve"> </w:t>
      </w:r>
      <w:r>
        <w:t xml:space="preserve">map (QSM).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sample"/>
          <w:p>
            <w:pPr>
              <w:pStyle w:val="Compact"/>
              <w:jc w:val="center"/>
            </w:pPr>
            <w:r>
              <w:drawing>
                <wp:inline>
                  <wp:extent cx="5943600" cy="6816631"/>
                  <wp:effectExtent b="0" l="0" r="0" t="0"/>
                  <wp:docPr descr="" title="" id="39" name="Picture"/>
                  <a:graphic>
                    <a:graphicData uri="http://schemas.openxmlformats.org/drawingml/2006/picture">
                      <pic:pic>
                        <pic:nvPicPr>
                          <pic:cNvPr descr="index_files/figure-docx/notebooks-Figures-fig-sample-output-1.png" id="40" name="Picture"/>
                          <pic:cNvPicPr>
                            <a:picLocks noChangeArrowheads="1" noChangeAspect="1"/>
                          </pic:cNvPicPr>
                        </pic:nvPicPr>
                        <pic:blipFill>
                          <a:blip r:embed="rId38"/>
                          <a:stretch>
                            <a:fillRect/>
                          </a:stretch>
                        </pic:blipFill>
                        <pic:spPr bwMode="auto">
                          <a:xfrm>
                            <a:off x="0" y="0"/>
                            <a:ext cx="5943600" cy="6816631"/>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An example of subject imaging data.</w:t>
            </w:r>
            <w:r>
              <w:t xml:space="preserve"> </w:t>
            </w:r>
            <w:r>
              <w:t xml:space="preserve">A sample coronal, sagittal, and axial slice is displayed for each image.</w:t>
            </w:r>
            <w:r>
              <w:t xml:space="preserve"> </w:t>
            </w:r>
            <w:r>
              <w:t xml:space="preserve">(a) The 1st echo of the magnitude susceptibility weighted imaging sequence;</w:t>
            </w:r>
            <w:r>
              <w:t xml:space="preserve"> </w:t>
            </w:r>
            <w:r>
              <w:t xml:space="preserve">(b) the final quantitative susceptibility mapping image; and (c) the paramagnetic component isolated from the quantitative susceptibility map. The color bars in (b) and (c) indicates the range of susceptibility</w:t>
            </w:r>
            <w:r>
              <w:t xml:space="preserve"> </w:t>
            </w:r>
            <m:oMath>
              <m:r>
                <m:t>χ</m:t>
              </m:r>
            </m:oMath>
            <w:r>
              <w:t xml:space="preserve"> </w:t>
            </w:r>
            <w:r>
              <w:t xml:space="preserve">values in parts per million. y, x and z values represent the slice number in each plane (coronal, sagittal, and axial, respectively).</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Python Figures</w:t>
        </w:r>
      </w:hyperlink>
    </w:p>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rPr>
          <w:vertAlign w:val="superscript"/>
        </w:rPr>
        <w:t xml:space="preserve">31</w:t>
      </w:r>
      <w:r>
        <w:t xml:space="preserve">:</w:t>
      </w:r>
    </w:p>
    <w:p>
      <w:pPr>
        <w:pStyle w:val="TextBody"/>
      </w:pPr>
      <w:bookmarkStart w:id="43"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43"/>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rPr>
          <w:vertAlign w:val="superscript"/>
        </w:rPr>
        <w:t xml:space="preserve">32</w:t>
      </w:r>
      <w:r>
        <w:t xml:space="preserve"> </w:t>
      </w:r>
      <w:r>
        <w:t xml:space="preserve">and</w:t>
      </w:r>
      <w:r>
        <w:rPr>
          <w:vertAlign w:val="superscript"/>
        </w:rPr>
        <w:t xml:space="preserve">33</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rPr>
          <w:vertAlign w:val="superscript"/>
        </w:rPr>
        <w:t xml:space="preserve">34</w:t>
      </w:r>
      <w:r>
        <w:t xml:space="preserve">. Subjects’ Hct for the day of the scan was calculated using a four-parameter Weibull function with previously measured values while still in the NICU.</w:t>
      </w:r>
    </w:p>
    <w:bookmarkEnd w:id="44"/>
    <w:bookmarkStart w:id="45" w:name="statistical-analysis"/>
    <w:p>
      <w:pPr>
        <w:pStyle w:val="Heading2"/>
      </w:pPr>
      <w:r>
        <w:t xml:space="preserve">Statistical analysis</w:t>
      </w:r>
    </w:p>
    <w:p>
      <w:pPr>
        <w:pStyle w:val="FirstParagraph"/>
      </w:pPr>
      <w:r>
        <w:t xml:space="preserve">Statistical analysis was performed using R and RStudio (v. 2023.09.1 Build 494)</w:t>
      </w:r>
      <w:r>
        <w:rPr>
          <w:vertAlign w:val="superscript"/>
        </w:rPr>
        <w:t xml:space="preserve">35,36</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45"/>
    <w:bookmarkEnd w:id="46"/>
    <w:bookmarkStart w:id="59"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47"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p>
              </w:tc>
              <w:tc>
                <w:tcPr>
                  <w:tcBorders>
                    <w:top w:val="single" w:sz="16" w:space="0" w:color="D3D3D3"/>
                    <w:bottom w:val="single" w:sz="16" w:space="0" w:color="D3D3D3"/>
                    <w:end w:val="single" w:space="0" w:color="D3D3D3"/>
                  </w:tcBorders>
                </w:tcPr>
                <w:p>
                  <w:pPr>
                    <w:spacing w:before="0" w:after="60"/>
                    <w:keepNext/>
                    <w:jc w:val="end"/>
                  </w:pPr>
                  <w:r>
                    <w:rPr>
                      <w:b w:val="true"/>
                      <w:rFonts w:ascii="Calibri" w:hAnsi="Calibri"/>
                      <w:sz w:val="20"/>
                    </w:rPr>
                    <w:t xml:space="preserve">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47"/>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Measure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QSM</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Paramagnetic map</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8"/>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Violin plots of the comparisons are shown in</w:t>
      </w:r>
      <w:r>
        <w:t xml:space="preserve"> </w:t>
      </w:r>
      <w:hyperlink w:anchor="fig-methodplot">
        <w:r>
          <w:rPr>
            <w:rStyle w:val="Internet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methodplot"/>
          <w:p>
            <w:pPr>
              <w:pStyle w:val="Compact"/>
              <w:jc w:val="center"/>
            </w:pPr>
            <w:r>
              <w:drawing>
                <wp:inline>
                  <wp:extent cx="5943600" cy="3714749"/>
                  <wp:effectExtent b="0" l="0" r="0" t="0"/>
                  <wp:docPr descr="" title="" id="50" name="Picture"/>
                  <a:graphic>
                    <a:graphicData uri="http://schemas.openxmlformats.org/drawingml/2006/picture">
                      <pic:pic>
                        <pic:nvPicPr>
                          <pic:cNvPr descr="index_files/figure-docx/notebooks-gavin_thesis_markdown-fig-methodplot-output-1.png" id="51" name="Picture"/>
                          <pic:cNvPicPr>
                            <a:picLocks noChangeArrowheads="1" noChangeAspect="1"/>
                          </pic:cNvPicPr>
                        </pic:nvPicPr>
                        <pic:blipFill>
                          <a:blip r:embed="rId49"/>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52"/>
        </w:tc>
      </w:tr>
    </w:tbl>
    <w:p>
      <w:pPr>
        <w:pStyle w:val="TextBody"/>
      </w:pPr>
      <w:r>
        <w:rPr>
          <w:vertAlign w:val="subscript"/>
        </w:rPr>
        <w:t xml:space="preserve">Source:</w:t>
      </w:r>
      <w:r>
        <w:rPr>
          <w:vertAlign w:val="subscript"/>
        </w:rPr>
        <w:t xml:space="preserve"> </w:t>
      </w:r>
      <w:hyperlink r:id="rId53">
        <w:r>
          <w:rPr>
            <w:rStyle w:val="InternetLink"/>
            <w:vertAlign w:val="subscript"/>
          </w:rPr>
          <w:t xml:space="preserve">gavin_thesis_R</w:t>
        </w:r>
      </w:hyperlink>
    </w:p>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regionplot"/>
          <w:p>
            <w:pPr>
              <w:pStyle w:val="Compact"/>
              <w:jc w:val="center"/>
            </w:pPr>
            <w:r>
              <w:drawing>
                <wp:inline>
                  <wp:extent cx="5943600" cy="3714749"/>
                  <wp:effectExtent b="0" l="0" r="0" t="0"/>
                  <wp:docPr descr="" title="" id="55" name="Picture"/>
                  <a:graphic>
                    <a:graphicData uri="http://schemas.openxmlformats.org/drawingml/2006/picture">
                      <pic:pic>
                        <pic:nvPicPr>
                          <pic:cNvPr descr="index_files/figure-docx/notebooks-gavin_thesis_markdown-fig-regionplot-output-1.png" id="56" name="Picture"/>
                          <pic:cNvPicPr>
                            <a:picLocks noChangeArrowheads="1" noChangeAspect="1"/>
                          </pic:cNvPicPr>
                        </pic:nvPicPr>
                        <pic:blipFill>
                          <a:blip r:embed="rId54"/>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5</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57"/>
        </w:tc>
      </w:tr>
    </w:tbl>
    <w:p>
      <w:pPr>
        <w:pStyle w:val="TextBody"/>
      </w:pPr>
      <w:r>
        <w:rPr>
          <w:vertAlign w:val="subscript"/>
        </w:rPr>
        <w:t xml:space="preserve">Source:</w:t>
      </w:r>
      <w:r>
        <w:rPr>
          <w:vertAlign w:val="subscript"/>
        </w:rPr>
        <w:t xml:space="preserve"> </w:t>
      </w:r>
      <w:hyperlink r:id="rId58">
        <w:r>
          <w:rPr>
            <w:rStyle w:val="InternetLink"/>
            <w:vertAlign w:val="subscript"/>
          </w:rPr>
          <w:t xml:space="preserve">gavin_thesis_R</w:t>
        </w:r>
      </w:hyperlink>
    </w:p>
    <w:bookmarkEnd w:id="59"/>
    <w:bookmarkStart w:id="63"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rPr>
          <w:vertAlign w:val="superscript"/>
        </w:rPr>
        <w:t xml:space="preserve">30,37</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61"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b w:val="true"/>
                      <w:rFonts w:ascii="Calibri" w:hAnsi="Calibri"/>
                      <w:sz w:val="20"/>
                    </w:rPr>
                    <w:t xml:space="preserve">Region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Study</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Subjects</w:t>
                  </w:r>
                </w:p>
              </w:tc>
              <w:tc>
                <w:tcPr>
                  <w:tcBorders>
                    <w:top w:val="single" w:sz="16" w:space="0" w:color="D3D3D3"/>
                    <w:bottom w:val="single" w:sz="16" w:space="0" w:color="D3D3D3"/>
                  </w:tcBorders>
                </w:tcPr>
                <w:p>
                  <w:pPr>
                    <w:spacing w:before="0" w:after="60"/>
                    <w:keepNext/>
                    <w:jc w:val="start"/>
                  </w:pPr>
                  <w:r>
                    <w:rPr>
                      <w:b w:val="true"/>
                      <w:rFonts w:ascii="Calibri" w:hAnsi="Calibri"/>
                      <w:sz w:val="20"/>
                    </w:rPr>
                    <w:t xml:space="preserve">Method</w:t>
                  </w:r>
                </w:p>
              </w:tc>
              <w:tc>
                <w:tcPr>
                  <w:tcBorders>
                    <w:top w:val="single" w:sz="16" w:space="0" w:color="D3D3D3"/>
                    <w:bottom w:val="single" w:sz="16" w:space="0" w:color="D3D3D3"/>
                    <w:end w:val="single" w:space="0" w:color="D3D3D3"/>
                  </w:tcBorders>
                </w:tcPr>
                <w:p>
                  <w:pPr>
                    <w:spacing w:before="0" w:after="60"/>
                    <w:keepNext/>
                    <w:jc w:val="start"/>
                  </w:pPr>
                  <w:r>
                    <w:rPr>
                      <w:b w:val="true"/>
                      <w:rFonts w:ascii="Calibri" w:hAnsi="Calibri"/>
                      <w:sz w:val="20"/>
                    </w:rPr>
                    <w:t xml:space="preserve">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b w:val="true"/>
                      <w:rFonts w:ascii="Calibri" w:hAnsi="Calibri"/>
                      <w:sz w:val="20"/>
                    </w:rPr>
                    <w:t xml:space="preserve">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 χ-separation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60"/>
        </w:tc>
      </w:tr>
    </w:tbl>
    <w:p>
      <w:pPr>
        <w:pStyle w:val="TextBody"/>
      </w:pPr>
      <w:r>
        <w:rPr>
          <w:vertAlign w:val="subscript"/>
        </w:rPr>
        <w:t xml:space="preserve">Source:</w:t>
      </w:r>
      <w:r>
        <w:rPr>
          <w:vertAlign w:val="subscript"/>
        </w:rPr>
        <w:t xml:space="preserve"> </w:t>
      </w:r>
      <w:hyperlink r:id="rId22">
        <w:r>
          <w:rPr>
            <w:rStyle w:val="InternetLink"/>
            <w:vertAlign w:val="subscript"/>
          </w:rPr>
          <w:t xml:space="preserve">Article Notebook</w:t>
        </w:r>
      </w:hyperlink>
    </w:p>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rPr>
          <w:vertAlign w:val="superscript"/>
        </w:rPr>
        <w:t xml:space="preserve">16,18,38</w:t>
      </w:r>
      <w:r>
        <w:t xml:space="preserve">, three studies (including the present study) involving preterm neonates</w:t>
      </w:r>
      <w:r>
        <w:rPr>
          <w:vertAlign w:val="superscript"/>
        </w:rPr>
        <w:t xml:space="preserve">12,18</w:t>
      </w:r>
      <w:r>
        <w:t xml:space="preserve">, and one study involving late third trimester fetuses</w:t>
      </w:r>
      <w:r>
        <w:rPr>
          <w:vertAlign w:val="superscript"/>
        </w:rPr>
        <w:t xml:space="preserve">32</w:t>
      </w:r>
      <w:r>
        <w:t xml:space="preserve">. In the studies involving healthy neonates, the SvO</w:t>
      </w:r>
      <w:r>
        <w:rPr>
          <w:vertAlign w:val="subscript"/>
        </w:rPr>
        <w:t xml:space="preserve">2</w:t>
      </w:r>
      <w:r>
        <w:t xml:space="preserve"> </w:t>
      </w:r>
      <w:r>
        <w:t xml:space="preserve">of the SSS fell within the range of 64.8% – 66.6%</w:t>
      </w:r>
      <w:r>
        <w:rPr>
          <w:vertAlign w:val="superscript"/>
        </w:rPr>
        <w:t xml:space="preserve">16,38</w:t>
      </w:r>
      <w:r>
        <w:t xml:space="preserve">, while the SvO</w:t>
      </w:r>
      <w:r>
        <w:rPr>
          <w:vertAlign w:val="subscript"/>
        </w:rPr>
        <w:t xml:space="preserve">2</w:t>
      </w:r>
      <w:r>
        <w:t xml:space="preserve"> </w:t>
      </w:r>
      <w:r>
        <w:t xml:space="preserve">of the CCV fell within the range of 70.2% - 73.6%</w:t>
      </w:r>
      <w:r>
        <w:rPr>
          <w:vertAlign w:val="superscript"/>
        </w:rP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rPr>
          <w:vertAlign w:val="superscript"/>
        </w:rPr>
        <w:t xml:space="preserve">39</w:t>
      </w:r>
      <w:r>
        <w:t xml:space="preserve"> </w:t>
      </w:r>
      <w:r>
        <w:t xml:space="preserve">or pre-term neonates</w:t>
      </w:r>
      <w:r>
        <w:rPr>
          <w:vertAlign w:val="superscript"/>
        </w:rP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rPr>
          <w:vertAlign w:val="superscript"/>
        </w:rPr>
        <w:t xml:space="preserve">39</w:t>
      </w:r>
      <w:r>
        <w:t xml:space="preserve"> </w:t>
      </w:r>
      <w:r>
        <w:t xml:space="preserve">used MR susceptometry, which involves measuring the difference in phase between the chosen vessel and its background in imaging data from an SWI scanning sequence</w:t>
      </w:r>
      <w:r>
        <w:rPr>
          <w:vertAlign w:val="superscript"/>
        </w:rPr>
        <w:t xml:space="preserve">39</w:t>
      </w:r>
      <w:r>
        <w:t xml:space="preserve">. In</w:t>
      </w:r>
      <w:r>
        <w:rPr>
          <w:vertAlign w:val="superscript"/>
        </w:rP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rPr>
          <w:vertAlign w:val="superscript"/>
        </w:rPr>
        <w:t xml:space="preserve">39</w:t>
      </w:r>
      <w:r>
        <w:t xml:space="preserve"> </w:t>
      </w:r>
      <w:r>
        <w:t xml:space="preserve">was ≥35 weeks and the GA of infants scanned in</w:t>
      </w:r>
      <w:r>
        <w:rPr>
          <w:vertAlign w:val="superscript"/>
        </w:rP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rPr>
          <w:vertAlign w:val="superscript"/>
        </w:rPr>
        <w:t xml:space="preserve">39</w:t>
      </w:r>
      <w:r>
        <w:t xml:space="preserve"> </w:t>
      </w:r>
      <w:r>
        <w:t xml:space="preserve">and</w:t>
      </w:r>
      <w:r>
        <w:rPr>
          <w:vertAlign w:val="superscript"/>
        </w:rP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rPr>
          <w:vertAlign w:val="superscript"/>
        </w:rP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rPr>
          <w:vertAlign w:val="superscript"/>
        </w:rP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rPr>
          <w:vertAlign w:val="superscript"/>
        </w:rPr>
        <w:t xml:space="preserve">18</w:t>
      </w:r>
      <w:r>
        <w:t xml:space="preserve"> </w:t>
      </w:r>
      <w:r>
        <w:t xml:space="preserve">and</w:t>
      </w:r>
      <w:r>
        <w:rPr>
          <w:vertAlign w:val="superscript"/>
        </w:rPr>
        <w:t xml:space="preserve">16</w:t>
      </w:r>
      <w:r>
        <w:t xml:space="preserve"> </w:t>
      </w:r>
      <w:r>
        <w:t xml:space="preserve">may prevent their values from being representative of the study demographic. In</w:t>
      </w:r>
      <w:r>
        <w:rPr>
          <w:vertAlign w:val="superscript"/>
        </w:rP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rPr>
          <w:vertAlign w:val="superscript"/>
        </w:rP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rPr>
          <w:vertAlign w:val="superscript"/>
        </w:rPr>
        <w:t xml:space="preserve">30</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rPr>
          <w:vertAlign w:val="superscript"/>
        </w:rP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rPr>
          <w:vertAlign w:val="superscript"/>
        </w:rPr>
        <w:t xml:space="preserve">16</w:t>
      </w:r>
      <w:r>
        <w:t xml:space="preserve">, it is difficult to ascertain whether this is generalizable to all neonates.</w:t>
      </w:r>
    </w:p>
    <w:bookmarkEnd w:id="61"/>
    <w:bookmarkStart w:id="62"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rPr>
          <w:vertAlign w:val="superscript"/>
        </w:rPr>
        <w:t xml:space="preserve">30</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62"/>
    <w:bookmarkEnd w:id="63"/>
    <w:bookmarkStart w:id="66" w:name="sec-conclusion"/>
    <w:p>
      <w:pPr>
        <w:pStyle w:val="Heading1"/>
      </w:pPr>
      <w:r>
        <w:t xml:space="preserve">Conclusion</w:t>
      </w:r>
    </w:p>
    <w:p>
      <w:pPr>
        <w:pStyle w:val="FirstParagraph"/>
      </w:pPr>
      <w:r>
        <w:t xml:space="preserve">This study aimed to evaluate how the use of susceptibility separation on preterm neonatal QSM images could be used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r>
        <w:br w:type="page"/>
      </w:r>
    </w:p>
    <w:bookmarkStart w:id="65" w:name="data-availability"/>
    <w:p>
      <w:pPr>
        <w:pStyle w:val="Heading2"/>
      </w:pPr>
      <w:r>
        <w:t xml:space="preserve">Data availability</w:t>
      </w:r>
    </w:p>
    <w:p>
      <w:pPr>
        <w:pStyle w:val="FirstParagraph"/>
      </w:pPr>
      <w:r>
        <w:t xml:space="preserve">The manuscript was written in a</w:t>
      </w:r>
      <w:r>
        <w:t xml:space="preserve"> </w:t>
      </w:r>
      <w:r>
        <w:t xml:space="preserve">‘</w:t>
      </w:r>
      <w:r>
        <w:t xml:space="preserve">reproducible manner</w:t>
      </w:r>
      <w:r>
        <w:t xml:space="preserve">’</w:t>
      </w:r>
      <w:r>
        <w:t xml:space="preserve">. The entire manuscript, including statistics reported, figures, and tables, can be reproduced here:</w:t>
      </w:r>
      <w:r>
        <w:t xml:space="preserve"> </w:t>
      </w:r>
      <w:hyperlink r:id="rId64">
        <w:r>
          <w:rPr>
            <w:rStyle w:val="InternetLink"/>
          </w:rPr>
          <w:t xml:space="preserve">weberlab.github.io/Chisep_CSVO2_Manuscript</w:t>
        </w:r>
      </w:hyperlink>
    </w:p>
    <w:p>
      <w:pPr>
        <w:pStyle w:val="TextBody"/>
      </w:pPr>
      <w:r>
        <w:t xml:space="preserve">Unfortunately, we can not upload our MRI images to an open repository as we did not obtain permission in our consent forms.</w:t>
      </w:r>
    </w:p>
    <w:bookmarkEnd w:id="65"/>
    <w:bookmarkEnd w:id="66"/>
    <w:bookmarkStart w:id="147" w:name="references"/>
    <w:p>
      <w:pPr>
        <w:pStyle w:val="Heading1"/>
      </w:pPr>
      <w:r>
        <w:t xml:space="preserve">References</w:t>
      </w:r>
    </w:p>
    <w:bookmarkStart w:id="141" w:name="refs"/>
    <w:bookmarkStart w:id="68" w:name="X49e15ea137bd1324737a91e5bc6ca8354ddc210"/>
    <w:p>
      <w:pPr>
        <w:pStyle w:val="Bibliography"/>
      </w:pPr>
      <w:r>
        <w:t xml:space="preserve">1.</w:t>
      </w:r>
      <w:r>
        <w:t xml:space="preserve"> </w:t>
      </w:r>
      <w:r>
        <w:t xml:space="preserve">	</w:t>
      </w:r>
      <w:r>
        <w:t xml:space="preserve">McKenzie, K., Lynch, E. &amp; Msall, M. E.</w:t>
      </w:r>
      <w:r>
        <w:t xml:space="preserve"> </w:t>
      </w:r>
      <w:hyperlink r:id="rId67">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w:t>
      </w:r>
      <w:r>
        <w:t xml:space="preserve"> </w:t>
      </w:r>
      <w:r>
        <w:rPr>
          <w:i/>
          <w:iCs/>
        </w:rPr>
        <w:t xml:space="preserve">Pediatrics</w:t>
      </w:r>
      <w:r>
        <w:t xml:space="preserve"> </w:t>
      </w:r>
      <w:r>
        <w:rPr>
          <w:b/>
          <w:bCs/>
        </w:rPr>
        <w:t xml:space="preserve">149</w:t>
      </w:r>
      <w:r>
        <w:t xml:space="preserve">, e2021053509K (2022).</w:t>
      </w:r>
    </w:p>
    <w:bookmarkEnd w:id="68"/>
    <w:bookmarkStart w:id="70" w:name="X9289ec7f6e0e5fce4f3a96bab776b081609fd89"/>
    <w:p>
      <w:pPr>
        <w:pStyle w:val="Bibliography"/>
      </w:pPr>
      <w:r>
        <w:t xml:space="preserve">2.</w:t>
      </w:r>
      <w:r>
        <w:t xml:space="preserve"> </w:t>
      </w:r>
      <w:r>
        <w:t xml:space="preserve">	</w:t>
      </w:r>
      <w:r>
        <w:t xml:space="preserve">Twilhaar, E. S.</w:t>
      </w:r>
      <w:r>
        <w:t xml:space="preserve"> </w:t>
      </w:r>
      <w:r>
        <w:rPr>
          <w:i/>
          <w:iCs/>
        </w:rPr>
        <w:t xml:space="preserve">et al.</w:t>
      </w:r>
      <w:r>
        <w:t xml:space="preserve"> </w:t>
      </w:r>
      <w:hyperlink r:id="rId69">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w:t>
      </w:r>
      <w:r>
        <w:t xml:space="preserve"> </w:t>
      </w:r>
      <w:r>
        <w:rPr>
          <w:i/>
          <w:iCs/>
        </w:rPr>
        <w:t xml:space="preserve">JAMA Pediatrics</w:t>
      </w:r>
      <w:r>
        <w:t xml:space="preserve"> </w:t>
      </w:r>
      <w:r>
        <w:rPr>
          <w:b/>
          <w:bCs/>
        </w:rPr>
        <w:t xml:space="preserve">172</w:t>
      </w:r>
      <w:r>
        <w:t xml:space="preserve">, 361 (2018).</w:t>
      </w:r>
    </w:p>
    <w:bookmarkEnd w:id="70"/>
    <w:bookmarkStart w:id="72" w:name="ref-rantakariEarlyOxygenLevels2021"/>
    <w:p>
      <w:pPr>
        <w:pStyle w:val="Bibliography"/>
      </w:pPr>
      <w:r>
        <w:t xml:space="preserve">3.</w:t>
      </w:r>
      <w:r>
        <w:t xml:space="preserve"> </w:t>
      </w:r>
      <w:r>
        <w:t xml:space="preserve">	</w:t>
      </w:r>
      <w:r>
        <w:t xml:space="preserve">Rantakari, K.</w:t>
      </w:r>
      <w:r>
        <w:t xml:space="preserve"> </w:t>
      </w:r>
      <w:r>
        <w:rPr>
          <w:i/>
          <w:iCs/>
        </w:rPr>
        <w:t xml:space="preserve">et al.</w:t>
      </w:r>
      <w:r>
        <w:t xml:space="preserve"> </w:t>
      </w:r>
      <w:hyperlink r:id="rId71">
        <w:r>
          <w:rPr>
            <w:rStyle w:val="InternetLink"/>
          </w:rPr>
          <w:t xml:space="preserve">Early oxygen levels contribute to brain injury in extremely preterm infants</w:t>
        </w:r>
      </w:hyperlink>
      <w:r>
        <w:t xml:space="preserve">.</w:t>
      </w:r>
      <w:r>
        <w:t xml:space="preserve"> </w:t>
      </w:r>
      <w:r>
        <w:rPr>
          <w:i/>
          <w:iCs/>
        </w:rPr>
        <w:t xml:space="preserve">Pediatric Research</w:t>
      </w:r>
      <w:r>
        <w:t xml:space="preserve"> </w:t>
      </w:r>
      <w:r>
        <w:rPr>
          <w:b/>
          <w:bCs/>
        </w:rPr>
        <w:t xml:space="preserve">90</w:t>
      </w:r>
      <w:r>
        <w:t xml:space="preserve">, 131–139 (2021).</w:t>
      </w:r>
    </w:p>
    <w:bookmarkEnd w:id="72"/>
    <w:bookmarkStart w:id="73" w:name="ref-mintunBrainOxygenUtilization1984"/>
    <w:p>
      <w:pPr>
        <w:pStyle w:val="Bibliography"/>
      </w:pPr>
      <w:r>
        <w:t xml:space="preserve">4.</w:t>
      </w:r>
      <w:r>
        <w:t xml:space="preserve"> </w:t>
      </w:r>
      <w:r>
        <w:t xml:space="preserve">	</w:t>
      </w:r>
      <w:r>
        <w:t xml:space="preserve">Mintun, M. A., Raichie, M. E., Martin, W. R. W. &amp; Herscovitch, P. Brain oxygen utilization measured with</w:t>
      </w:r>
      <w:r>
        <w:t xml:space="preserve"> </w:t>
      </w:r>
      <w:r>
        <w:t xml:space="preserve">O-15</w:t>
      </w:r>
      <w:r>
        <w:t xml:space="preserve"> </w:t>
      </w:r>
      <w:r>
        <w:t xml:space="preserve">radiotracers and positron emission tomography.</w:t>
      </w:r>
      <w:r>
        <w:t xml:space="preserve"> </w:t>
      </w:r>
      <w:r>
        <w:rPr>
          <w:i/>
          <w:iCs/>
        </w:rPr>
        <w:t xml:space="preserve">Journal of Nuclear Medicine</w:t>
      </w:r>
      <w:r>
        <w:t xml:space="preserve"> </w:t>
      </w:r>
      <w:r>
        <w:rPr>
          <w:b/>
          <w:bCs/>
        </w:rPr>
        <w:t xml:space="preserve">25</w:t>
      </w:r>
      <w:r>
        <w:t xml:space="preserve">, 177–187 (1984).</w:t>
      </w:r>
    </w:p>
    <w:bookmarkEnd w:id="73"/>
    <w:bookmarkStart w:id="75" w:name="ref-altmanCerebralBloodFlow1988"/>
    <w:p>
      <w:pPr>
        <w:pStyle w:val="Bibliography"/>
      </w:pPr>
      <w:r>
        <w:t xml:space="preserve">5.</w:t>
      </w:r>
      <w:r>
        <w:t xml:space="preserve"> </w:t>
      </w:r>
      <w:r>
        <w:t xml:space="preserve">	</w:t>
      </w:r>
      <w:r>
        <w:t xml:space="preserve">Altman, D. I.</w:t>
      </w:r>
      <w:r>
        <w:t xml:space="preserve"> </w:t>
      </w:r>
      <w:r>
        <w:rPr>
          <w:i/>
          <w:iCs/>
        </w:rPr>
        <w:t xml:space="preserve">et al.</w:t>
      </w:r>
      <w:r>
        <w:t xml:space="preserve"> </w:t>
      </w:r>
      <w:hyperlink r:id="rId74">
        <w:r>
          <w:rPr>
            <w:rStyle w:val="InternetLink"/>
          </w:rPr>
          <w:t xml:space="preserve">Cerebral blood flow requirement for brain viability in newborn infants is lower than in adults</w:t>
        </w:r>
      </w:hyperlink>
      <w:r>
        <w:t xml:space="preserve">.</w:t>
      </w:r>
      <w:r>
        <w:t xml:space="preserve"> </w:t>
      </w:r>
      <w:r>
        <w:rPr>
          <w:i/>
          <w:iCs/>
        </w:rPr>
        <w:t xml:space="preserve">Annals of Neurology</w:t>
      </w:r>
      <w:r>
        <w:t xml:space="preserve"> </w:t>
      </w:r>
      <w:r>
        <w:rPr>
          <w:b/>
          <w:bCs/>
        </w:rPr>
        <w:t xml:space="preserve">24</w:t>
      </w:r>
      <w:r>
        <w:t xml:space="preserve">, 218–226 (1988).</w:t>
      </w:r>
    </w:p>
    <w:bookmarkEnd w:id="75"/>
    <w:bookmarkStart w:id="77" w:name="ref-skovEstimationCerebralVenous1993"/>
    <w:p>
      <w:pPr>
        <w:pStyle w:val="Bibliography"/>
      </w:pPr>
      <w:r>
        <w:t xml:space="preserve">6.</w:t>
      </w:r>
      <w:r>
        <w:t xml:space="preserve"> </w:t>
      </w:r>
      <w:r>
        <w:t xml:space="preserve">	</w:t>
      </w:r>
      <w:r>
        <w:t xml:space="preserve">Skov, L., Pryds, O., Greisen, G. &amp; Lou, H.</w:t>
      </w:r>
      <w:r>
        <w:t xml:space="preserve"> </w:t>
      </w:r>
      <w:hyperlink r:id="rId76">
        <w:r>
          <w:rPr>
            <w:rStyle w:val="InternetLink"/>
          </w:rPr>
          <w:t xml:space="preserve">Estimation of cerebral venous saturation in newborn infants by near infrared spectroscopy</w:t>
        </w:r>
      </w:hyperlink>
      <w:r>
        <w:t xml:space="preserve">.</w:t>
      </w:r>
      <w:r>
        <w:t xml:space="preserve"> </w:t>
      </w:r>
      <w:r>
        <w:rPr>
          <w:i/>
          <w:iCs/>
        </w:rPr>
        <w:t xml:space="preserve">Pediatric Research</w:t>
      </w:r>
      <w:r>
        <w:t xml:space="preserve"> </w:t>
      </w:r>
      <w:r>
        <w:rPr>
          <w:b/>
          <w:bCs/>
        </w:rPr>
        <w:t xml:space="preserve">33</w:t>
      </w:r>
      <w:r>
        <w:t xml:space="preserve">, 52–55 (1993).</w:t>
      </w:r>
    </w:p>
    <w:bookmarkEnd w:id="77"/>
    <w:bookmarkStart w:id="79" w:name="X7895657cb417c1235eb454593c69b082443abee"/>
    <w:p>
      <w:pPr>
        <w:pStyle w:val="Bibliography"/>
      </w:pPr>
      <w:r>
        <w:t xml:space="preserve">7.</w:t>
      </w:r>
      <w:r>
        <w:t xml:space="preserve"> </w:t>
      </w:r>
      <w:r>
        <w:t xml:space="preserve">	</w:t>
      </w:r>
      <w:r>
        <w:t xml:space="preserve">Wray, S., Cope, M., Delpy, D. T., Wyatt, J. S. &amp; Reynolds, E. O. R.</w:t>
      </w:r>
      <w:r>
        <w:t xml:space="preserve"> </w:t>
      </w:r>
      <w:hyperlink r:id="rId78">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w:t>
      </w:r>
      <w:r>
        <w:t xml:space="preserve"> </w:t>
      </w:r>
      <w:r>
        <w:rPr>
          <w:i/>
          <w:iCs/>
        </w:rPr>
        <w:t xml:space="preserve">Biochimica et Biophysica Acta (BBA) - Bioenergetics</w:t>
      </w:r>
      <w:r>
        <w:t xml:space="preserve"> </w:t>
      </w:r>
      <w:r>
        <w:rPr>
          <w:b/>
          <w:bCs/>
        </w:rPr>
        <w:t xml:space="preserve">933</w:t>
      </w:r>
      <w:r>
        <w:t xml:space="preserve">, 184–192 (1988).</w:t>
      </w:r>
    </w:p>
    <w:bookmarkEnd w:id="79"/>
    <w:bookmarkStart w:id="81" w:name="ref-boasDiffuseOpticalImaging2004"/>
    <w:p>
      <w:pPr>
        <w:pStyle w:val="Bibliography"/>
      </w:pPr>
      <w:r>
        <w:t xml:space="preserve">8.</w:t>
      </w:r>
      <w:r>
        <w:t xml:space="preserve"> </w:t>
      </w:r>
      <w:r>
        <w:t xml:space="preserve">	</w:t>
      </w:r>
      <w:r>
        <w:t xml:space="preserve">Boas, D. A., Dale, A. M. &amp; Franceschini, M. A.</w:t>
      </w:r>
      <w:r>
        <w:t xml:space="preserve"> </w:t>
      </w:r>
      <w:hyperlink r:id="rId80">
        <w:r>
          <w:rPr>
            <w:rStyle w:val="InternetLink"/>
          </w:rPr>
          <w:t xml:space="preserve">Diffuse optical imaging of brain activation: Approaches to optimizing image sensitivity, resolution, and accuracy</w:t>
        </w:r>
      </w:hyperlink>
      <w:r>
        <w:t xml:space="preserve">.</w:t>
      </w:r>
      <w:r>
        <w:t xml:space="preserve"> </w:t>
      </w:r>
      <w:r>
        <w:rPr>
          <w:i/>
          <w:iCs/>
        </w:rPr>
        <w:t xml:space="preserve">NeuroImage</w:t>
      </w:r>
      <w:r>
        <w:t xml:space="preserve"> </w:t>
      </w:r>
      <w:r>
        <w:rPr>
          <w:b/>
          <w:bCs/>
        </w:rPr>
        <w:t xml:space="preserve">23</w:t>
      </w:r>
      <w:r>
        <w:t xml:space="preserve">, S275–S288 (2004).</w:t>
      </w:r>
    </w:p>
    <w:bookmarkEnd w:id="81"/>
    <w:bookmarkStart w:id="83" w:name="ref-jainRapidMagneticResonance2011"/>
    <w:p>
      <w:pPr>
        <w:pStyle w:val="Bibliography"/>
      </w:pPr>
      <w:r>
        <w:t xml:space="preserve">9.</w:t>
      </w:r>
      <w:r>
        <w:t xml:space="preserve"> </w:t>
      </w:r>
      <w:r>
        <w:t xml:space="preserve">	</w:t>
      </w:r>
      <w:r>
        <w:t xml:space="preserve">Jain, V.</w:t>
      </w:r>
      <w:r>
        <w:t xml:space="preserve"> </w:t>
      </w:r>
      <w:r>
        <w:rPr>
          <w:i/>
          <w:iCs/>
        </w:rPr>
        <w:t xml:space="preserve">et al.</w:t>
      </w:r>
      <w:r>
        <w:t xml:space="preserve"> </w:t>
      </w:r>
      <w:hyperlink r:id="rId82">
        <w:r>
          <w:rPr>
            <w:rStyle w:val="InternetLink"/>
          </w:rPr>
          <w:t xml:space="preserve">Rapid magnetic resonance measurement of global cerebral metabolic rate of oxygen consumption in humans during rest and hypercapnia</w:t>
        </w:r>
      </w:hyperlink>
      <w:r>
        <w:t xml:space="preserve">.</w:t>
      </w:r>
      <w:r>
        <w:t xml:space="preserve"> </w:t>
      </w:r>
      <w:r>
        <w:rPr>
          <w:i/>
          <w:iCs/>
        </w:rPr>
        <w:t xml:space="preserve">Journal of Cerebral Blood Flow &amp; Metabolism</w:t>
      </w:r>
      <w:r>
        <w:t xml:space="preserve"> </w:t>
      </w:r>
      <w:r>
        <w:rPr>
          <w:b/>
          <w:bCs/>
        </w:rPr>
        <w:t xml:space="preserve">31</w:t>
      </w:r>
      <w:r>
        <w:t xml:space="preserve">, 1504–1512 (2011).</w:t>
      </w:r>
    </w:p>
    <w:bookmarkEnd w:id="83"/>
    <w:bookmarkStart w:id="85" w:name="Xdd87e6070759e3a175623de62eea38ae2bbb5d8"/>
    <w:p>
      <w:pPr>
        <w:pStyle w:val="Bibliography"/>
      </w:pPr>
      <w:r>
        <w:t xml:space="preserve">10.</w:t>
      </w:r>
      <w:r>
        <w:t xml:space="preserve"> </w:t>
      </w:r>
      <w:r>
        <w:t xml:space="preserve">	</w:t>
      </w:r>
      <w:r>
        <w:t xml:space="preserve">Lu, H. &amp; Ge, Y.</w:t>
      </w:r>
      <w:r>
        <w:t xml:space="preserve"> </w:t>
      </w:r>
      <w:hyperlink r:id="rId84">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w:t>
      </w:r>
      <w:r>
        <w:t xml:space="preserve"> </w:t>
      </w:r>
      <w:r>
        <w:rPr>
          <w:i/>
          <w:iCs/>
        </w:rPr>
        <w:t xml:space="preserve">Magnetic Resonance in Medicine</w:t>
      </w:r>
      <w:r>
        <w:t xml:space="preserve"> </w:t>
      </w:r>
      <w:r>
        <w:rPr>
          <w:b/>
          <w:bCs/>
        </w:rPr>
        <w:t xml:space="preserve">60</w:t>
      </w:r>
      <w:r>
        <w:t xml:space="preserve">, 357–363 (2008).</w:t>
      </w:r>
    </w:p>
    <w:bookmarkEnd w:id="85"/>
    <w:bookmarkStart w:id="87" w:name="Xac8b31d5d63c6848af93bee355903810fe6affa"/>
    <w:p>
      <w:pPr>
        <w:pStyle w:val="Bibliography"/>
      </w:pPr>
      <w:r>
        <w:t xml:space="preserve">11.</w:t>
      </w:r>
      <w:r>
        <w:t xml:space="preserve"> </w:t>
      </w:r>
      <w:r>
        <w:t xml:space="preserve">	</w:t>
      </w:r>
      <w:r>
        <w:t xml:space="preserve">Xu, F., Ge, Y. &amp; Lu, H.</w:t>
      </w:r>
      <w:r>
        <w:t xml:space="preserve"> </w:t>
      </w:r>
      <w:hyperlink r:id="rId86">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w:t>
      </w:r>
      <w:r>
        <w:t xml:space="preserve"> </w:t>
      </w:r>
      <w:r>
        <w:rPr>
          <w:i/>
          <w:iCs/>
        </w:rPr>
        <w:t xml:space="preserve">Magnetic Resonance in Medicine</w:t>
      </w:r>
      <w:r>
        <w:t xml:space="preserve"> </w:t>
      </w:r>
      <w:r>
        <w:rPr>
          <w:b/>
          <w:bCs/>
        </w:rPr>
        <w:t xml:space="preserve">62</w:t>
      </w:r>
      <w:r>
        <w:t xml:space="preserve">, 141–148 (2009).</w:t>
      </w:r>
    </w:p>
    <w:bookmarkEnd w:id="87"/>
    <w:bookmarkStart w:id="89" w:name="ref-devisNoninvasiveMRIMeasurements2014"/>
    <w:p>
      <w:pPr>
        <w:pStyle w:val="Bibliography"/>
      </w:pPr>
      <w:r>
        <w:t xml:space="preserve">12.</w:t>
      </w:r>
      <w:r>
        <w:t xml:space="preserve"> </w:t>
      </w:r>
      <w:r>
        <w:t xml:space="preserve">	</w:t>
      </w:r>
      <w:r>
        <w:t xml:space="preserve">De Vis, J. B.</w:t>
      </w:r>
      <w:r>
        <w:t xml:space="preserve"> </w:t>
      </w:r>
      <w:r>
        <w:rPr>
          <w:i/>
          <w:iCs/>
        </w:rPr>
        <w:t xml:space="preserve">et al.</w:t>
      </w:r>
      <w:r>
        <w:t xml:space="preserve"> </w:t>
      </w:r>
      <w:hyperlink r:id="rId88">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w:t>
      </w:r>
      <w:r>
        <w:t xml:space="preserve"> </w:t>
      </w:r>
      <w:r>
        <w:rPr>
          <w:i/>
          <w:iCs/>
        </w:rPr>
        <w:t xml:space="preserve">NeuroImage</w:t>
      </w:r>
      <w:r>
        <w:t xml:space="preserve"> </w:t>
      </w:r>
      <w:r>
        <w:rPr>
          <w:b/>
          <w:bCs/>
        </w:rPr>
        <w:t xml:space="preserve">95</w:t>
      </w:r>
      <w:r>
        <w:t xml:space="preserve">, 185–192 (2014).</w:t>
      </w:r>
    </w:p>
    <w:bookmarkEnd w:id="89"/>
    <w:bookmarkStart w:id="91" w:name="ref-liuQuantitativeAssessmentGlobal2014"/>
    <w:p>
      <w:pPr>
        <w:pStyle w:val="Bibliography"/>
      </w:pPr>
      <w:r>
        <w:t xml:space="preserve">13.</w:t>
      </w:r>
      <w:r>
        <w:t xml:space="preserve"> </w:t>
      </w:r>
      <w:r>
        <w:t xml:space="preserve">	</w:t>
      </w:r>
      <w:r>
        <w:t xml:space="preserve">Liu, P.</w:t>
      </w:r>
      <w:r>
        <w:t xml:space="preserve"> </w:t>
      </w:r>
      <w:r>
        <w:rPr>
          <w:i/>
          <w:iCs/>
        </w:rPr>
        <w:t xml:space="preserve">et al.</w:t>
      </w:r>
      <w:r>
        <w:t xml:space="preserve"> </w:t>
      </w:r>
      <w:hyperlink r:id="rId90">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w:t>
      </w:r>
      <w:r>
        <w:t xml:space="preserve"> </w:t>
      </w:r>
      <w:r>
        <w:rPr>
          <w:i/>
          <w:iCs/>
        </w:rPr>
        <w:t xml:space="preserve">NMR in biomedicine</w:t>
      </w:r>
      <w:r>
        <w:t xml:space="preserve"> </w:t>
      </w:r>
      <w:r>
        <w:rPr>
          <w:b/>
          <w:bCs/>
        </w:rPr>
        <w:t xml:space="preserve">27</w:t>
      </w:r>
      <w:r>
        <w:t xml:space="preserve">, 332–340 (2014).</w:t>
      </w:r>
    </w:p>
    <w:bookmarkEnd w:id="91"/>
    <w:bookmarkStart w:id="93" w:name="ref-qiHemodynamicMetabolicAssessment2018"/>
    <w:p>
      <w:pPr>
        <w:pStyle w:val="Bibliography"/>
      </w:pPr>
      <w:r>
        <w:t xml:space="preserve">14.</w:t>
      </w:r>
      <w:r>
        <w:t xml:space="preserve"> </w:t>
      </w:r>
      <w:r>
        <w:t xml:space="preserve">	</w:t>
      </w:r>
      <w:r>
        <w:t xml:space="preserve">Qi, Y., Liu, P., Lin, Z., Lu, H. &amp; Wang, X.</w:t>
      </w:r>
      <w:r>
        <w:t xml:space="preserve"> </w:t>
      </w:r>
      <w:hyperlink r:id="rId92">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w:t>
      </w:r>
      <w:r>
        <w:t xml:space="preserve"> </w:t>
      </w:r>
      <w:r>
        <w:rPr>
          <w:i/>
          <w:iCs/>
        </w:rPr>
        <w:t xml:space="preserve">Frontiers in Physiology</w:t>
      </w:r>
      <w:r>
        <w:t xml:space="preserve"> </w:t>
      </w:r>
      <w:r>
        <w:rPr>
          <w:b/>
          <w:bCs/>
        </w:rPr>
        <w:t xml:space="preserve">9</w:t>
      </w:r>
      <w:r>
        <w:t xml:space="preserve">, 233 (2018).</w:t>
      </w:r>
    </w:p>
    <w:bookmarkEnd w:id="93"/>
    <w:bookmarkStart w:id="95" w:name="ref-jainCerebralOxygenMetabolism2014"/>
    <w:p>
      <w:pPr>
        <w:pStyle w:val="Bibliography"/>
      </w:pPr>
      <w:r>
        <w:t xml:space="preserve">15.</w:t>
      </w:r>
      <w:r>
        <w:t xml:space="preserve"> </w:t>
      </w:r>
      <w:r>
        <w:t xml:space="preserve">	</w:t>
      </w:r>
      <w:r>
        <w:t xml:space="preserve">Jain, V.</w:t>
      </w:r>
      <w:r>
        <w:t xml:space="preserve"> </w:t>
      </w:r>
      <w:r>
        <w:rPr>
          <w:i/>
          <w:iCs/>
        </w:rPr>
        <w:t xml:space="preserve">et al.</w:t>
      </w:r>
      <w:r>
        <w:t xml:space="preserve"> </w:t>
      </w:r>
      <w:hyperlink r:id="rId94">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34</w:t>
      </w:r>
      <w:r>
        <w:t xml:space="preserve">, 380–388 (2014).</w:t>
      </w:r>
    </w:p>
    <w:bookmarkEnd w:id="95"/>
    <w:bookmarkStart w:id="97" w:name="X0728e73a9ebdf5d82f0ed01d8a8b0e70c4ece6b"/>
    <w:p>
      <w:pPr>
        <w:pStyle w:val="Bibliography"/>
      </w:pPr>
      <w:r>
        <w:t xml:space="preserve">16.</w:t>
      </w:r>
      <w:r>
        <w:t xml:space="preserve"> </w:t>
      </w:r>
      <w:r>
        <w:t xml:space="preserve">	</w:t>
      </w:r>
      <w:r>
        <w:t xml:space="preserve">Jiang, D.</w:t>
      </w:r>
      <w:r>
        <w:t xml:space="preserve"> </w:t>
      </w:r>
      <w:r>
        <w:rPr>
          <w:i/>
          <w:iCs/>
        </w:rPr>
        <w:t xml:space="preserve">et al.</w:t>
      </w:r>
      <w:r>
        <w:t xml:space="preserve"> </w:t>
      </w:r>
      <w:hyperlink r:id="rId96">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w:t>
      </w:r>
      <w:r>
        <w:t xml:space="preserve"> </w:t>
      </w:r>
      <w:r>
        <w:rPr>
          <w:i/>
          <w:iCs/>
        </w:rPr>
        <w:t xml:space="preserve">Magnetic resonance in medicine</w:t>
      </w:r>
      <w:r>
        <w:t xml:space="preserve"> </w:t>
      </w:r>
      <w:r>
        <w:rPr>
          <w:b/>
          <w:bCs/>
        </w:rPr>
        <w:t xml:space="preserve">82</w:t>
      </w:r>
      <w:r>
        <w:t xml:space="preserve">, 1129–1139 (2019).</w:t>
      </w:r>
    </w:p>
    <w:bookmarkEnd w:id="97"/>
    <w:bookmarkStart w:id="99" w:name="ref-jainMRIEstimationGlobal2010"/>
    <w:p>
      <w:pPr>
        <w:pStyle w:val="Bibliography"/>
      </w:pPr>
      <w:r>
        <w:t xml:space="preserve">17.</w:t>
      </w:r>
      <w:r>
        <w:t xml:space="preserve"> </w:t>
      </w:r>
      <w:r>
        <w:t xml:space="preserve">	</w:t>
      </w:r>
      <w:r>
        <w:t xml:space="preserve">Jain, V., Langham, M. C. &amp; Wehrli, F. W.</w:t>
      </w:r>
      <w:r>
        <w:t xml:space="preserve"> </w:t>
      </w:r>
      <w:hyperlink r:id="rId98">
        <w:r>
          <w:rPr>
            <w:rStyle w:val="InternetLink"/>
          </w:rPr>
          <w:t xml:space="preserve">MRI</w:t>
        </w:r>
        <w:r>
          <w:rPr>
            <w:rStyle w:val="InternetLink"/>
          </w:rPr>
          <w:t xml:space="preserve"> </w:t>
        </w:r>
        <w:r>
          <w:rPr>
            <w:rStyle w:val="InternetLink"/>
          </w:rPr>
          <w:t xml:space="preserve">estimation of global brain oxygen consumption rate</w:t>
        </w:r>
      </w:hyperlink>
      <w:r>
        <w:t xml:space="preserve">.</w:t>
      </w:r>
      <w:r>
        <w:t xml:space="preserve"> </w:t>
      </w:r>
      <w:r>
        <w:rPr>
          <w:i/>
          <w:iCs/>
        </w:rPr>
        <w:t xml:space="preserve">Journal of Cerebral Blood Flow and Metabolism: Official Journal of the International Society of Cerebral Blood Flow and Metabolism</w:t>
      </w:r>
      <w:r>
        <w:t xml:space="preserve"> </w:t>
      </w:r>
      <w:r>
        <w:rPr>
          <w:b/>
          <w:bCs/>
        </w:rPr>
        <w:t xml:space="preserve">30</w:t>
      </w:r>
      <w:r>
        <w:t xml:space="preserve">, 1598–1607 (2010).</w:t>
      </w:r>
    </w:p>
    <w:bookmarkEnd w:id="99"/>
    <w:bookmarkStart w:id="101" w:name="X9647584dd1b9d850168c364dd6fd0981444ec0c"/>
    <w:p>
      <w:pPr>
        <w:pStyle w:val="Bibliography"/>
      </w:pPr>
      <w:r>
        <w:t xml:space="preserve">18.</w:t>
      </w:r>
      <w:r>
        <w:t xml:space="preserve"> </w:t>
      </w:r>
      <w:r>
        <w:t xml:space="preserve">	</w:t>
      </w:r>
      <w:r>
        <w:t xml:space="preserve">Weber, A. M., Zhang, Y., Kames, C. &amp; Rauscher, A.</w:t>
      </w:r>
      <w:r>
        <w:t xml:space="preserve"> </w:t>
      </w:r>
      <w:hyperlink r:id="rId100">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w:t>
      </w:r>
      <w:r>
        <w:t xml:space="preserve"> </w:t>
      </w:r>
      <w:r>
        <w:rPr>
          <w:i/>
          <w:iCs/>
        </w:rPr>
        <w:t xml:space="preserve">American Journal of Neuroradiology</w:t>
      </w:r>
      <w:r>
        <w:t xml:space="preserve"> </w:t>
      </w:r>
      <w:r>
        <w:rPr>
          <w:b/>
          <w:bCs/>
        </w:rPr>
        <w:t xml:space="preserve">42</w:t>
      </w:r>
      <w:r>
        <w:t xml:space="preserve">, 1327–1333 (2021).</w:t>
      </w:r>
    </w:p>
    <w:bookmarkEnd w:id="101"/>
    <w:bookmarkStart w:id="103" w:name="ref-kimHSeparationImagingDiagnosis2023"/>
    <w:p>
      <w:pPr>
        <w:pStyle w:val="Bibliography"/>
      </w:pPr>
      <w:r>
        <w:t xml:space="preserve">19.</w:t>
      </w:r>
      <w:r>
        <w:t xml:space="preserve"> </w:t>
      </w:r>
      <w:r>
        <w:t xml:space="preserve">	</w:t>
      </w:r>
      <w:r>
        <w:t xml:space="preserve">Kim, W.</w:t>
      </w:r>
      <w:r>
        <w:t xml:space="preserve"> </w:t>
      </w:r>
      <w:r>
        <w:rPr>
          <w:i/>
          <w:iCs/>
        </w:rPr>
        <w:t xml:space="preserve">et al.</w:t>
      </w:r>
      <w:r>
        <w:t xml:space="preserve"> </w:t>
      </w:r>
      <w:hyperlink r:id="rId102">
        <m:oMath>
          <m:r>
            <m:t>χ</m:t>
          </m:r>
        </m:oMath>
        <w:r>
          <w:rPr>
            <w:rStyle w:val="InternetLink"/>
          </w:rPr>
          <w:t xml:space="preserve">-</w:t>
        </w:r>
        <w:r>
          <w:rPr>
            <w:rStyle w:val="InternetLink"/>
          </w:rPr>
          <w:t xml:space="preserve">Separation Imaging</w:t>
        </w:r>
        <w:r>
          <w:rPr>
            <w:rStyle w:val="InternetLink"/>
          </w:rPr>
          <w:t xml:space="preserve"> </w:t>
        </w:r>
        <w:r>
          <w:rPr>
            <w:rStyle w:val="InternetLink"/>
          </w:rPr>
          <w:t xml:space="preserve">for</w:t>
        </w:r>
        <w:r>
          <w:rPr>
            <w:rStyle w:val="InternetLink"/>
          </w:rPr>
          <w:t xml:space="preserve"> </w:t>
        </w:r>
        <w:r>
          <w:rPr>
            <w:rStyle w:val="InternetLink"/>
          </w:rPr>
          <w:t xml:space="preserve">Diagnosis</w:t>
        </w:r>
        <w:r>
          <w:rPr>
            <w:rStyle w:val="InternetLink"/>
          </w:rPr>
          <w:t xml:space="preserve"> </w:t>
        </w:r>
        <w:r>
          <w:rPr>
            <w:rStyle w:val="InternetLink"/>
          </w:rPr>
          <w:t xml:space="preserve">of</w:t>
        </w:r>
        <w:r>
          <w:rPr>
            <w:rStyle w:val="InternetLink"/>
          </w:rPr>
          <w:t xml:space="preserve"> </w:t>
        </w:r>
        <w:r>
          <w:rPr>
            <w:rStyle w:val="InternetLink"/>
          </w:rPr>
          <w:t xml:space="preserve">Multiple Sclerosis</w:t>
        </w:r>
        <w:r>
          <w:rPr>
            <w:rStyle w:val="InternetLink"/>
          </w:rPr>
          <w:t xml:space="preserve"> </w:t>
        </w:r>
        <w:r>
          <w:rPr>
            <w:rStyle w:val="InternetLink"/>
          </w:rPr>
          <w:t xml:space="preserve">versus</w:t>
        </w:r>
        <w:r>
          <w:rPr>
            <w:rStyle w:val="InternetLink"/>
          </w:rPr>
          <w:t xml:space="preserve"> </w:t>
        </w:r>
        <w:r>
          <w:rPr>
            <w:rStyle w:val="InternetLink"/>
          </w:rPr>
          <w:t xml:space="preserve">Neuromyelitis Optica Spectrum Disorder</w:t>
        </w:r>
      </w:hyperlink>
      <w:r>
        <w:t xml:space="preserve">.</w:t>
      </w:r>
      <w:r>
        <w:t xml:space="preserve"> </w:t>
      </w:r>
      <w:r>
        <w:rPr>
          <w:i/>
          <w:iCs/>
        </w:rPr>
        <w:t xml:space="preserve">Radiology</w:t>
      </w:r>
      <w:r>
        <w:t xml:space="preserve"> </w:t>
      </w:r>
      <w:r>
        <w:rPr>
          <w:b/>
          <w:bCs/>
        </w:rPr>
        <w:t xml:space="preserve">307</w:t>
      </w:r>
      <w:r>
        <w:t xml:space="preserve">, e220941 (2023).</w:t>
      </w:r>
    </w:p>
    <w:bookmarkEnd w:id="103"/>
    <w:bookmarkStart w:id="104" w:name="ref-zhu-etal-cmro2"/>
    <w:p>
      <w:pPr>
        <w:pStyle w:val="Bibliography"/>
      </w:pPr>
      <w:r>
        <w:t xml:space="preserve">20.</w:t>
      </w:r>
      <w:r>
        <w:t xml:space="preserve"> </w:t>
      </w:r>
      <w:r>
        <w:t xml:space="preserve">	</w:t>
      </w:r>
      <w:r>
        <w:t xml:space="preserve">Zhu, A.</w:t>
      </w:r>
      <w:r>
        <w:t xml:space="preserve"> </w:t>
      </w:r>
      <w:r>
        <w:rPr>
          <w:i/>
          <w:iCs/>
        </w:rPr>
        <w:t xml:space="preserve">et al.</w:t>
      </w:r>
      <w:r>
        <w:t xml:space="preserve"> Regional cerebral metabolic rate of oxygen and levels of respiratory support in preterm neonates.</w:t>
      </w:r>
      <w:r>
        <w:t xml:space="preserve"> </w:t>
      </w:r>
      <w:r>
        <w:rPr>
          <w:i/>
          <w:iCs/>
        </w:rPr>
        <w:t xml:space="preserve">AJNR: American Journal of Neuroradiology</w:t>
      </w:r>
      <w:r>
        <w:t xml:space="preserve"> </w:t>
      </w:r>
      <w:r>
        <w:t xml:space="preserve">(2024).</w:t>
      </w:r>
    </w:p>
    <w:bookmarkEnd w:id="104"/>
    <w:bookmarkStart w:id="106" w:name="Xc71f4fceba70962315735ff7030a7f1e9918671"/>
    <w:p>
      <w:pPr>
        <w:pStyle w:val="Bibliography"/>
      </w:pPr>
      <w:r>
        <w:t xml:space="preserve">21.</w:t>
      </w:r>
      <w:r>
        <w:t xml:space="preserve"> </w:t>
      </w:r>
      <w:r>
        <w:t xml:space="preserve">	</w:t>
      </w:r>
      <w:r>
        <w:t xml:space="preserve">Alsop, D. C.</w:t>
      </w:r>
      <w:r>
        <w:t xml:space="preserve"> </w:t>
      </w:r>
      <w:r>
        <w:rPr>
          <w:i/>
          <w:iCs/>
        </w:rPr>
        <w:t xml:space="preserve">et al.</w:t>
      </w:r>
      <w:r>
        <w:t xml:space="preserve"> </w:t>
      </w:r>
      <w:hyperlink r:id="rId105">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w:t>
      </w:r>
      <w:r>
        <w:t xml:space="preserve"> </w:t>
      </w:r>
      <w:r>
        <w:rPr>
          <w:i/>
          <w:iCs/>
        </w:rPr>
        <w:t xml:space="preserve">Magnetic Resonance in Medicine</w:t>
      </w:r>
      <w:r>
        <w:t xml:space="preserve"> </w:t>
      </w:r>
      <w:r>
        <w:rPr>
          <w:b/>
          <w:bCs/>
        </w:rPr>
        <w:t xml:space="preserve">73</w:t>
      </w:r>
      <w:r>
        <w:t xml:space="preserve">, 102–116 (2015).</w:t>
      </w:r>
    </w:p>
    <w:bookmarkEnd w:id="106"/>
    <w:bookmarkStart w:id="108" w:name="X3152621f57050143f9f0e1c651b557e4ffcbba4"/>
    <w:p>
      <w:pPr>
        <w:pStyle w:val="Bibliography"/>
      </w:pPr>
      <w:r>
        <w:t xml:space="preserve">22.</w:t>
      </w:r>
      <w:r>
        <w:t xml:space="preserve"> </w:t>
      </w:r>
      <w:r>
        <w:t xml:space="preserve">	</w:t>
      </w:r>
      <w:r>
        <w:t xml:space="preserve">Denk, C. &amp; Rauscher, A.</w:t>
      </w:r>
      <w:r>
        <w:t xml:space="preserve"> </w:t>
      </w:r>
      <w:hyperlink r:id="rId107">
        <w:r>
          <w:rPr>
            <w:rStyle w:val="InternetLink"/>
          </w:rPr>
          <w:t xml:space="preserve">Susceptibility weighted imaging with multiple echoes</w:t>
        </w:r>
      </w:hyperlink>
      <w:r>
        <w:t xml:space="preserve">.</w:t>
      </w:r>
      <w:r>
        <w:t xml:space="preserve"> </w:t>
      </w:r>
      <w:r>
        <w:rPr>
          <w:i/>
          <w:iCs/>
        </w:rPr>
        <w:t xml:space="preserve">Journal of magnetic resonance imaging: JMRI</w:t>
      </w:r>
      <w:r>
        <w:t xml:space="preserve"> </w:t>
      </w:r>
      <w:r>
        <w:rPr>
          <w:b/>
          <w:bCs/>
        </w:rPr>
        <w:t xml:space="preserve">31</w:t>
      </w:r>
      <w:r>
        <w:t xml:space="preserve">, 185–191 (2010).</w:t>
      </w:r>
    </w:p>
    <w:bookmarkEnd w:id="108"/>
    <w:bookmarkStart w:id="110" w:name="ref-liFirstStepNeuroimaging2016"/>
    <w:p>
      <w:pPr>
        <w:pStyle w:val="Bibliography"/>
      </w:pPr>
      <w:r>
        <w:t xml:space="preserve">23.</w:t>
      </w:r>
      <w:r>
        <w:t xml:space="preserve"> </w:t>
      </w:r>
      <w:r>
        <w:t xml:space="preserve">	</w:t>
      </w:r>
      <w:r>
        <w:t xml:space="preserve">Li, X., Morgan, P. S., Ashburner, J., Smith, J. &amp; Rorden, C.</w:t>
      </w:r>
      <w:r>
        <w:t xml:space="preserve"> </w:t>
      </w:r>
      <w:hyperlink r:id="rId109">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w:t>
      </w:r>
      <w:r>
        <w:t xml:space="preserve"> </w:t>
      </w:r>
      <w:r>
        <w:rPr>
          <w:i/>
          <w:iCs/>
        </w:rPr>
        <w:t xml:space="preserve">Journal of Neuroscience Methods</w:t>
      </w:r>
      <w:r>
        <w:t xml:space="preserve"> </w:t>
      </w:r>
      <w:r>
        <w:rPr>
          <w:b/>
          <w:bCs/>
        </w:rPr>
        <w:t xml:space="preserve">264</w:t>
      </w:r>
      <w:r>
        <w:t xml:space="preserve">, 47–56 (2016).</w:t>
      </w:r>
    </w:p>
    <w:bookmarkEnd w:id="110"/>
    <w:bookmarkStart w:id="112" w:name="Xffbde0f4ae4c98a61eaead2509f97c3dab005ea"/>
    <w:p>
      <w:pPr>
        <w:pStyle w:val="Bibliography"/>
      </w:pPr>
      <w:r>
        <w:t xml:space="preserve">24.</w:t>
      </w:r>
      <w:r>
        <w:t xml:space="preserve"> </w:t>
      </w:r>
      <w:r>
        <w:t xml:space="preserve">	</w:t>
      </w:r>
      <w:r>
        <w:t xml:space="preserve">Woolrich, M. W.</w:t>
      </w:r>
      <w:r>
        <w:t xml:space="preserve"> </w:t>
      </w:r>
      <w:r>
        <w:rPr>
          <w:i/>
          <w:iCs/>
        </w:rPr>
        <w:t xml:space="preserve">et al.</w:t>
      </w:r>
      <w:r>
        <w:t xml:space="preserve"> </w:t>
      </w:r>
      <w:hyperlink r:id="rId111">
        <w:r>
          <w:rPr>
            <w:rStyle w:val="InternetLink"/>
          </w:rPr>
          <w:t xml:space="preserve">Bayesian analysis of neuroimaging data in</w:t>
        </w:r>
        <w:r>
          <w:rPr>
            <w:rStyle w:val="InternetLink"/>
          </w:rPr>
          <w:t xml:space="preserve"> </w:t>
        </w:r>
        <w:r>
          <w:rPr>
            <w:rStyle w:val="InternetLink"/>
          </w:rPr>
          <w:t xml:space="preserve">FSL</w:t>
        </w:r>
      </w:hyperlink>
      <w:r>
        <w:t xml:space="preserve">.</w:t>
      </w:r>
      <w:r>
        <w:t xml:space="preserve"> </w:t>
      </w:r>
      <w:r>
        <w:rPr>
          <w:i/>
          <w:iCs/>
        </w:rPr>
        <w:t xml:space="preserve">NeuroImage</w:t>
      </w:r>
      <w:r>
        <w:t xml:space="preserve"> </w:t>
      </w:r>
      <w:r>
        <w:rPr>
          <w:b/>
          <w:bCs/>
        </w:rPr>
        <w:t xml:space="preserve">45</w:t>
      </w:r>
      <w:r>
        <w:t xml:space="preserve">, S173–S186 (2009).</w:t>
      </w:r>
    </w:p>
    <w:bookmarkEnd w:id="112"/>
    <w:bookmarkStart w:id="114" w:name="ref-smithFastRobustAutomated2002"/>
    <w:p>
      <w:pPr>
        <w:pStyle w:val="Bibliography"/>
      </w:pPr>
      <w:r>
        <w:t xml:space="preserve">25.</w:t>
      </w:r>
      <w:r>
        <w:t xml:space="preserve"> </w:t>
      </w:r>
      <w:r>
        <w:t xml:space="preserve">	</w:t>
      </w:r>
      <w:r>
        <w:t xml:space="preserve">Smith, S. M.</w:t>
      </w:r>
      <w:r>
        <w:t xml:space="preserve"> </w:t>
      </w:r>
      <w:hyperlink r:id="rId113">
        <w:r>
          <w:rPr>
            <w:rStyle w:val="InternetLink"/>
          </w:rPr>
          <w:t xml:space="preserve">Fast robust automated brain extraction</w:t>
        </w:r>
      </w:hyperlink>
      <w:r>
        <w:t xml:space="preserve">.</w:t>
      </w:r>
      <w:r>
        <w:t xml:space="preserve"> </w:t>
      </w:r>
      <w:r>
        <w:rPr>
          <w:i/>
          <w:iCs/>
        </w:rPr>
        <w:t xml:space="preserve">Human Brain Mapping</w:t>
      </w:r>
      <w:r>
        <w:t xml:space="preserve"> </w:t>
      </w:r>
      <w:r>
        <w:rPr>
          <w:b/>
          <w:bCs/>
        </w:rPr>
        <w:t xml:space="preserve">17</w:t>
      </w:r>
      <w:r>
        <w:t xml:space="preserve">, 143–155 (2002).</w:t>
      </w:r>
    </w:p>
    <w:bookmarkEnd w:id="114"/>
    <w:bookmarkStart w:id="116" w:name="ref-kamesRapidTwostepDipole2018"/>
    <w:p>
      <w:pPr>
        <w:pStyle w:val="Bibliography"/>
      </w:pPr>
      <w:r>
        <w:t xml:space="preserve">26.</w:t>
      </w:r>
      <w:r>
        <w:t xml:space="preserve"> </w:t>
      </w:r>
      <w:r>
        <w:t xml:space="preserve">	</w:t>
      </w:r>
      <w:r>
        <w:t xml:space="preserve">Kames, C., Wiggermann, V. &amp; Rauscher, A.</w:t>
      </w:r>
      <w:r>
        <w:t xml:space="preserve"> </w:t>
      </w:r>
      <w:hyperlink r:id="rId115">
        <w:r>
          <w:rPr>
            <w:rStyle w:val="InternetLink"/>
          </w:rPr>
          <w:t xml:space="preserve">Rapid two-step dipole inversion for susceptibility mapping with sparsity priors</w:t>
        </w:r>
      </w:hyperlink>
      <w:r>
        <w:t xml:space="preserve">.</w:t>
      </w:r>
      <w:r>
        <w:t xml:space="preserve"> </w:t>
      </w:r>
      <w:r>
        <w:rPr>
          <w:i/>
          <w:iCs/>
        </w:rPr>
        <w:t xml:space="preserve">NeuroImage</w:t>
      </w:r>
      <w:r>
        <w:t xml:space="preserve"> </w:t>
      </w:r>
      <w:r>
        <w:rPr>
          <w:b/>
          <w:bCs/>
        </w:rPr>
        <w:t xml:space="preserve">167</w:t>
      </w:r>
      <w:r>
        <w:t xml:space="preserve">, 276–283 (2018).</w:t>
      </w:r>
    </w:p>
    <w:bookmarkEnd w:id="116"/>
    <w:bookmarkStart w:id="118" w:name="ref-mccarthyFSLeyes2023"/>
    <w:p>
      <w:pPr>
        <w:pStyle w:val="Bibliography"/>
      </w:pPr>
      <w:r>
        <w:t xml:space="preserve">27.</w:t>
      </w:r>
      <w:r>
        <w:t xml:space="preserve"> </w:t>
      </w:r>
      <w:r>
        <w:t xml:space="preserve">	</w:t>
      </w:r>
      <w:r>
        <w:t xml:space="preserve">McCarthy, P.</w:t>
      </w:r>
      <w:r>
        <w:t xml:space="preserve"> </w:t>
      </w:r>
      <w:r>
        <w:t xml:space="preserve">FSLeyes</w:t>
      </w:r>
      <w:r>
        <w:t xml:space="preserve">. (2023) doi:</w:t>
      </w:r>
      <w:hyperlink r:id="rId117">
        <w:r>
          <w:rPr>
            <w:rStyle w:val="InternetLink"/>
          </w:rPr>
          <w:t xml:space="preserve">10.5281/zenodo.8376979</w:t>
        </w:r>
      </w:hyperlink>
      <w:r>
        <w:t xml:space="preserve">.</w:t>
      </w:r>
    </w:p>
    <w:bookmarkEnd w:id="118"/>
    <w:bookmarkStart w:id="120" w:name="ref-liIntegratedLaplacianbasedPhase2014"/>
    <w:p>
      <w:pPr>
        <w:pStyle w:val="Bibliography"/>
      </w:pPr>
      <w:r>
        <w:t xml:space="preserve">28.</w:t>
      </w:r>
      <w:r>
        <w:t xml:space="preserve"> </w:t>
      </w:r>
      <w:r>
        <w:t xml:space="preserve">	</w:t>
      </w:r>
      <w:r>
        <w:t xml:space="preserve">Li, W., Avram, A. V., Wu, B., Xiao, X. &amp; Liu, C.</w:t>
      </w:r>
      <w:r>
        <w:t xml:space="preserve"> </w:t>
      </w:r>
      <w:hyperlink r:id="rId119">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w:t>
      </w:r>
      <w:r>
        <w:t xml:space="preserve"> </w:t>
      </w:r>
      <w:r>
        <w:rPr>
          <w:i/>
          <w:iCs/>
        </w:rPr>
        <w:t xml:space="preserve">NMR in Biomedicine</w:t>
      </w:r>
      <w:r>
        <w:t xml:space="preserve"> </w:t>
      </w:r>
      <w:r>
        <w:rPr>
          <w:b/>
          <w:bCs/>
        </w:rPr>
        <w:t xml:space="preserve">27</w:t>
      </w:r>
      <w:r>
        <w:t xml:space="preserve">, 219–227 (2014).</w:t>
      </w:r>
    </w:p>
    <w:bookmarkEnd w:id="120"/>
    <w:bookmarkStart w:id="122" w:name="X13bd3e6c2d8e7f1a9a86d25866fb03103d0e529"/>
    <w:p>
      <w:pPr>
        <w:pStyle w:val="Bibliography"/>
      </w:pPr>
      <w:r>
        <w:t xml:space="preserve">29.</w:t>
      </w:r>
      <w:r>
        <w:t xml:space="preserve"> </w:t>
      </w:r>
      <w:r>
        <w:t xml:space="preserve">	</w:t>
      </w:r>
      <w:r>
        <w:t xml:space="preserve">Zhang, Y., Rauscher, A., Kames, C. &amp; Weber, A. M.</w:t>
      </w:r>
      <w:r>
        <w:t xml:space="preserve"> </w:t>
      </w:r>
      <w:hyperlink r:id="rId121">
        <w:r>
          <w:rPr>
            <w:rStyle w:val="InternetLink"/>
          </w:rPr>
          <w:t xml:space="preserve">Quantitative</w:t>
        </w:r>
        <w:r>
          <w:rPr>
            <w:rStyle w:val="InternetLink"/>
          </w:rPr>
          <w:t xml:space="preserve"> </w:t>
        </w:r>
        <w:r>
          <w:rPr>
            <w:rStyle w:val="InternetLink"/>
          </w:rPr>
          <w:t xml:space="preserve">Analysis</w:t>
        </w:r>
        <w:r>
          <w:rPr>
            <w:rStyle w:val="InternetLink"/>
          </w:rPr>
          <w:t xml:space="preserve"> </w:t>
        </w:r>
        <w:r>
          <w:rPr>
            <w:rStyle w:val="InternetLink"/>
          </w:rPr>
          <w:t xml:space="preserve">of</w:t>
        </w:r>
        <w:r>
          <w:rPr>
            <w:rStyle w:val="InternetLink"/>
          </w:rPr>
          <w:t xml:space="preserve"> </w:t>
        </w:r>
        <w:r>
          <w:rPr>
            <w:rStyle w:val="InternetLink"/>
          </w:rPr>
          <w:t xml:space="preserve">Punctate White Matter Lesions</w:t>
        </w:r>
        <w:r>
          <w:rPr>
            <w:rStyle w:val="InternetLink"/>
          </w:rPr>
          <w:t xml:space="preserve"> </w:t>
        </w:r>
        <w:r>
          <w:rPr>
            <w:rStyle w:val="InternetLink"/>
          </w:rPr>
          <w:t xml:space="preserve">in</w:t>
        </w:r>
        <w:r>
          <w:rPr>
            <w:rStyle w:val="InternetLink"/>
          </w:rPr>
          <w:t xml:space="preserve"> </w:t>
        </w:r>
        <w:r>
          <w:rPr>
            <w:rStyle w:val="InternetLink"/>
          </w:rPr>
          <w:t xml:space="preserve">Neonates Using Quantitative Susceptibility Mapping</w:t>
        </w:r>
        <w:r>
          <w:rPr>
            <w:rStyle w:val="InternetLink"/>
          </w:rPr>
          <w:t xml:space="preserve"> </w:t>
        </w:r>
        <w:r>
          <w:rPr>
            <w:rStyle w:val="InternetLink"/>
          </w:rPr>
          <w:t xml:space="preserve">and</w:t>
        </w:r>
        <w:r>
          <w:rPr>
            <w:rStyle w:val="InternetLink"/>
          </w:rPr>
          <w:t xml:space="preserve"> </w:t>
        </w:r>
        <w:r>
          <w:rPr>
            <w:rStyle w:val="InternetLink"/>
          </w:rPr>
          <w:t xml:space="preserve">R2</w:t>
        </w:r>
        <w:r>
          <w:rPr>
            <w:rStyle w:val="InternetLink"/>
          </w:rPr>
          <w:t xml:space="preserve">*</w:t>
        </w:r>
        <w:r>
          <w:rPr>
            <w:rStyle w:val="InternetLink"/>
          </w:rPr>
          <w:t xml:space="preserve"> </w:t>
        </w:r>
        <w:r>
          <w:rPr>
            <w:rStyle w:val="InternetLink"/>
          </w:rPr>
          <w:t xml:space="preserve">Relaxation</w:t>
        </w:r>
      </w:hyperlink>
      <w:r>
        <w:t xml:space="preserve">.</w:t>
      </w:r>
      <w:r>
        <w:t xml:space="preserve"> </w:t>
      </w:r>
      <w:r>
        <w:rPr>
          <w:i/>
          <w:iCs/>
        </w:rPr>
        <w:t xml:space="preserve">AJNR. American journal of neuroradiology</w:t>
      </w:r>
      <w:r>
        <w:t xml:space="preserve"> </w:t>
      </w:r>
      <w:r>
        <w:rPr>
          <w:b/>
          <w:bCs/>
        </w:rPr>
        <w:t xml:space="preserve">40</w:t>
      </w:r>
      <w:r>
        <w:t xml:space="preserve">, 1221–1226 (2019).</w:t>
      </w:r>
    </w:p>
    <w:bookmarkEnd w:id="122"/>
    <w:bookmarkStart w:id="124" w:name="X894905b979ca18ae21fa8491f1ec823367d3c00"/>
    <w:p>
      <w:pPr>
        <w:pStyle w:val="Bibliography"/>
      </w:pPr>
      <w:r>
        <w:t xml:space="preserve">30.</w:t>
      </w:r>
      <w:r>
        <w:t xml:space="preserve"> </w:t>
      </w:r>
      <w:r>
        <w:t xml:space="preserve">	</w:t>
      </w:r>
      <w:r>
        <w:t xml:space="preserve">Shin, H.-G.</w:t>
      </w:r>
      <w:r>
        <w:t xml:space="preserve"> </w:t>
      </w:r>
      <w:r>
        <w:rPr>
          <w:i/>
          <w:iCs/>
        </w:rPr>
        <w:t xml:space="preserve">et al.</w:t>
      </w:r>
      <w:r>
        <w:t xml:space="preserve"> </w:t>
      </w:r>
      <w:hyperlink r:id="rId123">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w:t>
      </w:r>
      <w:r>
        <w:t xml:space="preserve"> </w:t>
      </w:r>
      <w:r>
        <w:rPr>
          <w:i/>
          <w:iCs/>
        </w:rPr>
        <w:t xml:space="preserve">NeuroImage</w:t>
      </w:r>
      <w:r>
        <w:t xml:space="preserve"> </w:t>
      </w:r>
      <w:r>
        <w:rPr>
          <w:b/>
          <w:bCs/>
        </w:rPr>
        <w:t xml:space="preserve">240</w:t>
      </w:r>
      <w:r>
        <w:t xml:space="preserve">, 118371 (2021).</w:t>
      </w:r>
    </w:p>
    <w:bookmarkEnd w:id="124"/>
    <w:bookmarkStart w:id="126" w:name="ref-bergInvestigatingEffectFlow2021"/>
    <w:p>
      <w:pPr>
        <w:pStyle w:val="Bibliography"/>
      </w:pPr>
      <w:r>
        <w:t xml:space="preserve">31.</w:t>
      </w:r>
      <w:r>
        <w:t xml:space="preserve"> </w:t>
      </w:r>
      <w:r>
        <w:t xml:space="preserve">	</w:t>
      </w:r>
      <w:r>
        <w:t xml:space="preserve">Berg, R. C., Preibisch, C., Thomas, D. L., Shmueli, K. &amp; Biondetti, E. Investigating the</w:t>
      </w:r>
      <w:r>
        <w:t xml:space="preserve"> </w:t>
      </w:r>
      <w:r>
        <w:t xml:space="preserve">Effect</w:t>
      </w:r>
      <w:r>
        <w:t xml:space="preserve"> </w:t>
      </w:r>
      <w:r>
        <w:t xml:space="preserve">of</w:t>
      </w:r>
      <w:r>
        <w:t xml:space="preserve"> </w:t>
      </w:r>
      <w:r>
        <w:t xml:space="preserve">Flow Compensation</w:t>
      </w:r>
      <w:r>
        <w:t xml:space="preserve"> </w:t>
      </w:r>
      <w:r>
        <w:t xml:space="preserve">and</w:t>
      </w:r>
      <w:r>
        <w:t xml:space="preserve"> </w:t>
      </w:r>
      <w:r>
        <w:t xml:space="preserve">Quantitative Susceptibility Mapping Method</w:t>
      </w:r>
      <w:r>
        <w:t xml:space="preserve"> </w:t>
      </w:r>
      <w:r>
        <w:t xml:space="preserve">on the</w:t>
      </w:r>
      <w:r>
        <w:t xml:space="preserve"> </w:t>
      </w:r>
      <w:r>
        <w:t xml:space="preserve">Accuracy</w:t>
      </w:r>
      <w:r>
        <w:t xml:space="preserve"> </w:t>
      </w:r>
      <w:r>
        <w:t xml:space="preserve">of</w:t>
      </w:r>
      <w:r>
        <w:t xml:space="preserve"> </w:t>
      </w:r>
      <w:r>
        <w:t xml:space="preserve">Venous Susceptibility Measurement</w:t>
      </w:r>
      <w:r>
        <w:t xml:space="preserve">. 2021.04.14.439812 (2021) doi:</w:t>
      </w:r>
      <w:hyperlink r:id="rId125">
        <w:r>
          <w:rPr>
            <w:rStyle w:val="InternetLink"/>
          </w:rPr>
          <w:t xml:space="preserve">10.1101/2021.04.14.439812</w:t>
        </w:r>
      </w:hyperlink>
      <w:r>
        <w:t xml:space="preserve">.</w:t>
      </w:r>
    </w:p>
    <w:bookmarkEnd w:id="126"/>
    <w:bookmarkStart w:id="128" w:name="ref-portnoyHumanUmbilicalCord2018"/>
    <w:p>
      <w:pPr>
        <w:pStyle w:val="Bibliography"/>
      </w:pPr>
      <w:r>
        <w:t xml:space="preserve">32.</w:t>
      </w:r>
      <w:r>
        <w:t xml:space="preserve"> </w:t>
      </w:r>
      <w:r>
        <w:t xml:space="preserve">	</w:t>
      </w:r>
      <w:r>
        <w:t xml:space="preserve">Portnoy, S., Milligan, N., Seed, M., Sled, J. G. &amp; Macgowan, C. K.</w:t>
      </w:r>
      <w:r>
        <w:t xml:space="preserve"> </w:t>
      </w:r>
      <w:hyperlink r:id="rId127">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w:t>
      </w:r>
      <w:r>
        <w:t xml:space="preserve"> </w:t>
      </w:r>
      <w:r>
        <w:rPr>
          <w:i/>
          <w:iCs/>
        </w:rPr>
        <w:t xml:space="preserve">Magnetic Resonance in Medicine</w:t>
      </w:r>
      <w:r>
        <w:t xml:space="preserve"> </w:t>
      </w:r>
      <w:r>
        <w:rPr>
          <w:b/>
          <w:bCs/>
        </w:rPr>
        <w:t xml:space="preserve">79</w:t>
      </w:r>
      <w:r>
        <w:t xml:space="preserve">, 3194–3206 (2018).</w:t>
      </w:r>
    </w:p>
    <w:bookmarkEnd w:id="128"/>
    <w:bookmarkStart w:id="130" w:name="X5dcabc52cec00e82905a12242719d076cb6840e"/>
    <w:p>
      <w:pPr>
        <w:pStyle w:val="Bibliography"/>
      </w:pPr>
      <w:r>
        <w:t xml:space="preserve">33.</w:t>
      </w:r>
      <w:r>
        <w:t xml:space="preserve"> </w:t>
      </w:r>
      <w:r>
        <w:t xml:space="preserve">	</w:t>
      </w:r>
      <w:r>
        <w:t xml:space="preserve">Sedlacik, J., Rauscher, A. &amp; Reichenbach, J. R.</w:t>
      </w:r>
      <w:r>
        <w:t xml:space="preserve"> </w:t>
      </w:r>
      <w:hyperlink r:id="rId129">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w:t>
      </w:r>
      <w:r>
        <w:t xml:space="preserve"> </w:t>
      </w:r>
      <w:r>
        <w:rPr>
          <w:i/>
          <w:iCs/>
        </w:rPr>
        <w:t xml:space="preserve">Magnetic Resonance in Medicine</w:t>
      </w:r>
      <w:r>
        <w:t xml:space="preserve"> </w:t>
      </w:r>
      <w:r>
        <w:rPr>
          <w:b/>
          <w:bCs/>
        </w:rPr>
        <w:t xml:space="preserve">58</w:t>
      </w:r>
      <w:r>
        <w:t xml:space="preserve">, 1035–1044 (2007).</w:t>
      </w:r>
    </w:p>
    <w:bookmarkEnd w:id="130"/>
    <w:bookmarkStart w:id="132" w:name="X764ed5b17e735b1a929256c613b3c2a57b1b323"/>
    <w:p>
      <w:pPr>
        <w:pStyle w:val="Bibliography"/>
      </w:pPr>
      <w:r>
        <w:t xml:space="preserve">34.</w:t>
      </w:r>
      <w:r>
        <w:t xml:space="preserve"> </w:t>
      </w:r>
      <w:r>
        <w:t xml:space="preserve">	</w:t>
      </w:r>
      <w:r>
        <w:t xml:space="preserve">Weisskoff, R. M. &amp; Kiihne, S.</w:t>
      </w:r>
      <w:r>
        <w:t xml:space="preserve"> </w:t>
      </w:r>
      <w:hyperlink r:id="rId131">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w:t>
      </w:r>
      <w:r>
        <w:t xml:space="preserve"> </w:t>
      </w:r>
      <w:r>
        <w:rPr>
          <w:i/>
          <w:iCs/>
        </w:rPr>
        <w:t xml:space="preserve">Magnetic Resonance in Medicine</w:t>
      </w:r>
      <w:r>
        <w:t xml:space="preserve"> </w:t>
      </w:r>
      <w:r>
        <w:rPr>
          <w:b/>
          <w:bCs/>
        </w:rPr>
        <w:t xml:space="preserve">24</w:t>
      </w:r>
      <w:r>
        <w:t xml:space="preserve">, 375–383 (1992).</w:t>
      </w:r>
    </w:p>
    <w:bookmarkEnd w:id="132"/>
    <w:bookmarkStart w:id="133" w:name="X49453c0545b7de7f14f10cad417b18342e49481"/>
    <w:p>
      <w:pPr>
        <w:pStyle w:val="Bibliography"/>
      </w:pPr>
      <w:r>
        <w:t xml:space="preserve">35.</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33"/>
    <w:bookmarkStart w:id="134" w:name="X7900f1aa39fccc2c9e6c047234d47645d960668"/>
    <w:p>
      <w:pPr>
        <w:pStyle w:val="Bibliography"/>
      </w:pPr>
      <w:r>
        <w:t xml:space="preserve">36.</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p>
    <w:bookmarkEnd w:id="134"/>
    <w:bookmarkStart w:id="136" w:name="ref-ahmedDiamagneticComponentMap2023a"/>
    <w:p>
      <w:pPr>
        <w:pStyle w:val="Bibliography"/>
      </w:pPr>
      <w:r>
        <w:t xml:space="preserve">37.</w:t>
      </w:r>
      <w:r>
        <w:t xml:space="preserve"> </w:t>
      </w:r>
      <w:r>
        <w:t xml:space="preserve">	</w:t>
      </w:r>
      <w:r>
        <w:t xml:space="preserve">Ahmed, M.</w:t>
      </w:r>
      <w:r>
        <w:t xml:space="preserve"> </w:t>
      </w:r>
      <w:r>
        <w:rPr>
          <w:i/>
          <w:iCs/>
        </w:rPr>
        <w:t xml:space="preserve">et al.</w:t>
      </w:r>
      <w:r>
        <w:t xml:space="preserve"> </w:t>
      </w:r>
      <w:hyperlink r:id="rId135">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w:t>
      </w:r>
      <w:r>
        <w:t xml:space="preserve"> </w:t>
      </w:r>
      <w:r>
        <w:rPr>
          <w:i/>
          <w:iCs/>
        </w:rPr>
        <w:t xml:space="preserve">NeuroImage</w:t>
      </w:r>
      <w:r>
        <w:t xml:space="preserve"> </w:t>
      </w:r>
      <w:r>
        <w:rPr>
          <w:b/>
          <w:bCs/>
        </w:rPr>
        <w:t xml:space="preserve">280</w:t>
      </w:r>
      <w:r>
        <w:t xml:space="preserve">, 120357 (2023).</w:t>
      </w:r>
    </w:p>
    <w:bookmarkEnd w:id="136"/>
    <w:bookmarkStart w:id="138" w:name="ref-gouAutomaticRejectionBased2024"/>
    <w:p>
      <w:pPr>
        <w:pStyle w:val="Bibliography"/>
      </w:pPr>
      <w:r>
        <w:t xml:space="preserve">38.</w:t>
      </w:r>
      <w:r>
        <w:t xml:space="preserve"> </w:t>
      </w:r>
      <w:r>
        <w:t xml:space="preserve">	</w:t>
      </w:r>
      <w:r>
        <w:t xml:space="preserve">Gou, Y.</w:t>
      </w:r>
      <w:r>
        <w:t xml:space="preserve"> </w:t>
      </w:r>
      <w:r>
        <w:rPr>
          <w:i/>
          <w:iCs/>
        </w:rPr>
        <w:t xml:space="preserve">et al.</w:t>
      </w:r>
      <w:r>
        <w:t xml:space="preserve"> </w:t>
      </w:r>
      <w:hyperlink r:id="rId137">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w:t>
      </w:r>
      <w:r>
        <w:t xml:space="preserve"> </w:t>
      </w:r>
      <w:r>
        <w:rPr>
          <w:i/>
          <w:iCs/>
        </w:rPr>
        <w:t xml:space="preserve">Magnetic Resonance Imaging</w:t>
      </w:r>
      <w:r>
        <w:t xml:space="preserve"> </w:t>
      </w:r>
      <w:r>
        <w:rPr>
          <w:b/>
          <w:bCs/>
        </w:rPr>
        <w:t xml:space="preserve">105</w:t>
      </w:r>
      <w:r>
        <w:t xml:space="preserve">, 92–99 (2024).</w:t>
      </w:r>
    </w:p>
    <w:bookmarkEnd w:id="138"/>
    <w:bookmarkStart w:id="140" w:name="ref-yadavImagingPutativeFoetal2018"/>
    <w:p>
      <w:pPr>
        <w:pStyle w:val="Bibliography"/>
      </w:pPr>
      <w:r>
        <w:t xml:space="preserve">39.</w:t>
      </w:r>
      <w:r>
        <w:t xml:space="preserve"> </w:t>
      </w:r>
      <w:r>
        <w:t xml:space="preserve">	</w:t>
      </w:r>
      <w:r>
        <w:t xml:space="preserve">Yadav, B. K.</w:t>
      </w:r>
      <w:r>
        <w:t xml:space="preserve"> </w:t>
      </w:r>
      <w:r>
        <w:rPr>
          <w:i/>
          <w:iCs/>
        </w:rPr>
        <w:t xml:space="preserve">et al.</w:t>
      </w:r>
      <w:r>
        <w:t xml:space="preserve"> </w:t>
      </w:r>
      <w:hyperlink r:id="rId139">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w:t>
      </w:r>
      <w:r>
        <w:t xml:space="preserve"> </w:t>
      </w:r>
      <w:r>
        <w:rPr>
          <w:i/>
          <w:iCs/>
        </w:rPr>
        <w:t xml:space="preserve">European Radiology</w:t>
      </w:r>
      <w:r>
        <w:t xml:space="preserve"> </w:t>
      </w:r>
      <w:r>
        <w:rPr>
          <w:b/>
          <w:bCs/>
        </w:rPr>
        <w:t xml:space="preserve">28</w:t>
      </w:r>
      <w:r>
        <w:t xml:space="preserve">, 1884–1890 (2018).</w:t>
      </w:r>
    </w:p>
    <w:bookmarkEnd w:id="140"/>
    <w:bookmarkEnd w:id="141"/>
    <w:bookmarkStart w:id="142"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142"/>
    <w:bookmarkStart w:id="143"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143"/>
    <w:bookmarkStart w:id="144"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144"/>
    <w:bookmarkStart w:id="145" w:name="competing-interests"/>
    <w:p>
      <w:pPr>
        <w:pStyle w:val="Heading2"/>
      </w:pPr>
      <w:r>
        <w:t xml:space="preserve">Competing interests</w:t>
      </w:r>
    </w:p>
    <w:p>
      <w:pPr>
        <w:pStyle w:val="FirstParagraph"/>
      </w:pPr>
      <w:r>
        <w:t xml:space="preserve">The authors have no competing interests to declare.</w:t>
      </w:r>
    </w:p>
    <w:bookmarkEnd w:id="145"/>
    <w:bookmarkStart w:id="146"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End w:id="146"/>
    <w:bookmarkEnd w:id="147"/>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22" Target="https://WeberLab.github.io/Chisep_CSVO2_Manuscript/index-preview.html" TargetMode="External" /><Relationship Type="http://schemas.openxmlformats.org/officeDocument/2006/relationships/hyperlink" Id="rId32" Target="https://WeberLab.github.io/Chisep_CSVO2_Manuscript/notebooks/Figures.ipynb.html#cell-fig-graph" TargetMode="External" /><Relationship Type="http://schemas.openxmlformats.org/officeDocument/2006/relationships/hyperlink" Id="rId37" Target="https://WeberLab.github.io/Chisep_CSVO2_Manuscript/notebooks/Figures.ipynb.html#cell-fig-masks" TargetMode="External" /><Relationship Type="http://schemas.openxmlformats.org/officeDocument/2006/relationships/hyperlink" Id="rId42" Target="https://WeberLab.github.io/Chisep_CSVO2_Manuscript/notebooks/Figures.ipynb.html#cell-fig-sample" TargetMode="External" /><Relationship Type="http://schemas.openxmlformats.org/officeDocument/2006/relationships/hyperlink" Id="rId53" Target="https://WeberLab.github.io/Chisep_CSVO2_Manuscript/notebooks/gavin_thesis_markdown.qmd.html#cell-fig-methodplot" TargetMode="External" /><Relationship Type="http://schemas.openxmlformats.org/officeDocument/2006/relationships/hyperlink" Id="rId58" Target="https://WeberLab.github.io/Chisep_CSVO2_Manuscript/notebooks/gavin_thesis_markdown.qmd.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3" Target="https://doi.org/10.1002/hbm.10062" TargetMode="External" /><Relationship Type="http://schemas.openxmlformats.org/officeDocument/2006/relationships/hyperlink" Id="rId107" Target="https://doi.org/10.1002/jmri.21995" TargetMode="External" /><Relationship Type="http://schemas.openxmlformats.org/officeDocument/2006/relationships/hyperlink" Id="rId131" Target="https://doi.org/10.1002/mrm.1910240219" TargetMode="External" /><Relationship Type="http://schemas.openxmlformats.org/officeDocument/2006/relationships/hyperlink" Id="rId129"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5" Target="https://doi.org/10.1002/mrm.25197" TargetMode="External" /><Relationship Type="http://schemas.openxmlformats.org/officeDocument/2006/relationships/hyperlink" Id="rId127"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9"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9"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9" Target="https://doi.org/10.1016/j.jneumeth.2016.03.001" TargetMode="External" /><Relationship Type="http://schemas.openxmlformats.org/officeDocument/2006/relationships/hyperlink" Id="rId137"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1"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5" Target="https://doi.org/10.1016/j.neuroimage.2017.11.018" TargetMode="External" /><Relationship Type="http://schemas.openxmlformats.org/officeDocument/2006/relationships/hyperlink" Id="rId123" Target="https://doi.org/10.1016/j.neuroimage.2021.118371" TargetMode="External" /><Relationship Type="http://schemas.openxmlformats.org/officeDocument/2006/relationships/hyperlink" Id="rId135"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5"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1"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7"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22" Target="https://WeberLab.github.io/Chisep_CSVO2_Manuscript/index-preview.html" TargetMode="External" /><Relationship Type="http://schemas.openxmlformats.org/officeDocument/2006/relationships/hyperlink" Id="rId32" Target="https://WeberLab.github.io/Chisep_CSVO2_Manuscript/notebooks/Figures.ipynb.html#cell-fig-graph" TargetMode="External" /><Relationship Type="http://schemas.openxmlformats.org/officeDocument/2006/relationships/hyperlink" Id="rId37" Target="https://WeberLab.github.io/Chisep_CSVO2_Manuscript/notebooks/Figures.ipynb.html#cell-fig-masks" TargetMode="External" /><Relationship Type="http://schemas.openxmlformats.org/officeDocument/2006/relationships/hyperlink" Id="rId42" Target="https://WeberLab.github.io/Chisep_CSVO2_Manuscript/notebooks/Figures.ipynb.html#cell-fig-sample" TargetMode="External" /><Relationship Type="http://schemas.openxmlformats.org/officeDocument/2006/relationships/hyperlink" Id="rId53" Target="https://WeberLab.github.io/Chisep_CSVO2_Manuscript/notebooks/gavin_thesis_markdown.qmd.html#cell-fig-methodplot" TargetMode="External" /><Relationship Type="http://schemas.openxmlformats.org/officeDocument/2006/relationships/hyperlink" Id="rId58" Target="https://WeberLab.github.io/Chisep_CSVO2_Manuscript/notebooks/gavin_thesis_markdown.qmd.html#cell-fig-regionplot" TargetMode="External" /><Relationship Type="http://schemas.openxmlformats.org/officeDocument/2006/relationships/hyperlink" Id="rId69" Target="https://doi.org/10.1001/jamapediatrics.2017.5323" TargetMode="External" /><Relationship Type="http://schemas.openxmlformats.org/officeDocument/2006/relationships/hyperlink" Id="rId74" Target="https://doi.org/10.1002/ana.410240208" TargetMode="External" /><Relationship Type="http://schemas.openxmlformats.org/officeDocument/2006/relationships/hyperlink" Id="rId113" Target="https://doi.org/10.1002/hbm.10062" TargetMode="External" /><Relationship Type="http://schemas.openxmlformats.org/officeDocument/2006/relationships/hyperlink" Id="rId107" Target="https://doi.org/10.1002/jmri.21995" TargetMode="External" /><Relationship Type="http://schemas.openxmlformats.org/officeDocument/2006/relationships/hyperlink" Id="rId131" Target="https://doi.org/10.1002/mrm.1910240219" TargetMode="External" /><Relationship Type="http://schemas.openxmlformats.org/officeDocument/2006/relationships/hyperlink" Id="rId129" Target="https://doi.org/10.1002/mrm.21283" TargetMode="External" /><Relationship Type="http://schemas.openxmlformats.org/officeDocument/2006/relationships/hyperlink" Id="rId84" Target="https://doi.org/10.1002/mrm.21627" TargetMode="External" /><Relationship Type="http://schemas.openxmlformats.org/officeDocument/2006/relationships/hyperlink" Id="rId86" Target="https://doi.org/10.1002/mrm.21994" TargetMode="External" /><Relationship Type="http://schemas.openxmlformats.org/officeDocument/2006/relationships/hyperlink" Id="rId105" Target="https://doi.org/10.1002/mrm.25197" TargetMode="External" /><Relationship Type="http://schemas.openxmlformats.org/officeDocument/2006/relationships/hyperlink" Id="rId127" Target="https://doi.org/10.1002/mrm.26978" TargetMode="External" /><Relationship Type="http://schemas.openxmlformats.org/officeDocument/2006/relationships/hyperlink" Id="rId96" Target="https://doi.org/10.1002/mrm.27788" TargetMode="External" /><Relationship Type="http://schemas.openxmlformats.org/officeDocument/2006/relationships/hyperlink" Id="rId119" Target="https://doi.org/10.1002/nbm.3056" TargetMode="External" /><Relationship Type="http://schemas.openxmlformats.org/officeDocument/2006/relationships/hyperlink" Id="rId90" Target="https://doi.org/10.1002/nbm.3067" TargetMode="External" /><Relationship Type="http://schemas.openxmlformats.org/officeDocument/2006/relationships/hyperlink" Id="rId139" Target="https://doi.org/10.1007/s00330-017-5160-x" TargetMode="External" /><Relationship Type="http://schemas.openxmlformats.org/officeDocument/2006/relationships/hyperlink" Id="rId78" Target="https://doi.org/10.1016/0005-2728(88)90069-2" TargetMode="External" /><Relationship Type="http://schemas.openxmlformats.org/officeDocument/2006/relationships/hyperlink" Id="rId109" Target="https://doi.org/10.1016/j.jneumeth.2016.03.001" TargetMode="External" /><Relationship Type="http://schemas.openxmlformats.org/officeDocument/2006/relationships/hyperlink" Id="rId137" Target="https://doi.org/10.1016/j.mri.2023.11.008" TargetMode="External" /><Relationship Type="http://schemas.openxmlformats.org/officeDocument/2006/relationships/hyperlink" Id="rId80" Target="https://doi.org/10.1016/j.neuroimage.2004.07.011" TargetMode="External" /><Relationship Type="http://schemas.openxmlformats.org/officeDocument/2006/relationships/hyperlink" Id="rId111" Target="https://doi.org/10.1016/j.neuroimage.2008.10.055" TargetMode="External" /><Relationship Type="http://schemas.openxmlformats.org/officeDocument/2006/relationships/hyperlink" Id="rId88" Target="https://doi.org/10.1016/j.neuroimage.2014.03.060" TargetMode="External" /><Relationship Type="http://schemas.openxmlformats.org/officeDocument/2006/relationships/hyperlink" Id="rId115" Target="https://doi.org/10.1016/j.neuroimage.2017.11.018" TargetMode="External" /><Relationship Type="http://schemas.openxmlformats.org/officeDocument/2006/relationships/hyperlink" Id="rId123" Target="https://doi.org/10.1016/j.neuroimage.2021.118371" TargetMode="External" /><Relationship Type="http://schemas.openxmlformats.org/officeDocument/2006/relationships/hyperlink" Id="rId135" Target="https://doi.org/10.1016/j.neuroimage.2023.120357" TargetMode="External" /><Relationship Type="http://schemas.openxmlformats.org/officeDocument/2006/relationships/hyperlink" Id="rId98" Target="https://doi.org/10.1038/jcbfm.2010.49" TargetMode="External" /><Relationship Type="http://schemas.openxmlformats.org/officeDocument/2006/relationships/hyperlink" Id="rId82" Target="https://doi.org/10.1038/jcbfm.2011.34" TargetMode="External" /><Relationship Type="http://schemas.openxmlformats.org/officeDocument/2006/relationships/hyperlink" Id="rId94" Target="https://doi.org/10.1038/jcbfm.2013.214" TargetMode="External" /><Relationship Type="http://schemas.openxmlformats.org/officeDocument/2006/relationships/hyperlink" Id="rId71" Target="https://doi.org/10.1038/s41390-021-01460-3" TargetMode="External" /><Relationship Type="http://schemas.openxmlformats.org/officeDocument/2006/relationships/hyperlink" Id="rId125" Target="https://doi.org/10.1101/2021.04.14.439812" TargetMode="External" /><Relationship Type="http://schemas.openxmlformats.org/officeDocument/2006/relationships/hyperlink" Id="rId102" Target="https://doi.org/10.1148/radiol.220941" TargetMode="External" /><Relationship Type="http://schemas.openxmlformats.org/officeDocument/2006/relationships/hyperlink" Id="rId76" Target="https://doi.org/10.1203/00006450-199301000-00011" TargetMode="External" /><Relationship Type="http://schemas.openxmlformats.org/officeDocument/2006/relationships/hyperlink" Id="rId67" Target="https://doi.org/10.1542/peds.2021-053509K" TargetMode="External" /><Relationship Type="http://schemas.openxmlformats.org/officeDocument/2006/relationships/hyperlink" Id="rId121" Target="https://doi.org/10.3174/ajnr.A6114" TargetMode="External" /><Relationship Type="http://schemas.openxmlformats.org/officeDocument/2006/relationships/hyperlink" Id="rId100" Target="https://doi.org/10.3174/ajnr.A7086" TargetMode="External" /><Relationship Type="http://schemas.openxmlformats.org/officeDocument/2006/relationships/hyperlink" Id="rId92" Target="https://doi.org/10.3389/fphys.2018.00233" TargetMode="External" /><Relationship Type="http://schemas.openxmlformats.org/officeDocument/2006/relationships/hyperlink" Id="rId117" Target="https://doi.org/10.5281/zenodo.8376979" TargetMode="External" /><Relationship Type="http://schemas.openxmlformats.org/officeDocument/2006/relationships/hyperlink" Id="rId64" Target="https://weberlab.github.io/Chisep_CSVO2_Manuscript"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2025-03-31T16:36:44Z</dcterms:created>
  <dcterms:modified xsi:type="dcterms:W3CDTF">2025-03-31T16:36:44Z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date">
    <vt:lpwstr>2025-03-31</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line-numbers">
    <vt:lpwstr>False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itlerunning">
    <vt:lpwstr>SVO2</vt:lpwstr>
  </property>
  <property fmtid="{D5CDD505-2E9C-101B-9397-08002B2CF9AE}" pid="28" name="toc-title">
    <vt:lpwstr>Table of contents</vt:lpwstr>
  </property>
  <property fmtid="{D5CDD505-2E9C-101B-9397-08002B2CF9AE}" pid="29" name="unroll-markdown-cells">
    <vt:lpwstr>True</vt:lpwstr>
  </property>
</Properties>
</file>