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2"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r>
        <w:br w:type="page"/>
      </w:r>
    </w:p>
    <w:bookmarkEnd w:id="22"/>
    <w:bookmarkStart w:id="23"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3"/>
    <w:bookmarkStart w:id="30"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4"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4"/>
    <w:bookmarkStart w:id="26"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5"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5"/>
        </w:tc>
      </w:tr>
    </w:tbl>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6"/>
    <w:bookmarkStart w:id="28"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27"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27"/>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28"/>
    <w:bookmarkStart w:id="29"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29"/>
    <w:bookmarkEnd w:id="30"/>
    <w:bookmarkStart w:id="3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1"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1"/>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32"/>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bookmarkEnd w:id="33"/>
    <w:bookmarkStart w:id="3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3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3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35"/>
    <w:bookmarkStart w:id="3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36"/>
    <w:bookmarkEnd w:id="37"/>
    <w:bookmarkStart w:id="40"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39"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38">
        <w:r>
          <w:rPr>
            <w:rStyle w:val="InternetLink"/>
          </w:rPr>
          <w:t xml:space="preserve">https://github.com/WeberLab/Chisep_CSVO2_Manuscript</w:t>
        </w:r>
      </w:hyperlink>
    </w:p>
    <w:p>
      <w:pPr>
        <w:pStyle w:val="TextBody"/>
      </w:pPr>
      <w:r>
        <w:t xml:space="preserve">Unfortunately, we can not upload our MRI images to an open repository as we did not obtain permission in our consent forms.</w:t>
      </w:r>
    </w:p>
    <w:bookmarkEnd w:id="39"/>
    <w:bookmarkEnd w:id="40"/>
    <w:bookmarkStart w:id="140" w:name="references"/>
    <w:p>
      <w:pPr>
        <w:pStyle w:val="Heading1"/>
      </w:pPr>
      <w:r>
        <w:t xml:space="preserve">References</w:t>
      </w:r>
    </w:p>
    <w:bookmarkStart w:id="114" w:name="refs"/>
    <w:bookmarkStart w:id="42" w:name="X49e15ea137bd1324737a91e5bc6ca8354ddc210"/>
    <w:p>
      <w:pPr>
        <w:pStyle w:val="Bibliography"/>
      </w:pPr>
      <w:r>
        <w:t xml:space="preserve">1.</w:t>
      </w:r>
      <w:r>
        <w:t xml:space="preserve"> </w:t>
      </w:r>
      <w:r>
        <w:t xml:space="preserve">	</w:t>
      </w:r>
      <w:r>
        <w:t xml:space="preserve">McKenzie, K., Lynch, E. &amp; Msall, M. E.</w:t>
      </w:r>
      <w:r>
        <w:t xml:space="preserve"> </w:t>
      </w:r>
      <w:hyperlink r:id="rId41">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42"/>
    <w:bookmarkStart w:id="44"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43">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44"/>
    <w:bookmarkStart w:id="46"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45">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46"/>
    <w:bookmarkStart w:id="47"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47"/>
    <w:bookmarkStart w:id="49"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48">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49"/>
    <w:bookmarkStart w:id="51" w:name="ref-skovEstimationCerebralVenous1993"/>
    <w:p>
      <w:pPr>
        <w:pStyle w:val="Bibliography"/>
      </w:pPr>
      <w:r>
        <w:t xml:space="preserve">6.</w:t>
      </w:r>
      <w:r>
        <w:t xml:space="preserve"> </w:t>
      </w:r>
      <w:r>
        <w:t xml:space="preserve">	</w:t>
      </w:r>
      <w:r>
        <w:t xml:space="preserve">Skov, L., Pryds, O., Greisen, G. &amp; Lou, H.</w:t>
      </w:r>
      <w:r>
        <w:t xml:space="preserve"> </w:t>
      </w:r>
      <w:hyperlink r:id="rId50">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51"/>
    <w:bookmarkStart w:id="53"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52">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53"/>
    <w:bookmarkStart w:id="55" w:name="ref-boasDiffuseOpticalImaging2004"/>
    <w:p>
      <w:pPr>
        <w:pStyle w:val="Bibliography"/>
      </w:pPr>
      <w:r>
        <w:t xml:space="preserve">8.</w:t>
      </w:r>
      <w:r>
        <w:t xml:space="preserve"> </w:t>
      </w:r>
      <w:r>
        <w:t xml:space="preserve">	</w:t>
      </w:r>
      <w:r>
        <w:t xml:space="preserve">Boas, D. A., Dale, A. M. &amp; Franceschini, M. A.</w:t>
      </w:r>
      <w:r>
        <w:t xml:space="preserve"> </w:t>
      </w:r>
      <w:hyperlink r:id="rId54">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55"/>
    <w:bookmarkStart w:id="57"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56">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57"/>
    <w:bookmarkStart w:id="59" w:name="Xdd87e6070759e3a175623de62eea38ae2bbb5d8"/>
    <w:p>
      <w:pPr>
        <w:pStyle w:val="Bibliography"/>
      </w:pPr>
      <w:r>
        <w:t xml:space="preserve">10.</w:t>
      </w:r>
      <w:r>
        <w:t xml:space="preserve"> </w:t>
      </w:r>
      <w:r>
        <w:t xml:space="preserve">	</w:t>
      </w:r>
      <w:r>
        <w:t xml:space="preserve">Lu, H. &amp; Ge, Y.</w:t>
      </w:r>
      <w:r>
        <w:t xml:space="preserve"> </w:t>
      </w:r>
      <w:hyperlink r:id="rId58">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59"/>
    <w:bookmarkStart w:id="61" w:name="Xac8b31d5d63c6848af93bee355903810fe6affa"/>
    <w:p>
      <w:pPr>
        <w:pStyle w:val="Bibliography"/>
      </w:pPr>
      <w:r>
        <w:t xml:space="preserve">11.</w:t>
      </w:r>
      <w:r>
        <w:t xml:space="preserve"> </w:t>
      </w:r>
      <w:r>
        <w:t xml:space="preserve">	</w:t>
      </w:r>
      <w:r>
        <w:t xml:space="preserve">Xu, F., Ge, Y. &amp; Lu, H.</w:t>
      </w:r>
      <w:r>
        <w:t xml:space="preserve"> </w:t>
      </w:r>
      <w:hyperlink r:id="rId60">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61"/>
    <w:bookmarkStart w:id="63"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62">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63"/>
    <w:bookmarkStart w:id="65"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64">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65"/>
    <w:bookmarkStart w:id="67" w:name="ref-qiHemodynamicMetabolicAssessment2018"/>
    <w:p>
      <w:pPr>
        <w:pStyle w:val="Bibliography"/>
      </w:pPr>
      <w:r>
        <w:t xml:space="preserve">14.</w:t>
      </w:r>
      <w:r>
        <w:t xml:space="preserve"> </w:t>
      </w:r>
      <w:r>
        <w:t xml:space="preserve">	</w:t>
      </w:r>
      <w:r>
        <w:t xml:space="preserve">Qi, Y., Liu, P., Lin, Z., Lu, H. &amp; Wang, X.</w:t>
      </w:r>
      <w:r>
        <w:t xml:space="preserve"> </w:t>
      </w:r>
      <w:hyperlink r:id="rId66">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67"/>
    <w:bookmarkStart w:id="69"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68">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69"/>
    <w:bookmarkStart w:id="71"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70">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71"/>
    <w:bookmarkStart w:id="73" w:name="ref-jainMRIEstimationGlobal2010"/>
    <w:p>
      <w:pPr>
        <w:pStyle w:val="Bibliography"/>
      </w:pPr>
      <w:r>
        <w:t xml:space="preserve">17.</w:t>
      </w:r>
      <w:r>
        <w:t xml:space="preserve"> </w:t>
      </w:r>
      <w:r>
        <w:t xml:space="preserve">	</w:t>
      </w:r>
      <w:r>
        <w:t xml:space="preserve">Jain, V., Langham, M. C. &amp; Wehrli, F. W.</w:t>
      </w:r>
      <w:r>
        <w:t xml:space="preserve"> </w:t>
      </w:r>
      <w:hyperlink r:id="rId72">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73"/>
    <w:bookmarkStart w:id="75"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74">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75"/>
    <w:bookmarkStart w:id="77"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76">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77"/>
    <w:bookmarkStart w:id="79"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78">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79"/>
    <w:bookmarkStart w:id="81" w:name="X3152621f57050143f9f0e1c651b557e4ffcbba4"/>
    <w:p>
      <w:pPr>
        <w:pStyle w:val="Bibliography"/>
      </w:pPr>
      <w:r>
        <w:t xml:space="preserve">21.</w:t>
      </w:r>
      <w:r>
        <w:t xml:space="preserve"> </w:t>
      </w:r>
      <w:r>
        <w:t xml:space="preserve">	</w:t>
      </w:r>
      <w:r>
        <w:t xml:space="preserve">Denk, C. &amp; Rauscher, A.</w:t>
      </w:r>
      <w:r>
        <w:t xml:space="preserve"> </w:t>
      </w:r>
      <w:hyperlink r:id="rId80">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81"/>
    <w:bookmarkStart w:id="83"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82">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83"/>
    <w:bookmarkStart w:id="85"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84">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85"/>
    <w:bookmarkStart w:id="87" w:name="ref-smithFastRobustAutomated2002"/>
    <w:p>
      <w:pPr>
        <w:pStyle w:val="Bibliography"/>
      </w:pPr>
      <w:r>
        <w:t xml:space="preserve">24.</w:t>
      </w:r>
      <w:r>
        <w:t xml:space="preserve"> </w:t>
      </w:r>
      <w:r>
        <w:t xml:space="preserve">	</w:t>
      </w:r>
      <w:r>
        <w:t xml:space="preserve">Smith, S. M.</w:t>
      </w:r>
      <w:r>
        <w:t xml:space="preserve"> </w:t>
      </w:r>
      <w:hyperlink r:id="rId86">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87"/>
    <w:bookmarkStart w:id="89" w:name="ref-kamesRapidTwostepDipole2018"/>
    <w:p>
      <w:pPr>
        <w:pStyle w:val="Bibliography"/>
      </w:pPr>
      <w:r>
        <w:t xml:space="preserve">25.</w:t>
      </w:r>
      <w:r>
        <w:t xml:space="preserve"> </w:t>
      </w:r>
      <w:r>
        <w:t xml:space="preserve">	</w:t>
      </w:r>
      <w:r>
        <w:t xml:space="preserve">Kames, C., Wiggermann, V. &amp; Rauscher, A.</w:t>
      </w:r>
      <w:r>
        <w:t xml:space="preserve"> </w:t>
      </w:r>
      <w:hyperlink r:id="rId88">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89"/>
    <w:bookmarkStart w:id="91"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90">
        <w:r>
          <w:rPr>
            <w:rStyle w:val="InternetLink"/>
          </w:rPr>
          <w:t xml:space="preserve">10.5281/zenodo.8376979</w:t>
        </w:r>
      </w:hyperlink>
      <w:r>
        <w:t xml:space="preserve">.</w:t>
      </w:r>
    </w:p>
    <w:bookmarkEnd w:id="91"/>
    <w:bookmarkStart w:id="93"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92">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93"/>
    <w:bookmarkStart w:id="95"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94">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95"/>
    <w:bookmarkStart w:id="97"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96">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97"/>
    <w:bookmarkStart w:id="99"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98">
        <w:r>
          <w:rPr>
            <w:rStyle w:val="InternetLink"/>
          </w:rPr>
          <w:t xml:space="preserve">10.1101/2021.04.14.439812</w:t>
        </w:r>
      </w:hyperlink>
      <w:r>
        <w:t xml:space="preserve">.</w:t>
      </w:r>
    </w:p>
    <w:bookmarkEnd w:id="99"/>
    <w:bookmarkStart w:id="101"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00">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01"/>
    <w:bookmarkStart w:id="103"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02">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03"/>
    <w:bookmarkStart w:id="105" w:name="X764ed5b17e735b1a929256c613b3c2a57b1b323"/>
    <w:p>
      <w:pPr>
        <w:pStyle w:val="Bibliography"/>
      </w:pPr>
      <w:r>
        <w:t xml:space="preserve">33.</w:t>
      </w:r>
      <w:r>
        <w:t xml:space="preserve"> </w:t>
      </w:r>
      <w:r>
        <w:t xml:space="preserve">	</w:t>
      </w:r>
      <w:r>
        <w:t xml:space="preserve">Weisskoff, R. M. &amp; Kiihne, S.</w:t>
      </w:r>
      <w:r>
        <w:t xml:space="preserve"> </w:t>
      </w:r>
      <w:hyperlink r:id="rId104">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05"/>
    <w:bookmarkStart w:id="106"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06"/>
    <w:bookmarkStart w:id="107"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07"/>
    <w:bookmarkStart w:id="109"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08">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09"/>
    <w:bookmarkStart w:id="111"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10">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11"/>
    <w:bookmarkStart w:id="113"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12">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13"/>
    <w:bookmarkEnd w:id="114"/>
    <w:bookmarkStart w:id="115"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15"/>
    <w:bookmarkStart w:id="116"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16"/>
    <w:bookmarkStart w:id="117"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17"/>
    <w:bookmarkStart w:id="118" w:name="competing-interests"/>
    <w:p>
      <w:pPr>
        <w:pStyle w:val="Heading2"/>
      </w:pPr>
      <w:r>
        <w:t xml:space="preserve">Competing interests</w:t>
      </w:r>
    </w:p>
    <w:p>
      <w:pPr>
        <w:pStyle w:val="FirstParagraph"/>
      </w:pPr>
      <w:r>
        <w:t xml:space="preserve">The authors have no competing interests to declare.</w:t>
      </w:r>
    </w:p>
    <w:bookmarkEnd w:id="118"/>
    <w:bookmarkStart w:id="139"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tbl>
      <w:tblPr>
        <w:tblStyle w:val="Table"/>
        <w:tblW w:type="pct" w:w="5000"/>
        <w:tblLayout w:type="fixed"/>
        <w:tblLook w:firstRow="0" w:lastRow="0" w:firstColumn="0" w:lastColumn="0" w:noHBand="0" w:noVBand="0" w:val="0000"/>
      </w:tblPr>
      <w:tblGrid>
        <w:gridCol w:w="7920"/>
      </w:tblGrid>
      <w:tr>
        <w:tc>
          <w:tcPr/>
          <w:bookmarkStart w:id="122" w:name="fig-graph"/>
          <w:p>
            <w:pPr>
              <w:pStyle w:val="Compact"/>
              <w:jc w:val="center"/>
            </w:pPr>
            <w:r>
              <w:drawing>
                <wp:inline>
                  <wp:extent cx="5943600" cy="3464396"/>
                  <wp:effectExtent b="0" l="0" r="0" t="0"/>
                  <wp:docPr descr="" title="" id="120" name="Picture"/>
                  <a:graphic>
                    <a:graphicData uri="http://schemas.openxmlformats.org/drawingml/2006/picture">
                      <pic:pic>
                        <pic:nvPicPr>
                          <pic:cNvPr descr="index_files/figure-docx/notebooks-Figures-fig-graph-output-1.png" id="121" name="Picture"/>
                          <pic:cNvPicPr>
                            <a:picLocks noChangeArrowheads="1" noChangeAspect="1"/>
                          </pic:cNvPicPr>
                        </pic:nvPicPr>
                        <pic:blipFill>
                          <a:blip r:embed="rId119"/>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asks"/>
          <w:p>
            <w:pPr>
              <w:pStyle w:val="Compact"/>
              <w:jc w:val="center"/>
            </w:pPr>
            <w:r>
              <w:drawing>
                <wp:inline>
                  <wp:extent cx="5943600" cy="2443933"/>
                  <wp:effectExtent b="0" l="0" r="0" t="0"/>
                  <wp:docPr descr="" title="" id="124" name="Picture"/>
                  <a:graphic>
                    <a:graphicData uri="http://schemas.openxmlformats.org/drawingml/2006/picture">
                      <pic:pic>
                        <pic:nvPicPr>
                          <pic:cNvPr descr="index_files/figure-docx/notebooks-Figures-fig-masks-output-1.png" id="125" name="Picture"/>
                          <pic:cNvPicPr>
                            <a:picLocks noChangeArrowheads="1" noChangeAspect="1"/>
                          </pic:cNvPicPr>
                        </pic:nvPicPr>
                        <pic:blipFill>
                          <a:blip r:embed="rId12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126"/>
        </w:tc>
      </w:tr>
    </w:tbl>
    <w:tbl>
      <w:tblPr>
        <w:tblStyle w:val="Table"/>
        <w:tblW w:type="pct" w:w="5000"/>
        <w:tblLayout w:type="fixed"/>
        <w:tblLook w:firstRow="0" w:lastRow="0" w:firstColumn="0" w:lastColumn="0" w:noHBand="0" w:noVBand="0" w:val="0000"/>
      </w:tblPr>
      <w:tblGrid>
        <w:gridCol w:w="7920"/>
      </w:tblGrid>
      <w:tr>
        <w:tc>
          <w:tcPr/>
          <w:bookmarkStart w:id="130" w:name="fig-sample"/>
          <w:p>
            <w:pPr>
              <w:pStyle w:val="Compact"/>
              <w:jc w:val="center"/>
            </w:pPr>
            <w:r>
              <w:drawing>
                <wp:inline>
                  <wp:extent cx="5943600" cy="6816631"/>
                  <wp:effectExtent b="0" l="0" r="0" t="0"/>
                  <wp:docPr descr="" title="" id="128" name="Picture"/>
                  <a:graphic>
                    <a:graphicData uri="http://schemas.openxmlformats.org/drawingml/2006/picture">
                      <pic:pic>
                        <pic:nvPicPr>
                          <pic:cNvPr descr="index_files/figure-docx/notebooks-Figures-fig-sample-output-1.png" id="129" name="Picture"/>
                          <pic:cNvPicPr>
                            <a:picLocks noChangeArrowheads="1" noChangeAspect="1"/>
                          </pic:cNvPicPr>
                        </pic:nvPicPr>
                        <pic:blipFill>
                          <a:blip r:embed="rId127"/>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130"/>
        </w:tc>
      </w:tr>
    </w:tbl>
    <w:tbl>
      <w:tblPr>
        <w:tblStyle w:val="Table"/>
        <w:tblW w:type="pct" w:w="5000"/>
        <w:tblLayout w:type="fixed"/>
        <w:tblLook w:firstRow="0" w:lastRow="0" w:firstColumn="0" w:lastColumn="0" w:noHBand="0" w:noVBand="0" w:val="0000"/>
      </w:tblPr>
      <w:tblGrid>
        <w:gridCol w:w="7920"/>
      </w:tblGrid>
      <w:tr>
        <w:tc>
          <w:tcPr/>
          <w:bookmarkStart w:id="134" w:name="fig-methodplot"/>
          <w:p>
            <w:pPr>
              <w:pStyle w:val="Compact"/>
              <w:jc w:val="center"/>
            </w:pPr>
            <w:r>
              <w:drawing>
                <wp:inline>
                  <wp:extent cx="5943600" cy="3714749"/>
                  <wp:effectExtent b="0" l="0" r="0" t="0"/>
                  <wp:docPr descr="" title="" id="132" name="Picture"/>
                  <a:graphic>
                    <a:graphicData uri="http://schemas.openxmlformats.org/drawingml/2006/picture">
                      <pic:pic>
                        <pic:nvPicPr>
                          <pic:cNvPr descr="index_files/figure-docx/notebooks-gavin_thesis_markdown-fig-methodplot-output-1.png" id="133" name="Picture"/>
                          <pic:cNvPicPr>
                            <a:picLocks noChangeArrowheads="1" noChangeAspect="1"/>
                          </pic:cNvPicPr>
                        </pic:nvPicPr>
                        <pic:blipFill>
                          <a:blip r:embed="rId131"/>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134"/>
        </w:tc>
      </w:tr>
    </w:tbl>
    <w:tbl>
      <w:tblPr>
        <w:tblStyle w:val="Table"/>
        <w:tblW w:type="pct" w:w="5000"/>
        <w:tblLayout w:type="fixed"/>
        <w:tblLook w:firstRow="0" w:lastRow="0" w:firstColumn="0" w:lastColumn="0" w:noHBand="0" w:noVBand="0" w:val="0000"/>
      </w:tblPr>
      <w:tblGrid>
        <w:gridCol w:w="7920"/>
      </w:tblGrid>
      <w:tr>
        <w:tc>
          <w:tcPr/>
          <w:bookmarkStart w:id="138" w:name="fig-regionplot"/>
          <w:p>
            <w:pPr>
              <w:pStyle w:val="Compact"/>
              <w:jc w:val="center"/>
            </w:pPr>
            <w:r>
              <w:drawing>
                <wp:inline>
                  <wp:extent cx="5943600" cy="3714749"/>
                  <wp:effectExtent b="0" l="0" r="0" t="0"/>
                  <wp:docPr descr="" title="" id="136" name="Picture"/>
                  <a:graphic>
                    <a:graphicData uri="http://schemas.openxmlformats.org/drawingml/2006/picture">
                      <pic:pic>
                        <pic:nvPicPr>
                          <pic:cNvPr descr="index_files/figure-docx/notebooks-gavin_thesis_markdown-fig-regionplot-output-1.png" id="137" name="Picture"/>
                          <pic:cNvPicPr>
                            <a:picLocks noChangeArrowheads="1" noChangeAspect="1"/>
                          </pic:cNvPicPr>
                        </pic:nvPicPr>
                        <pic:blipFill>
                          <a:blip r:embed="rId135"/>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138"/>
        </w:tc>
      </w:tr>
    </w:tbl>
    <w:bookmarkEnd w:id="139"/>
    <w:bookmarkEnd w:id="14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pediatrics.2017.5323" TargetMode="External" /><Relationship Type="http://schemas.openxmlformats.org/officeDocument/2006/relationships/hyperlink" Id="rId48" Target="https://doi.org/10.1002/ana.410240208" TargetMode="External" /><Relationship Type="http://schemas.openxmlformats.org/officeDocument/2006/relationships/hyperlink" Id="rId86" Target="https://doi.org/10.1002/hbm.10062" TargetMode="External" /><Relationship Type="http://schemas.openxmlformats.org/officeDocument/2006/relationships/hyperlink" Id="rId80" Target="https://doi.org/10.1002/jmri.21995" TargetMode="External" /><Relationship Type="http://schemas.openxmlformats.org/officeDocument/2006/relationships/hyperlink" Id="rId104" Target="https://doi.org/10.1002/mrm.1910240219" TargetMode="External" /><Relationship Type="http://schemas.openxmlformats.org/officeDocument/2006/relationships/hyperlink" Id="rId102" Target="https://doi.org/10.1002/mrm.21283" TargetMode="External" /><Relationship Type="http://schemas.openxmlformats.org/officeDocument/2006/relationships/hyperlink" Id="rId58" Target="https://doi.org/10.1002/mrm.21627" TargetMode="External" /><Relationship Type="http://schemas.openxmlformats.org/officeDocument/2006/relationships/hyperlink" Id="rId60" Target="https://doi.org/10.1002/mrm.21994" TargetMode="External" /><Relationship Type="http://schemas.openxmlformats.org/officeDocument/2006/relationships/hyperlink" Id="rId78" Target="https://doi.org/10.1002/mrm.25197" TargetMode="External" /><Relationship Type="http://schemas.openxmlformats.org/officeDocument/2006/relationships/hyperlink" Id="rId100" Target="https://doi.org/10.1002/mrm.26978" TargetMode="External" /><Relationship Type="http://schemas.openxmlformats.org/officeDocument/2006/relationships/hyperlink" Id="rId70" Target="https://doi.org/10.1002/mrm.27788" TargetMode="External" /><Relationship Type="http://schemas.openxmlformats.org/officeDocument/2006/relationships/hyperlink" Id="rId92" Target="https://doi.org/10.1002/nbm.3056" TargetMode="External" /><Relationship Type="http://schemas.openxmlformats.org/officeDocument/2006/relationships/hyperlink" Id="rId64" Target="https://doi.org/10.1002/nbm.3067" TargetMode="External" /><Relationship Type="http://schemas.openxmlformats.org/officeDocument/2006/relationships/hyperlink" Id="rId112" Target="https://doi.org/10.1007/s00330-017-5160-x" TargetMode="External" /><Relationship Type="http://schemas.openxmlformats.org/officeDocument/2006/relationships/hyperlink" Id="rId52" Target="https://doi.org/10.1016/0005-2728(88)90069-2" TargetMode="External" /><Relationship Type="http://schemas.openxmlformats.org/officeDocument/2006/relationships/hyperlink" Id="rId82" Target="https://doi.org/10.1016/j.jneumeth.2016.03.001" TargetMode="External" /><Relationship Type="http://schemas.openxmlformats.org/officeDocument/2006/relationships/hyperlink" Id="rId110" Target="https://doi.org/10.1016/j.mri.2023.11.008" TargetMode="External" /><Relationship Type="http://schemas.openxmlformats.org/officeDocument/2006/relationships/hyperlink" Id="rId54" Target="https://doi.org/10.1016/j.neuroimage.2004.07.011" TargetMode="External" /><Relationship Type="http://schemas.openxmlformats.org/officeDocument/2006/relationships/hyperlink" Id="rId84" Target="https://doi.org/10.1016/j.neuroimage.2008.10.055" TargetMode="External" /><Relationship Type="http://schemas.openxmlformats.org/officeDocument/2006/relationships/hyperlink" Id="rId62" Target="https://doi.org/10.1016/j.neuroimage.2014.03.060" TargetMode="External" /><Relationship Type="http://schemas.openxmlformats.org/officeDocument/2006/relationships/hyperlink" Id="rId88" Target="https://doi.org/10.1016/j.neuroimage.2017.11.018" TargetMode="External" /><Relationship Type="http://schemas.openxmlformats.org/officeDocument/2006/relationships/hyperlink" Id="rId96" Target="https://doi.org/10.1016/j.neuroimage.2021.118371" TargetMode="External" /><Relationship Type="http://schemas.openxmlformats.org/officeDocument/2006/relationships/hyperlink" Id="rId108" Target="https://doi.org/10.1016/j.neuroimage.2023.120357" TargetMode="External" /><Relationship Type="http://schemas.openxmlformats.org/officeDocument/2006/relationships/hyperlink" Id="rId72" Target="https://doi.org/10.1038/jcbfm.2010.49" TargetMode="External" /><Relationship Type="http://schemas.openxmlformats.org/officeDocument/2006/relationships/hyperlink" Id="rId56" Target="https://doi.org/10.1038/jcbfm.2011.34" TargetMode="External" /><Relationship Type="http://schemas.openxmlformats.org/officeDocument/2006/relationships/hyperlink" Id="rId68" Target="https://doi.org/10.1038/jcbfm.2013.214" TargetMode="External" /><Relationship Type="http://schemas.openxmlformats.org/officeDocument/2006/relationships/hyperlink" Id="rId45" Target="https://doi.org/10.1038/s41390-021-01460-3" TargetMode="External" /><Relationship Type="http://schemas.openxmlformats.org/officeDocument/2006/relationships/hyperlink" Id="rId98" Target="https://doi.org/10.1101/2021.04.14.439812" TargetMode="External" /><Relationship Type="http://schemas.openxmlformats.org/officeDocument/2006/relationships/hyperlink" Id="rId76" Target="https://doi.org/10.1148/radiol.220941" TargetMode="External" /><Relationship Type="http://schemas.openxmlformats.org/officeDocument/2006/relationships/hyperlink" Id="rId50" Target="https://doi.org/10.1203/00006450-199301000-00011" TargetMode="External" /><Relationship Type="http://schemas.openxmlformats.org/officeDocument/2006/relationships/hyperlink" Id="rId41" Target="https://doi.org/10.1542/peds.2021-053509K" TargetMode="External" /><Relationship Type="http://schemas.openxmlformats.org/officeDocument/2006/relationships/hyperlink" Id="rId94" Target="https://doi.org/10.3174/ajnr.A6114" TargetMode="External" /><Relationship Type="http://schemas.openxmlformats.org/officeDocument/2006/relationships/hyperlink" Id="rId74" Target="https://doi.org/10.3174/ajnr.A7086" TargetMode="External" /><Relationship Type="http://schemas.openxmlformats.org/officeDocument/2006/relationships/hyperlink" Id="rId66" Target="https://doi.org/10.3389/fphys.2018.00233" TargetMode="External" /><Relationship Type="http://schemas.openxmlformats.org/officeDocument/2006/relationships/hyperlink" Id="rId90" Target="https://doi.org/10.5281/zenodo.8376979" TargetMode="External" /><Relationship Type="http://schemas.openxmlformats.org/officeDocument/2006/relationships/hyperlink" Id="rId38" Target="https://github.com/WeberLab/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2025-02-19T23:02:07Z</dcterms:created>
  <dcterms:modified xsi:type="dcterms:W3CDTF">2025-02-19T23:02:07Z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