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Override PartName="/word/media/rId45.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Application of Magnetic Susceptibility Separation for Measuring Cerebral Oxygenation in Preterm Neonates</w:t>
      </w:r>
    </w:p>
    <w:p>
      <w:pPr>
        <w:pStyle w:val="Author"/>
      </w:pPr>
      <w:r>
        <w:t xml:space="preserve">Thomas Gavin Carmichael</w:t>
      </w:r>
      <w:r>
        <w:rPr>
          <w:vertAlign w:val="superscript"/>
        </w:rPr>
        <w:t xml:space="preserve">1,2</w:t>
      </w:r>
      <w:r>
        <w:t xml:space="preserve">, Alexander Rauscher</w:t>
      </w:r>
      <w:r>
        <w:rPr>
          <w:vertAlign w:val="superscript"/>
        </w:rPr>
        <w:t xml:space="preserve">3</w:t>
      </w:r>
      <w:r>
        <w:t xml:space="preserve">, Ruth E Grunau</w:t>
      </w:r>
      <w:r>
        <w:rPr>
          <w:vertAlign w:val="superscript"/>
        </w:rPr>
        <w:t xml:space="preserve">2,3</w:t>
      </w:r>
      <w:r>
        <w:t xml:space="preserve">, and Alexander Mark Weber</w:t>
      </w:r>
      <w:r>
        <w:rPr>
          <w:vertAlign w:val="superscript"/>
        </w:rPr>
        <w:t xml:space="preserve">2,3,✉</w:t>
      </w:r>
    </w:p>
    <w:p>
      <w:pPr>
        <w:pStyle w:val="Date"/>
      </w:pPr>
      <w:r>
        <w:t xml:space="preserve">Invalid Date</w:t>
      </w:r>
    </w:p>
    <w:p>
      <w:pPr>
        <w:pStyle w:val="AbstractTitle"/>
      </w:pPr>
      <w:r>
        <w:t xml:space="preserve">Abstract</w:t>
      </w:r>
    </w:p>
    <w:p>
      <w:pPr>
        <w:pStyle w:val="Abstract"/>
      </w:pPr>
      <w:r>
        <w:rPr>
          <w:b/>
          <w:bCs/>
        </w:rPr>
        <w:t xml:space="preserve">Background</w:t>
      </w:r>
      <w:r>
        <w:t xml:space="preserve">: Quantitative susceptibility mapping (QSM), an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w:t>
      </w:r>
    </w:p>
    <w:p>
      <w:pPr>
        <w:pStyle w:val="Abstract"/>
      </w:pPr>
      <w:r>
        <w:rPr>
          <w:b/>
          <w:bCs/>
        </w:rPr>
        <w:t xml:space="preserve">Methods</w:t>
      </w:r>
      <w:r>
        <w:t xml:space="preserve">: 19 preterm neonates were scanned on at term equivalent age on a 3T MRI using a multi-echo susceptibility-weighted imaging sequence. Susceptibility values were calculated from QSM images to determine oxygen saturation (SvO</w:t>
      </w:r>
      <w:r>
        <w:rPr>
          <w:vertAlign w:val="subscript"/>
        </w:rPr>
        <w:t xml:space="preserve">2</w:t>
      </w:r>
      <w:r>
        <w:t xml:space="preserve">) in the superior sagittal sinus (SSS) and central cerebral veins (CCV). The paramagnetic components of QSM images were isolated, and SvO</w:t>
      </w:r>
      <w:r>
        <w:rPr>
          <w:vertAlign w:val="subscript"/>
        </w:rPr>
        <w:t xml:space="preserve">2</w:t>
      </w:r>
      <w:r>
        <w:t xml:space="preserve"> </w:t>
      </w:r>
      <w:r>
        <w:t xml:space="preserve">values were recalculated.</w:t>
      </w:r>
    </w:p>
    <w:p>
      <w:pPr>
        <w:pStyle w:val="Abstract"/>
      </w:pPr>
      <w:r>
        <w:rPr>
          <w:b/>
          <w:bCs/>
        </w:rPr>
        <w:t xml:space="preserve">Results</w:t>
      </w:r>
      <w:r>
        <w:t xml:space="preserve">: The mean SvO</w:t>
      </w:r>
      <w:r>
        <w:rPr>
          <w:vertAlign w:val="subscript"/>
        </w:rPr>
        <w:t xml:space="preserve">2</w:t>
      </w:r>
      <w:r>
        <w:t xml:space="preserve"> </w:t>
      </w:r>
      <w:r>
        <w:t xml:space="preserve">values from QSM were 72.4% (SD, 3.4%) for the SSS and and 68.7% (SD, 3.5%) for the CCV. SvO</w:t>
      </w:r>
      <w:r>
        <w:rPr>
          <w:vertAlign w:val="subscript"/>
        </w:rPr>
        <w:t xml:space="preserve">2</w:t>
      </w:r>
      <w:r>
        <w:t xml:space="preserve"> </w:t>
      </w:r>
      <w:r>
        <w:t xml:space="preserve">values for paramagnetic components were 58.1% (SD, 7.3%) for the SSS and 57.7% (SD, 7.0%) for the CCV.</w:t>
      </w:r>
    </w:p>
    <w:p>
      <w:pPr>
        <w:pStyle w:val="Abstract"/>
      </w:pPr>
      <w:r>
        <w:rPr>
          <w:b/>
          <w:bCs/>
        </w:rPr>
        <w:t xml:space="preserve">Conclusion</w:t>
      </w:r>
      <w:r>
        <w:t xml:space="preserve">: While paramagnetic component decomposition yielded more accurate SSS values, it increased variability. No significant oxygenation differences were found between the SSS and CCV, contrasting with prior studies.</w:t>
      </w:r>
    </w:p>
    <w:p>
      <w:pPr>
        <w:pStyle w:val="FirstParagraph"/>
      </w:pPr>
      <w:r>
        <w:rPr>
          <w:vertAlign w:val="superscript"/>
        </w:rPr>
        <w:t xml:space="preserve">1</w:t>
      </w:r>
      <w:r>
        <w:t xml:space="preserve"> </w:t>
      </w:r>
      <w:r>
        <w:t xml:space="preserve">Integrated Sciences, The University of British Columbia, Vancouver, BC, Canada</w:t>
      </w:r>
      <w:r>
        <w:br/>
      </w:r>
      <w:r>
        <w:rPr>
          <w:vertAlign w:val="superscript"/>
        </w:rPr>
        <w:t xml:space="preserve">2</w:t>
      </w:r>
      <w:r>
        <w:t xml:space="preserve"> </w:t>
      </w:r>
      <w:r>
        <w:t xml:space="preserve">BC Children’s Hospital Research Institute, The University of British Columbia, Vancouver, BC, Canada</w:t>
      </w:r>
      <w:r>
        <w:br/>
      </w:r>
      <w:r>
        <w:rPr>
          <w:vertAlign w:val="superscript"/>
        </w:rPr>
        <w:t xml:space="preserve">3</w:t>
      </w:r>
      <w:r>
        <w:t xml:space="preserve"> </w:t>
      </w:r>
      <w:r>
        <w:t xml:space="preserve">Pediatrics, The University of British Columbia, Vancouver, BC, Canada</w:t>
      </w:r>
    </w:p>
    <w:p>
      <w:pPr>
        <w:pStyle w:val="TextBody"/>
      </w:pPr>
      <w:r>
        <w:rPr>
          <w:vertAlign w:val="superscript"/>
        </w:rPr>
        <w:t xml:space="preserve">✉</w:t>
      </w:r>
      <w:r>
        <w:t xml:space="preserve"> </w:t>
      </w:r>
      <w:r>
        <w:t xml:space="preserve">Correspondence:</w:t>
      </w:r>
      <w:r>
        <w:t xml:space="preserve"> </w:t>
      </w:r>
      <w:hyperlink r:id="rId20">
        <w:r>
          <w:rPr>
            <w:rStyle w:val="InternetLink"/>
          </w:rPr>
          <w:t xml:space="preserve">Alexander Mark Weber &lt;aweber@bcchr.ca&gt;</w:t>
        </w:r>
      </w:hyperlink>
    </w:p>
    <w:p>
      <w:pPr>
        <w:pStyle w:val="TextBody"/>
      </w:pPr>
      <w:r>
        <w:rPr>
          <w:b/>
          <w:bCs/>
        </w:rPr>
        <w:t xml:space="preserve">Category of Study:</w:t>
      </w:r>
      <w:r>
        <w:t xml:space="preserve"> </w:t>
      </w:r>
      <w:r>
        <w:t xml:space="preserve">basic science</w:t>
      </w:r>
    </w:p>
    <w:bookmarkStart w:id="21" w:name="impact-statement"/>
    <w:p>
      <w:pPr>
        <w:pStyle w:val="Heading2"/>
      </w:pPr>
      <w:r>
        <w:t xml:space="preserve">Impact Statement</w:t>
      </w:r>
    </w:p>
    <w:p>
      <w:pPr>
        <w:pStyle w:val="Compact"/>
        <w:numPr>
          <w:ilvl w:val="0"/>
          <w:numId w:val="1001"/>
        </w:numPr>
      </w:pPr>
      <w:r>
        <w:t xml:space="preserve">This study evaluated the accuracy of using QSM and its paramagnetic components to measure cerebral oxygenation in neonates.</w:t>
      </w:r>
    </w:p>
    <w:p>
      <w:pPr>
        <w:pStyle w:val="Compact"/>
        <w:numPr>
          <w:ilvl w:val="0"/>
          <w:numId w:val="1001"/>
        </w:numPr>
      </w:pPr>
      <w:r>
        <w:t xml:space="preserve">By comparing susceptibility-derived oxygen saturation (SvO</w:t>
      </w:r>
      <w:r>
        <w:rPr>
          <w:vertAlign w:val="subscript"/>
        </w:rPr>
        <w:t xml:space="preserve">2</w:t>
      </w:r>
      <w:r>
        <w:t xml:space="preserve">) in the superior sagittal sinus (SSS) and central cerebral veins (CCV), it adds to the field of neonatal cerebral oxygenation measurement.</w:t>
      </w:r>
    </w:p>
    <w:p>
      <w:pPr>
        <w:pStyle w:val="Compact"/>
        <w:numPr>
          <w:ilvl w:val="0"/>
          <w:numId w:val="1001"/>
        </w:numPr>
      </w:pPr>
      <w:r>
        <w:t xml:space="preserve">Decomposing QSM into paramagnetic components shows potential for improving SvO</w:t>
      </w:r>
      <w:r>
        <w:rPr>
          <w:vertAlign w:val="subscript"/>
        </w:rPr>
        <w:t xml:space="preserve">2</w:t>
      </w:r>
      <w:r>
        <w:t xml:space="preserve"> </w:t>
      </w:r>
      <w:r>
        <w:t xml:space="preserve">accuracy, particularly in the SSS, though variability remains a challenge.</w:t>
      </w:r>
    </w:p>
    <w:p>
      <w:pPr>
        <w:pStyle w:val="Compact"/>
        <w:numPr>
          <w:ilvl w:val="0"/>
          <w:numId w:val="1001"/>
        </w:numPr>
      </w:pPr>
      <w:r>
        <w:t xml:space="preserve">The results suggest no significant oxygenation difference between the SSS and CCV, contrasting with previous findings, indicating a need for further research on neonatal venous oxygenation.</w:t>
      </w:r>
    </w:p>
    <w:bookmarkEnd w:id="21"/>
    <w:bookmarkStart w:id="22" w:name="acknowledgments"/>
    <w:p>
      <w:pPr>
        <w:pStyle w:val="Heading2"/>
      </w:pPr>
      <w:r>
        <w:t xml:space="preserve">Acknowledgments</w:t>
      </w:r>
    </w:p>
    <w:p>
      <w:pPr>
        <w:pStyle w:val="FirstParagraph"/>
      </w:pPr>
      <w:r>
        <w:t xml:space="preserve">We wish to acknowledge the work of and thank Victoria Tapics (Research Nurse); Vicki Goh (Research Nurse); Chacko Anil (Neonatologist); and Michael A. Sargent (Radiologist).</w:t>
      </w:r>
    </w:p>
    <w:bookmarkEnd w:id="22"/>
    <w:bookmarkStart w:id="23" w:name="funding"/>
    <w:p>
      <w:pPr>
        <w:pStyle w:val="Heading2"/>
      </w:pPr>
      <w:r>
        <w:t xml:space="preserve">Funding</w:t>
      </w:r>
    </w:p>
    <w:p>
      <w:pPr>
        <w:pStyle w:val="FirstParagraph"/>
      </w:pPr>
      <w:r>
        <w:t xml:space="preserve">Authors AMW and REG were co-primary applicants for a BC Children’s Hospital Research Institute - Brain, Behaviour and Development Catalyst Grant ($20,000). AMW was supported by an establishment award from BCCHRI. Scanning was partly funded through a special award to AMW from BCCHRI .</w:t>
      </w:r>
    </w:p>
    <w:bookmarkEnd w:id="23"/>
    <w:bookmarkStart w:id="24" w:name="author-contributions"/>
    <w:p>
      <w:pPr>
        <w:pStyle w:val="Heading2"/>
      </w:pPr>
      <w:r>
        <w:t xml:space="preserve">Author contributions</w:t>
      </w:r>
    </w:p>
    <w:p>
      <w:pPr>
        <w:pStyle w:val="FirstParagraph"/>
      </w:pPr>
      <w:r>
        <w:t xml:space="preserve">TGC wrote the original draft, performed the formal analysis, and contributed to methodology, validation, and visualization. AR helped with writing, reviewing &amp; editing. REG helped with writing, reviewing &amp; editing, and with initial funding acquisition. AMW was involved in project administration, supervision, validation, visualization, resources, methodology, formal analysis, funding acquisition, writing, reviewing &amp; editing, conceptualization, data curation, and investigation.</w:t>
      </w:r>
    </w:p>
    <w:bookmarkEnd w:id="24"/>
    <w:bookmarkStart w:id="25" w:name="competing-interests"/>
    <w:p>
      <w:pPr>
        <w:pStyle w:val="Heading2"/>
      </w:pPr>
      <w:r>
        <w:t xml:space="preserve">Competing interests</w:t>
      </w:r>
    </w:p>
    <w:p>
      <w:pPr>
        <w:pStyle w:val="FirstParagraph"/>
      </w:pPr>
      <w:r>
        <w:t xml:space="preserve">The authors have no competing interests to declare.</w:t>
      </w:r>
    </w:p>
    <w:bookmarkEnd w:id="25"/>
    <w:bookmarkStart w:id="26" w:name="consent-statement"/>
    <w:p>
      <w:pPr>
        <w:pStyle w:val="Heading2"/>
      </w:pPr>
      <w:r>
        <w:t xml:space="preserve">Consent statement</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p>
      <w:r>
        <w:br w:type="page"/>
      </w:r>
    </w:p>
    <w:bookmarkEnd w:id="26"/>
    <w:bookmarkStart w:id="27" w:name="sec-intro"/>
    <w:p>
      <w:pPr>
        <w:pStyle w:val="Heading1"/>
      </w:pPr>
      <w:r>
        <w:t xml:space="preserve">Introduction</w:t>
      </w:r>
    </w:p>
    <w:p>
      <w:pPr>
        <w:pStyle w:val="FirstParagraph"/>
      </w:pPr>
      <w:r>
        <w:t xml:space="preserve">With advances in neonatal medical care, more infants born preterm are surviving into childhood</w:t>
      </w:r>
      <w:r>
        <w:t xml:space="preserve"> </w:t>
      </w:r>
      <w:r>
        <w:t xml:space="preserve">(1)</w:t>
      </w:r>
      <w:r>
        <w:t xml:space="preserve">. These children are at high risk of acquiring adverse neurodevelopmental outcomes when compared to their term-born peers</w:t>
      </w:r>
      <w:r>
        <w:t xml:space="preserve"> </w:t>
      </w:r>
      <w:r>
        <w:t xml:space="preserve">(2)</w:t>
      </w:r>
      <w:r>
        <w:t xml:space="preserve">. Irregularities in early cerebral oxygen levels have been identified as a potential source of such delays, where too little oxygen provided during NICU care can result in white matter injury, while too much oxygen can result in reduced cortical connectivity</w:t>
      </w:r>
      <w:r>
        <w:t xml:space="preserve"> </w:t>
      </w:r>
      <w:r>
        <w:t xml:space="preserve">(3)</w:t>
      </w:r>
      <w:r>
        <w:t xml:space="preserve">. As such, being able to precisely, accurately, and non-invasively measure cerebral oxygenation is necessary for understanding and improving neurodevelopmental outcomes in preterm neonates.</w:t>
      </w:r>
    </w:p>
    <w:p>
      <w:pPr>
        <w:pStyle w:val="TextBody"/>
      </w:pPr>
      <w:r>
        <w:t xml:space="preserve">Unfortunately, there exist many challenges in measuring cerebral oxygen metabolism in neonates. Cerebral metabolic rate of oxygen (CMRO</w:t>
      </w:r>
      <w:r>
        <w:rPr>
          <w:vertAlign w:val="subscript"/>
        </w:rPr>
        <w:t xml:space="preserve">2</w:t>
      </w:r>
      <w:r>
        <w:t xml:space="preserve">) using oxygen-15 positron emission tomography (PET)</w:t>
      </w:r>
      <w:r>
        <w:t xml:space="preserve"> </w:t>
      </w:r>
      <w:r>
        <w:t xml:space="preserve">(4)</w:t>
      </w:r>
      <w:r>
        <w:t xml:space="preserve">, has been measured in infants</w:t>
      </w:r>
      <w:r>
        <w:t xml:space="preserve"> </w:t>
      </w:r>
      <w:r>
        <w:t xml:space="preserve">(5)</w:t>
      </w:r>
      <w:r>
        <w:t xml:space="preserve">, and is considered the gold standard. However, this method is invasive, requiring ionizing radiation, which limits its suitability for neonates. A less invasive option for evaluating brain hemodynamics is near-infrared spectroscopy (NIRS), which uses the attenuation of near-infrared light (~650–950 nm) as it passes through biological tissue</w:t>
      </w:r>
      <w:r>
        <w:t xml:space="preserve"> </w:t>
      </w:r>
      <w:r>
        <w:t xml:space="preserve">(6)</w:t>
      </w:r>
      <w:r>
        <w:t xml:space="preserve">. Deoxygenated and oxygenated hemoglobin absorb this light differently, allowing NIRS to estimate changes in deoxyhemoglobin and oxyhemoglobin</w:t>
      </w:r>
      <w:r>
        <w:t xml:space="preserve"> </w:t>
      </w:r>
      <w:r>
        <w:t xml:space="preserve">(7)</w:t>
      </w:r>
      <w:r>
        <w:t xml:space="preserve"> </w:t>
      </w:r>
      <w:r>
        <w:t xml:space="preserve">and thus provide an estimate of cerebral venous oxygen saturation (SvO</w:t>
      </w:r>
      <w:r>
        <w:rPr>
          <w:vertAlign w:val="subscript"/>
        </w:rPr>
        <w:t xml:space="preserve">2</w:t>
      </w:r>
      <w:r>
        <w:t xml:space="preserve">). While NIRS offers the advantage of being non-invasive and continuous bedside monitoring, it is limited to regional assessments where the probe is placed and is sensitive only to superficial brain tissue due to the shallow penetration depth of near-infrared light</w:t>
      </w:r>
      <w:r>
        <w:t xml:space="preserve"> </w:t>
      </w:r>
      <w:r>
        <w:t xml:space="preserve">(8)</w:t>
      </w:r>
      <w:r>
        <w:t xml:space="preserve">.</w:t>
      </w:r>
    </w:p>
    <w:p>
      <w:pPr>
        <w:pStyle w:val="TextBody"/>
      </w:pPr>
      <w:r>
        <w:t xml:space="preserve">For the preceding reasons, non-invasive MRI-based techniques are actively being explored to assess regional and whole-brain blood oxygenation. MRI based methods have been developed for adults</w:t>
      </w:r>
      <w:r>
        <w:t xml:space="preserve"> </w:t>
      </w:r>
      <w:r>
        <w:t xml:space="preserve">(9–11)</w:t>
      </w:r>
      <w:r>
        <w:t xml:space="preserve"> </w:t>
      </w:r>
      <w:r>
        <w:t xml:space="preserve">and are only beginning to be explored in neonates</w:t>
      </w:r>
      <w:r>
        <w:t xml:space="preserve"> </w:t>
      </w:r>
      <w:r>
        <w:t xml:space="preserve">(12–16)</w:t>
      </w:r>
      <w:r>
        <w:t xml:space="preserve">. These methods almost all rely on T2 relaxation to estimate CSvO</w:t>
      </w:r>
      <w:r>
        <w:rPr>
          <w:vertAlign w:val="subscript"/>
        </w:rPr>
        <w:t xml:space="preserve">2</w:t>
      </w:r>
      <w:r>
        <w:t xml:space="preserve"> </w:t>
      </w:r>
      <w:r>
        <w:t xml:space="preserve">(12–14,16)</w:t>
      </w:r>
      <w:r>
        <w:t xml:space="preserve"> </w:t>
      </w:r>
      <w:r>
        <w:t xml:space="preserve">with the exception of</w:t>
      </w:r>
      <w:r>
        <w:t xml:space="preserve"> </w:t>
      </w:r>
      <w:r>
        <w:t xml:space="preserve">(15)</w:t>
      </w:r>
      <w:r>
        <w:t xml:space="preserve"> </w:t>
      </w:r>
      <w:r>
        <w:t xml:space="preserve">which used susceptometry</w:t>
      </w:r>
      <w:r>
        <w:t xml:space="preserve"> </w:t>
      </w:r>
      <w:r>
        <w:t xml:space="preserve">(17)</w:t>
      </w:r>
      <w:r>
        <w:t xml:space="preserve">. One limitation of these T2 relaxation methods, however, is the fact that SvO</w:t>
      </w:r>
      <w:r>
        <w:rPr>
          <w:vertAlign w:val="subscript"/>
        </w:rPr>
        <w:t xml:space="preserve">2</w:t>
      </w:r>
      <w:r>
        <w:t xml:space="preserve"> </w:t>
      </w:r>
      <w:r>
        <w:t xml:space="preserve">is often measured using a single imaging slice, averaging values across several voxels, and only in the superior sagittal sinus (SSS). In the case of</w:t>
      </w:r>
      <w:r>
        <w:t xml:space="preserve"> </w:t>
      </w:r>
      <w:r>
        <w:t xml:space="preserve">(15)</w:t>
      </w:r>
      <w:r>
        <w:t xml:space="preserve">, they obtained regional and whole-brain data, but with thick slices (5mm), and still only estimated CSvO</w:t>
      </w:r>
      <w:r>
        <w:rPr>
          <w:vertAlign w:val="subscript"/>
        </w:rPr>
        <w:t xml:space="preserve">2</w:t>
      </w:r>
      <w:r>
        <w:t xml:space="preserve"> </w:t>
      </w:r>
      <w:r>
        <w:t xml:space="preserve">in the SSS. An alternative MRI method using quantitative susceptibility mapping (QSM) has been proposed, which can measure SvO</w:t>
      </w:r>
      <w:r>
        <w:rPr>
          <w:vertAlign w:val="subscript"/>
        </w:rPr>
        <w:t xml:space="preserve">2</w:t>
      </w:r>
      <w:r>
        <w:t xml:space="preserve"> </w:t>
      </w:r>
      <w:r>
        <w:t xml:space="preserve">regionally and across the whole-brain at high resolution (&lt; 1mm</w:t>
      </w:r>
      <w:r>
        <w:rPr>
          <w:vertAlign w:val="superscript"/>
        </w:rPr>
        <w:t xml:space="preserve">3</w:t>
      </w:r>
      <w:r>
        <w:t xml:space="preserve"> </w:t>
      </w:r>
      <w:r>
        <w:t xml:space="preserve">per voxel)</w:t>
      </w:r>
      <w:r>
        <w:t xml:space="preserve"> </w:t>
      </w:r>
      <w:r>
        <w:t xml:space="preserve">(18)</w:t>
      </w:r>
      <w:r>
        <w:t xml:space="preserve">. However, this method left room for improvement, as it removed the SSS (averaging CSvO</w:t>
      </w:r>
      <w:r>
        <w:rPr>
          <w:vertAlign w:val="subscript"/>
        </w:rPr>
        <w:t xml:space="preserve">2</w:t>
      </w:r>
      <w:r>
        <w:t xml:space="preserve"> </w:t>
      </w:r>
      <w:r>
        <w:t xml:space="preserve">across the internal veins), and required an arbitrary threshold value of 0.15 ppm in order to acquire realistic results</w:t>
      </w:r>
      <w:r>
        <w:t xml:space="preserve"> </w:t>
      </w:r>
      <w:r>
        <w:t xml:space="preserve">(18)</w:t>
      </w:r>
      <w:r>
        <w:t xml:space="preserve">.</w:t>
      </w:r>
    </w:p>
    <w:p>
      <w:pPr>
        <w:pStyle w:val="TextBody"/>
      </w:pPr>
      <w:r>
        <w:t xml:space="preserve">In the present study, we set out to determine whether decomposing the QSM image into its paramagnetic and diamagnetic components would allow for a more accurate assessment of SvO</w:t>
      </w:r>
      <w:r>
        <w:rPr>
          <w:vertAlign w:val="subscript"/>
        </w:rPr>
        <w:t xml:space="preserve">2</w:t>
      </w:r>
      <w:r>
        <w:t xml:space="preserve"> </w:t>
      </w:r>
      <w:r>
        <w:t xml:space="preserve">in the central cerebral veins (CCV) of a cohort of preterm neonates. We also had a secondary aim of preserving the SSS vessel in our QSM images and using this data to determine whether a difference in oxygenation existed between the SSS and the CCV.</w:t>
      </w:r>
    </w:p>
    <w:bookmarkEnd w:id="27"/>
    <w:bookmarkStart w:id="42" w:name="sec-data-methods"/>
    <w:p>
      <w:pPr>
        <w:pStyle w:val="Heading1"/>
      </w:pPr>
      <w:r>
        <w:t xml:space="preserve">Methods</w:t>
      </w:r>
    </w:p>
    <w:p>
      <w:pPr>
        <w:pStyle w:val="FirstParagraph"/>
      </w:pPr>
      <w:r>
        <w:t xml:space="preserve">The study was approved by the Clinical Research Ethics Board at the University of British Columbia and Children’s &amp; Women’s Hospital (H21-00655) and written informed consent was obtained from the parent/guardian for each infant.</w:t>
      </w:r>
    </w:p>
    <w:bookmarkStart w:id="28" w:name="study-population"/>
    <w:p>
      <w:pPr>
        <w:pStyle w:val="Heading2"/>
      </w:pPr>
      <w:r>
        <w:t xml:space="preserve">Study population</w:t>
      </w:r>
    </w:p>
    <w:p>
      <w:pPr>
        <w:pStyle w:val="FirstParagraph"/>
      </w:pPr>
      <w:r>
        <w:t xml:space="preserve">Participant data comes from a previous study ***</w:t>
      </w:r>
      <w:r>
        <w:t xml:space="preserve"> </w:t>
      </w:r>
      <w:r>
        <w:t xml:space="preserve">. Participants consisted of preterm neonates born between 25- and 31-weeks gestational age (GA) who were admitted to the level III NICU at ***</w:t>
      </w:r>
      <w:r>
        <w:t xml:space="preserve"> </w:t>
      </w:r>
      <w:r>
        <w:t xml:space="preserve">. Recruitment took place over a span of one year, from February 2021 to January 2022, facilitated by a dedicated research nurse. Parents of eligible infants were approached by the research nurse prior to discharge from the NICU to explain the study objectives and seek their consent for participation. Infants meeting the criteria for inclusion were scanned for the study if they had already been discharged from the NICU, were in stable condition, and had reached a term equivalent age of 37 to 44 weeks GA. However, certain exclusion criteria were applied to ensure the homogeneity and integrity of the study sample: infants were excluded if there was clinical evidence of a congenital malformation or syndrome, a TORCH infection, or ultrasound evidence of large parenchymal hemorrhagic infarction (&gt;2 cm, Grade 4 intraventricular hemorrhage).</w:t>
      </w:r>
    </w:p>
    <w:bookmarkEnd w:id="28"/>
    <w:bookmarkStart w:id="30" w:name="image-acquisition"/>
    <w:p>
      <w:pPr>
        <w:pStyle w:val="Heading2"/>
      </w:pPr>
      <w:r>
        <w:t xml:space="preserve">Image acquisition</w:t>
      </w:r>
    </w:p>
    <w:p>
      <w:pPr>
        <w:pStyle w:val="FirstParagraph"/>
      </w:pPr>
      <w:r>
        <w:t xml:space="preserve">MR imaging was performed on a 3.0 Tesla General Electric Discovery MR750 scanner (scanner software version DV26.0_R03) equipped with a SREE Medical Systems (Cleveland, OH, USA) single-channel neonatal head coil (</w:t>
      </w:r>
      <w:hyperlink w:anchor="tbl-mri">
        <w:r>
          <w:rPr>
            <w:rStyle w:val="InternetLink"/>
          </w:rPr>
          <w:t xml:space="preserve">Table 1</w:t>
        </w:r>
      </w:hyperlink>
      <w:r>
        <w:t xml:space="preserve">). The scans were conducted at the ***</w:t>
      </w:r>
      <w:r>
        <w:t xml:space="preserve"> </w:t>
      </w:r>
      <w:r>
        <w:t xml:space="preserve">’s MRI Research Facility. Prior to the scanning procedure, subjects were carefully prepared by a research nurse. Swaddling and feeding were used to ensure the comfort and cooperation of the subjects during the scan. Importantly, no sedatives or invasive markers were utilized throughout the procedure. Subjects were placed within a specially designed SREE Medical Systems MRI compatible incubator, which facilitated both safety and motion minimization. Molded foam was strategically positioned around the head and body within the incubator to further restrict subject movement. To protect against potential hearing damage, ear plugs were employed during the scanning process. Additionally, a pulse oximeter was affixed to the subject’s foot to monitor arterial oxygen saturation and heart rate throughout the scan.</w:t>
      </w:r>
    </w:p>
    <w:tbl>
      <w:tblPr>
        <w:tblStyle w:val="Table"/>
        <w:tblW w:type="pct" w:w="5000"/>
        <w:tblLayout w:type="fixed"/>
        <w:tblLook w:firstRow="0" w:lastRow="0" w:firstColumn="0" w:lastColumn="0" w:noHBand="0" w:noVBand="0" w:val="0000"/>
      </w:tblPr>
      <w:tblGrid>
        <w:gridCol w:w="7920"/>
      </w:tblGrid>
      <w:tr>
        <w:tc>
          <w:tcPr/>
          <w:bookmarkStart w:id="29" w:name="tbl-mri"/>
          <w:p>
            <w:pPr>
              <w:jc w:val="center"/>
            </w:pPr>
            <w:pPr>
              <w:jc w:val="start"/>
              <w:spacing w:before="200"/>
              <w:pStyle w:val="ImageCaption"/>
            </w:pPr>
            <w:r>
              <w:rPr>
                <w:b/>
                <w:bCs/>
              </w:rPr>
              <w:t xml:space="preserve">Table</w:t>
            </w:r>
            <w:r>
              <w:t xml:space="preserve"> 1</w:t>
            </w:r>
            <w:r>
              <w:rPr>
                <w:b/>
                <w:bCs/>
              </w:rPr>
              <w:t xml:space="preserve">.</w:t>
            </w:r>
            <w:r>
              <w:t xml:space="preserve"> </w:t>
            </w:r>
            <w:r>
              <w:rPr>
                <w:b/>
                <w:bCs/>
              </w:rPr>
              <w:t xml:space="preserve">Technical parameters for MR imaging pulse sequences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T1w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T2w</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pcASL</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SWI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Sequence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FSPGR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CUBE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Multi-shot 3D fast spin-echo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3D spoiled GRE flow-compensated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Phase-encoding direction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Coronal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Sagittal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Axial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TR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2,300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4,680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30.9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TE (ms)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2.97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echoes; first echo: 5; echo spacing: 5.24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Flip angle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FOV (cm)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Acquisition matrix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512 x 512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128 x 128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256 x 256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In-plane resolution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0.39 x 0.39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0.78 x 0.78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1.875 x 1.875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0.977 x 0.977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Slice thickness (mm)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 reconstructed to 1 with zero filling (ZIP2)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slices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Additional parameters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1,450 ms label period;</w:t>
                  </w:r>
                  \line 
                  <w:r>
                    <w:rPr>
                      <w:rFonts w:ascii="Calibri" w:hAnsi="Calibri"/>
                      <w:sz w:val="20"/>
                    </w:rPr>
                    <w:t xml:space="preserve"> 2,025 ms pulse label;</w:t>
                  </w:r>
                  \line 
                  <w:r>
                    <w:rPr>
                      <w:rFonts w:ascii="Calibri" w:hAnsi="Calibri"/>
                      <w:sz w:val="20"/>
                    </w:rPr>
                    <w:t xml:space="preserve"> 24 control-label pairs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Scan duration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4 min 39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1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26 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 min 29 s</w:t>
                  </w:r>
                </w:p>
              </w:tc>
            </w:tr>
            <w:tr>
              <w:trPr>
                <w:cantSplit/>
              </w:trPr>
              <w:tc>
                <w:tcPr>
                  <w:gridSpan w:val="5"/>
                </w:tcPr>
                <w:p>
                  <w:pPr>
                    <w:spacing w:before="0" w:after="60"/>
                    <w:keepNext/>
                  </w:pPr>
                  <w:r>
                    <w:rPr>
                      <w:rFonts w:ascii="Calibri" w:hAnsi="Calibri"/>
                      <w:sz w:val="20"/>
                    </w:rPr>
                    <w:t xml:space="default">T1w = T1-weighted; T2w = T2-weighted; pcASL = pseudo-continuous arterial spin labelling; SWI = susceptibility weighted imaging; FSPG = fast spoiled gradient echo; CUBE = General Electric name of sequence, not an acronym; GRE = gradient echo; ZIP2 = through-plane zero filling interpolation</w:t>
                  </w:r>
                </w:p>
              </w:tc>
            </w:tr>
          </w:tbl>
          <w:bookmarkEnd w:id="29"/>
        </w:tc>
      </w:tr>
    </w:tbl>
    <w:p>
      <w:pPr>
        <w:pStyle w:val="TextBody"/>
      </w:pPr>
      <w:r>
        <w:t xml:space="preserve">The MRI scan protocol comprised of the following sequences: a T1-weighted scan, a T2-weighted scan, a pseudo-continuous arterial spin labeling (ASL) scan</w:t>
      </w:r>
      <w:r>
        <w:t xml:space="preserve"> </w:t>
      </w:r>
      <w:r>
        <w:t xml:space="preserve">(19)</w:t>
      </w:r>
      <w:r>
        <w:t xml:space="preserve">, a multi-echo susceptibility-weighted imaging scan</w:t>
      </w:r>
      <w:r>
        <w:t xml:space="preserve"> </w:t>
      </w:r>
      <w:r>
        <w:t xml:space="preserve">(20)</w:t>
      </w:r>
      <w:r>
        <w:t xml:space="preserve">, and a diffusion-weighted imaging (DWI) spin-echo echo planar imaging (EPI) sequence. The DWI sequence was not used for the present study.</w:t>
      </w:r>
    </w:p>
    <w:bookmarkEnd w:id="30"/>
    <w:bookmarkStart w:id="40" w:name="image-analysis"/>
    <w:p>
      <w:pPr>
        <w:pStyle w:val="Heading2"/>
      </w:pPr>
      <w:r>
        <w:t xml:space="preserve">Image analysis</w:t>
      </w:r>
    </w:p>
    <w:p>
      <w:pPr>
        <w:pStyle w:val="FirstParagraph"/>
      </w:pPr>
      <w:r>
        <w:t xml:space="preserve">The raw DICOM files acquired from the scanning procedure were converted to NIfTI (Neuroimaging Informatics Technology Initiative) format using Chris Rorden’s</w:t>
      </w:r>
      <w:r>
        <w:t xml:space="preserve"> </w:t>
      </w:r>
      <w:r>
        <w:rPr>
          <w:rStyle w:val="VerbatimChar"/>
        </w:rPr>
        <w:t xml:space="preserve">dcmniix</w:t>
      </w:r>
      <w:r>
        <w:t xml:space="preserve"> </w:t>
      </w:r>
      <w:r>
        <w:t xml:space="preserve">tool</w:t>
      </w:r>
      <w:r>
        <w:t xml:space="preserve"> </w:t>
      </w:r>
      <w:r>
        <w:t xml:space="preserve">(21)</w:t>
      </w:r>
      <w:r>
        <w:t xml:space="preserve">. SWI magnitude data files were then used to create subject-specific brain masks that would not erode the SSS during QSM processing, an issue faced by our group in the past ***</w:t>
      </w:r>
      <w:r>
        <w:t xml:space="preserve"> </w:t>
      </w:r>
      <w:r>
        <w:t xml:space="preserve">. A step-by-step summary of the pipeline used is shown in</w:t>
      </w:r>
      <w:r>
        <w:t xml:space="preserve"> </w:t>
      </w:r>
      <w:hyperlink w:anchor="fig-graph">
        <w:r>
          <w:rPr>
            <w:rStyle w:val="Internet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fig-graph"/>
          <w:p>
            <w:pPr>
              <w:pStyle w:val="Compact"/>
              <w:jc w:val="center"/>
            </w:pPr>
            <w:r>
              <w:drawing>
                <wp:inline>
                  <wp:extent cx="5943600" cy="3464396"/>
                  <wp:effectExtent b="0" l="0" r="0" t="0"/>
                  <wp:docPr descr="" title="" id="32" name="Picture"/>
                  <a:graphic>
                    <a:graphicData uri="http://schemas.openxmlformats.org/drawingml/2006/picture">
                      <pic:pic>
                        <pic:nvPicPr>
                          <pic:cNvPr descr="index_files/figure-docx/notebooks-Figures-fig-graph-output-1.png" id="33" name="Picture"/>
                          <pic:cNvPicPr>
                            <a:picLocks noChangeArrowheads="1" noChangeAspect="1"/>
                          </pic:cNvPicPr>
                        </pic:nvPicPr>
                        <pic:blipFill>
                          <a:blip r:embed="rId31"/>
                          <a:stretch>
                            <a:fillRect/>
                          </a:stretch>
                        </pic:blipFill>
                        <pic:spPr bwMode="auto">
                          <a:xfrm>
                            <a:off x="0" y="0"/>
                            <a:ext cx="5943600" cy="3464396"/>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1</w:t>
            </w:r>
            <w:r>
              <w:rPr>
                <w:b/>
                <w:bCs/>
              </w:rPr>
              <w:t xml:space="preserve">.</w:t>
            </w:r>
            <w:r>
              <w:t xml:space="preserve"> </w:t>
            </w:r>
            <w:r>
              <w:rPr>
                <w:b/>
                <w:bCs/>
              </w:rPr>
              <w:t xml:space="preserve">Pipeline for generating subject-specific brain masks that include the superior sagittal sinus (SSS).</w:t>
            </w:r>
            <w:r>
              <w:t xml:space="preserve"> </w:t>
            </w:r>
            <w:r>
              <w:t xml:space="preserve">Initial steps involved (1) creating brain a mask from the magnitude of the fifth echo of the susceptibility weighted scan. Subsequently, the brain mask is dilated and then (2) utilized in conjunction with a quantitative susceptibility mapping (QSM) script to generate a preliminary QSM image. Further refinement involved (3) segmenting the SSS from the QSM image manually to create a tissue mask of the SSS region. Finally, (4) the vascular mask of the SSS is integrated with the initial brain mask, forming the comprehensive brain mask essential for obtaining susceptibility data that includes the SSS.</w:t>
            </w:r>
          </w:p>
          <w:bookmarkEnd w:id="34"/>
        </w:tc>
      </w:tr>
    </w:tbl>
    <w:p>
      <w:pPr>
        <w:pStyle w:val="TextBody"/>
      </w:pPr>
      <w:r>
        <w:t xml:space="preserve">First, the fifth echo (TE = 25.96 ms) SWI magnitude file was processed using FSL’s (v. 6.0.7.3)</w:t>
      </w:r>
      <w:r>
        <w:t xml:space="preserve"> </w:t>
      </w:r>
      <w:r>
        <w:t xml:space="preserve">(22)</w:t>
      </w:r>
      <w:r>
        <w:t xml:space="preserve"> </w:t>
      </w:r>
      <w:r>
        <w:rPr>
          <w:rStyle w:val="VerbatimChar"/>
        </w:rPr>
        <w:t xml:space="preserve">fslroi</w:t>
      </w:r>
      <w:r>
        <w:t xml:space="preserve">,</w:t>
      </w:r>
      <w:r>
        <w:t xml:space="preserve"> </w:t>
      </w:r>
      <w:r>
        <w:rPr>
          <w:rStyle w:val="VerbatimChar"/>
        </w:rPr>
        <w:t xml:space="preserve">fslmaths</w:t>
      </w:r>
      <w:r>
        <w:t xml:space="preserve">, and</w:t>
      </w:r>
      <w:r>
        <w:t xml:space="preserve"> </w:t>
      </w:r>
      <w:r>
        <w:rPr>
          <w:rStyle w:val="VerbatimChar"/>
        </w:rPr>
        <w:t xml:space="preserve">bet</w:t>
      </w:r>
      <w:r>
        <w:t xml:space="preserve"> </w:t>
      </w:r>
      <w:r>
        <w:t xml:space="preserve">(23)</w:t>
      </w:r>
      <w:r>
        <w:t xml:space="preserve"> </w:t>
      </w:r>
      <w:r>
        <w:t xml:space="preserve">to create a preliminary brain mask, similar to our previous efforts, which does not contain the SSS.</w:t>
      </w:r>
      <w:r>
        <w:t xml:space="preserve"> </w:t>
      </w:r>
      <w:r>
        <w:rPr>
          <w:rStyle w:val="VerbatimChar"/>
        </w:rPr>
        <w:t xml:space="preserve">Fslroi</w:t>
      </w:r>
      <w:r>
        <w:t xml:space="preserve"> </w:t>
      </w:r>
      <w:r>
        <w:t xml:space="preserve">was used to isolate the fifth echo of the magnitude data, which was then squared using</w:t>
      </w:r>
      <w:r>
        <w:t xml:space="preserve"> </w:t>
      </w:r>
      <w:r>
        <w:rPr>
          <w:rStyle w:val="VerbatimChar"/>
        </w:rPr>
        <w:t xml:space="preserve">fslmaths</w:t>
      </w:r>
      <w:r>
        <w:t xml:space="preserve"> </w:t>
      </w:r>
      <w:r>
        <w:t xml:space="preserve">and the option</w:t>
      </w:r>
      <w:r>
        <w:t xml:space="preserve"> </w:t>
      </w:r>
      <w:r>
        <w:rPr>
          <w:rStyle w:val="VerbatimChar"/>
        </w:rPr>
        <w:t xml:space="preserve">-sqr</w:t>
      </w:r>
      <w:r>
        <w:t xml:space="preserve">. Squaring the magnitude image was found to dramatically improve subsequent brain extraction. The resulting image was then used to create the preliminary brain mask using bet with the options</w:t>
      </w:r>
      <w:r>
        <w:t xml:space="preserve"> </w:t>
      </w:r>
      <w:r>
        <w:rPr>
          <w:rStyle w:val="VerbatimChar"/>
        </w:rPr>
        <w:t xml:space="preserve">-m</w:t>
      </w:r>
      <w:r>
        <w:t xml:space="preserve"> </w:t>
      </w:r>
      <w:r>
        <w:t xml:space="preserve">and</w:t>
      </w:r>
      <w:r>
        <w:t xml:space="preserve"> </w:t>
      </w:r>
      <w:r>
        <w:rPr>
          <w:rStyle w:val="VerbatimChar"/>
        </w:rPr>
        <w:t xml:space="preserve">-R</w:t>
      </w:r>
      <w:r>
        <w:t xml:space="preserve">. The former flag generated a binary brain mask, while the latter performed a more robust brain centre estimation. The brain mask was then dilated by 7 voxels using</w:t>
      </w:r>
      <w:r>
        <w:t xml:space="preserve"> </w:t>
      </w:r>
      <w:r>
        <w:rPr>
          <w:rStyle w:val="VerbatimChar"/>
        </w:rPr>
        <w:t xml:space="preserve">fslmaths</w:t>
      </w:r>
      <w:r>
        <w:t xml:space="preserve"> </w:t>
      </w:r>
      <w:r>
        <w:t xml:space="preserve">and the options</w:t>
      </w:r>
      <w:r>
        <w:t xml:space="preserve"> </w:t>
      </w:r>
      <w:r>
        <w:rPr>
          <w:rStyle w:val="VerbatimChar"/>
        </w:rPr>
        <w:t xml:space="preserve">-kernel boxv</w:t>
      </w:r>
      <w:r>
        <w:t xml:space="preserve"> </w:t>
      </w:r>
      <w:r>
        <w:t xml:space="preserve">and</w:t>
      </w:r>
      <w:r>
        <w:t xml:space="preserve"> </w:t>
      </w:r>
      <w:r>
        <w:rPr>
          <w:rStyle w:val="VerbatimChar"/>
        </w:rPr>
        <w:t xml:space="preserve">-dilM</w:t>
      </w:r>
      <w:r>
        <w:t xml:space="preserve"> </w:t>
      </w:r>
      <w:r>
        <w:t xml:space="preserve">in order for the dilated mask to contain the SSS (along with unwanted tissue as well). This mask was then used, along with the phase images, in a MATLAB script for QSM calculation from Christian Kames</w:t>
      </w:r>
      <w:r>
        <w:t xml:space="preserve"> </w:t>
      </w:r>
      <w:r>
        <w:t xml:space="preserve">(24)</w:t>
      </w:r>
      <w:r>
        <w:t xml:space="preserve"> </w:t>
      </w:r>
      <w:r>
        <w:t xml:space="preserve">to produce a preliminary QSM image that contained the SSS, albeit with fairly low signal-to-noise ratio and other unwanted tissue. Given the high contrast in voxel intensity between the SSS and surrounding tissue, the select by intensity tool in</w:t>
      </w:r>
      <w:r>
        <w:t xml:space="preserve"> </w:t>
      </w:r>
      <w:r>
        <w:rPr>
          <w:rStyle w:val="VerbatimChar"/>
        </w:rPr>
        <w:t xml:space="preserve">FSLeyes</w:t>
      </w:r>
      <w:r>
        <w:t xml:space="preserve"> </w:t>
      </w:r>
      <w:r>
        <w:t xml:space="preserve">(25)</w:t>
      </w:r>
      <w:r>
        <w:t xml:space="preserve"> </w:t>
      </w:r>
      <w:r>
        <w:t xml:space="preserve">was then used to segment the SSS from the QSM image and create a 3D mask of the selected region. Using</w:t>
      </w:r>
      <w:r>
        <w:t xml:space="preserve"> </w:t>
      </w:r>
      <w:r>
        <w:rPr>
          <w:rStyle w:val="VerbatimChar"/>
        </w:rPr>
        <w:t xml:space="preserve">fslmaths</w:t>
      </w:r>
      <w:r>
        <w:t xml:space="preserve"> </w:t>
      </w:r>
      <w:r>
        <w:t xml:space="preserve">and the options</w:t>
      </w:r>
      <w:r>
        <w:t xml:space="preserve"> </w:t>
      </w:r>
      <w:r>
        <w:rPr>
          <w:rStyle w:val="VerbatimChar"/>
        </w:rPr>
        <w:t xml:space="preserve">-add</w:t>
      </w:r>
      <w:r>
        <w:t xml:space="preserve"> </w:t>
      </w:r>
      <w:r>
        <w:t xml:space="preserve">and</w:t>
      </w:r>
      <w:r>
        <w:t xml:space="preserve"> </w:t>
      </w:r>
      <w:r>
        <w:rPr>
          <w:rStyle w:val="VerbatimChar"/>
        </w:rPr>
        <w:t xml:space="preserve">-bin</w:t>
      </w:r>
      <w:r>
        <w:t xml:space="preserve">, the SSS mask was then combined with the original brain mask of the fifth echo. This resulted in a brain mask that contained only brain and SSS signal. Finally, this mask was used in a final QSM post-processing step to create a QSM image that includes the SSS while maintaining a high signal-to-noise ratio, making it suitable to obtain accurate susceptibility values.</w:t>
      </w:r>
    </w:p>
    <w:p>
      <w:pPr>
        <w:pStyle w:val="TextBody"/>
      </w:pPr>
      <w:r>
        <w:t xml:space="preserve">STI Suite (v. 3.0)</w:t>
      </w:r>
      <w:r>
        <w:t xml:space="preserve"> </w:t>
      </w:r>
      <w:r>
        <w:t xml:space="preserve">(26)</w:t>
      </w:r>
      <w:r>
        <w:t xml:space="preserve">, was used to process the final QSM images as it produced the cleanest images without eroding the SSS. The finalized brain mask and the last three echoes of the magnitude and phase images were used in STI Suite along with the following parameters: 0.9766 x 0.9766 x 1 mm</w:t>
      </w:r>
      <w:r>
        <w:rPr>
          <w:vertAlign w:val="superscript"/>
        </w:rPr>
        <w:t xml:space="preserve">3</w:t>
      </w:r>
      <w:r>
        <w:t xml:space="preserve"> </w:t>
      </w:r>
      <w:r>
        <w:t xml:space="preserve">voxel size, 5 ms TE1, 5.3 ms</w:t>
      </w:r>
      <w:r>
        <w:t xml:space="preserve"> </w:t>
      </w:r>
      <m:oMath>
        <m:r>
          <m:t>Δ</m:t>
        </m:r>
      </m:oMath>
      <w:r>
        <w:t xml:space="preserve">TE, and 77.4 ms sum TE, B0 strength = 3, and B0 direction = [0, 0, 1]. The 3D GRE data option was selected for the phase processing stage, and STAR-QSM was selected for the QSM stage. Finally, the `select by intensity’ tool in</w:t>
      </w:r>
      <w:r>
        <w:t xml:space="preserve"> </w:t>
      </w:r>
      <w:r>
        <w:rPr>
          <w:rStyle w:val="VerbatimChar"/>
        </w:rPr>
        <w:t xml:space="preserve">FSLeyes</w:t>
      </w:r>
      <w:r>
        <w:t xml:space="preserve"> </w:t>
      </w:r>
      <w:r>
        <w:t xml:space="preserve">was then used to semi-automatically make vascular masks of the SSS and CCV from each subject’s QSM image. The vascular masks were used to calculate the mean susceptibility of each subject’s SSS and CCV from their QSM image with</w:t>
      </w:r>
      <w:r>
        <w:t xml:space="preserve"> </w:t>
      </w:r>
      <w:r>
        <w:rPr>
          <w:rStyle w:val="VerbatimChar"/>
        </w:rPr>
        <w:t xml:space="preserve">fslstats</w:t>
      </w:r>
      <w:r>
        <w:t xml:space="preserve">.</w:t>
      </w:r>
    </w:p>
    <w:p>
      <w:pPr>
        <w:pStyle w:val="TextBody"/>
      </w:pPr>
      <w:r>
        <w:t xml:space="preserve">To isolate the paramagnetic component of subjects’ QSM data, the</w:t>
      </w:r>
      <w:r>
        <w:t xml:space="preserve"> </w:t>
      </w:r>
      <m:oMath>
        <m:r>
          <m:t>χ</m:t>
        </m:r>
      </m:oMath>
      <w:r>
        <w:t xml:space="preserve">-separation toolbox</w:t>
      </w:r>
      <w:r>
        <w:t xml:space="preserve"> </w:t>
      </w:r>
      <w:r>
        <w:t xml:space="preserve">(27)</w:t>
      </w:r>
      <w:r>
        <w:t xml:space="preserve"> </w:t>
      </w:r>
      <w:r>
        <w:t xml:space="preserve">from the Laboratory for Imaging Science and Technology was used. Each subject’s magnitude and phase SWI data were used along with the following parameters: 0.9766 x 0.9766 x 1 mm</w:t>
      </w:r>
      <w:r>
        <w:rPr>
          <w:vertAlign w:val="superscript"/>
        </w:rPr>
        <w:t xml:space="preserve">3</w:t>
      </w:r>
      <w:r>
        <w:t xml:space="preserve"> </w:t>
      </w:r>
      <w:r>
        <w:t xml:space="preserve">voxel size; TE (s) = [0.005, 0.0102, 0.0155, 0.0207, 0.026]; delta TE (s) = 0.0052; B0 strength = 3; B0 direction = [0, 0, 1]. The mean susceptibility of each subject’s SSS and CCV in their paramagnetic maps was calculated with the same vascular masks used for the QSM images. Sample images showing the magnitude, final QSM, and final paramagnetic component images are shown in</w:t>
      </w:r>
      <w:r>
        <w:t xml:space="preserve"> </w:t>
      </w:r>
      <w:hyperlink w:anchor="fig-sample">
        <w:r>
          <w:rPr>
            <w:rStyle w:val="Internet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sample"/>
          <w:p>
            <w:pPr>
              <w:pStyle w:val="Compact"/>
              <w:jc w:val="center"/>
            </w:pPr>
            <w:r>
              <w:drawing>
                <wp:inline>
                  <wp:extent cx="5943600" cy="6683930"/>
                  <wp:effectExtent b="0" l="0" r="0" t="0"/>
                  <wp:docPr descr="" title="" id="36" name="Picture"/>
                  <a:graphic>
                    <a:graphicData uri="http://schemas.openxmlformats.org/drawingml/2006/picture">
                      <pic:pic>
                        <pic:nvPicPr>
                          <pic:cNvPr descr="index_files/figure-docx/notebooks-Figures-fig-sample-output-1.png" id="37" name="Picture"/>
                          <pic:cNvPicPr>
                            <a:picLocks noChangeArrowheads="1" noChangeAspect="1"/>
                          </pic:cNvPicPr>
                        </pic:nvPicPr>
                        <pic:blipFill>
                          <a:blip r:embed="rId35"/>
                          <a:stretch>
                            <a:fillRect/>
                          </a:stretch>
                        </pic:blipFill>
                        <pic:spPr bwMode="auto">
                          <a:xfrm>
                            <a:off x="0" y="0"/>
                            <a:ext cx="5943600" cy="6683930"/>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2</w:t>
            </w:r>
            <w:r>
              <w:rPr>
                <w:b/>
                <w:bCs/>
              </w:rPr>
              <w:t xml:space="preserve">.</w:t>
            </w:r>
            <w:r>
              <w:t xml:space="preserve"> </w:t>
            </w:r>
            <w:r>
              <w:rPr>
                <w:b/>
                <w:bCs/>
              </w:rPr>
              <w:t xml:space="preserve">An example of subject imaging data.</w:t>
            </w:r>
            <w:r>
              <w:t xml:space="preserve"> </w:t>
            </w:r>
            <w:r>
              <w:t xml:space="preserve">A sample sagittal, coronal, and axial slice is displayed for each image. (a) The 1st echo of the magnitude susceptibility weighted imaging sequence; (b) the final quantitative susceptibility mapping image; and (c) the paramagnetic component isolated from the quantitative susceptibility map. The bars in (b) and (c) indicates the range of susceptibility</w:t>
            </w:r>
            <w:r>
              <w:t xml:space="preserve"> </w:t>
            </w:r>
            <m:oMath>
              <m:r>
                <m:t>χ</m:t>
              </m:r>
            </m:oMath>
            <w:r>
              <w:t xml:space="preserve"> </w:t>
            </w:r>
            <w:r>
              <w:t xml:space="preserve">values.</w:t>
            </w:r>
          </w:p>
          <w:bookmarkEnd w:id="38"/>
        </w:tc>
      </w:tr>
    </w:tbl>
    <w:p>
      <w:pPr>
        <w:pStyle w:val="TextBody"/>
      </w:pPr>
      <w:r>
        <w:t xml:space="preserve">Once the mean susceptibility values of the SSS and CCV were obtained from the subjects’ QSM images or paramagnetic maps, venous oxygen saturation (SvO</w:t>
      </w:r>
      <w:r>
        <w:rPr>
          <w:vertAlign w:val="subscript"/>
        </w:rPr>
        <w:t xml:space="preserve">2</w:t>
      </w:r>
      <w:r>
        <w:t xml:space="preserve">) was calculated with the following equation</w:t>
      </w:r>
      <w:r>
        <w:t xml:space="preserve"> </w:t>
      </w:r>
      <w:r>
        <w:t xml:space="preserve">(28)</w:t>
      </w:r>
      <w:r>
        <w:t xml:space="preserve">:</w:t>
      </w:r>
    </w:p>
    <w:p>
      <w:pPr>
        <w:pStyle w:val="TextBody"/>
      </w:pPr>
      <w:bookmarkStart w:id="39" w:name="eq-svo"/>
      <m:oMathPara>
        <m:oMathParaPr>
          <m:jc m:val="center"/>
        </m:oMathParaPr>
        <m:oMath>
          <m:r>
            <m:t>S</m:t>
          </m:r>
          <m:r>
            <m:t>v</m:t>
          </m:r>
          <m:sSub>
            <m:e>
              <m:r>
                <m:t>O</m:t>
              </m:r>
            </m:e>
            <m:sub>
              <m:r>
                <m:t>2</m:t>
              </m:r>
            </m:sub>
          </m:sSub>
          <m:r>
            <m:rPr>
              <m:sty m:val="p"/>
            </m:rPr>
            <m:t>=</m:t>
          </m:r>
          <m:r>
            <m:t>1</m:t>
          </m:r>
          <m:r>
            <m:rPr>
              <m:sty m:val="p"/>
            </m:rPr>
            <m:t>−</m:t>
          </m:r>
          <m:f>
            <m:fPr>
              <m:type m:val="bar"/>
            </m:fPr>
            <m:num>
              <m:r>
                <m:t>Δ</m:t>
              </m:r>
              <m:sSub>
                <m:e>
                  <m:r>
                    <m:t>χ</m:t>
                  </m:r>
                </m:e>
                <m:sub>
                  <m:r>
                    <m:t>b</m:t>
                  </m:r>
                  <m:r>
                    <m:t>l</m:t>
                  </m:r>
                  <m:r>
                    <m:t>o</m:t>
                  </m:r>
                  <m:r>
                    <m:t>o</m:t>
                  </m:r>
                  <m:r>
                    <m:t>d</m:t>
                  </m:r>
                </m:sub>
              </m:sSub>
              <m:r>
                <m:rPr>
                  <m:sty m:val="p"/>
                </m:rPr>
                <m:t>−</m:t>
              </m:r>
              <m:d>
                <m:dPr>
                  <m:begChr m:val="("/>
                  <m:endChr m:val=")"/>
                  <m:sepChr m:val=""/>
                  <m:grow/>
                </m:dPr>
                <m:e>
                  <m:r>
                    <m:t>Δ</m:t>
                  </m:r>
                  <m:sSub>
                    <m:e>
                      <m:r>
                        <m:t>χ</m:t>
                      </m:r>
                    </m:e>
                    <m:sub>
                      <m:r>
                        <m:t>o</m:t>
                      </m:r>
                      <m:r>
                        <m:t>x</m:t>
                      </m:r>
                      <m:r>
                        <m:t>y</m:t>
                      </m:r>
                    </m:sub>
                  </m:sSub>
                  <m:r>
                    <m:rPr>
                      <m:sty m:val="p"/>
                    </m:rPr>
                    <m:t>*</m:t>
                  </m:r>
                  <m:r>
                    <m:t>H</m:t>
                  </m:r>
                  <m:r>
                    <m:t>c</m:t>
                  </m:r>
                  <m:r>
                    <m:t>t</m:t>
                  </m:r>
                </m:e>
              </m:d>
            </m:num>
            <m:den>
              <m:r>
                <m:t>Δ</m:t>
              </m:r>
              <m:sSub>
                <m:e>
                  <m:r>
                    <m:t>χ</m:t>
                  </m:r>
                </m:e>
                <m:sub>
                  <m:r>
                    <m:t>d</m:t>
                  </m:r>
                  <m:r>
                    <m:t>o</m:t>
                  </m:r>
                </m:sub>
              </m:sSub>
              <m:r>
                <m:rPr>
                  <m:sty m:val="p"/>
                </m:rPr>
                <m:t>*</m:t>
              </m:r>
              <m:r>
                <m:t>H</m:t>
              </m:r>
              <m:r>
                <m:t>c</m:t>
              </m:r>
              <m:r>
                <m:t>t</m:t>
              </m:r>
            </m:den>
          </m:f>
          <m:r>
            <m:t>  </m:t>
          </m:r>
          <m:d>
            <m:dPr>
              <m:begChr m:val="("/>
              <m:endChr m:val=")"/>
              <m:sepChr m:val=""/>
              <m:grow/>
            </m:dPr>
            <m:e>
              <m:r>
                <m:t>1</m:t>
              </m:r>
            </m:e>
          </m:d>
        </m:oMath>
      </m:oMathPara>
      <w:bookmarkEnd w:id="39"/>
    </w:p>
    <w:p>
      <w:pPr>
        <w:pStyle w:val="FirstParagraph"/>
      </w:pPr>
      <w:r>
        <w:t xml:space="preserve">where</w:t>
      </w:r>
      <w:r>
        <w:t xml:space="preserve"> </w:t>
      </w:r>
      <m:oMath>
        <m:r>
          <m:t>Δ</m:t>
        </m:r>
        <m:sSub>
          <m:e>
            <m:r>
              <m:t>χ</m:t>
            </m:r>
          </m:e>
          <m:sub>
            <m:r>
              <m:t>b</m:t>
            </m:r>
            <m:r>
              <m:t>l</m:t>
            </m:r>
            <m:r>
              <m:t>o</m:t>
            </m:r>
            <m:r>
              <m:t>o</m:t>
            </m:r>
            <m:r>
              <m:t>d</m:t>
            </m:r>
          </m:sub>
        </m:sSub>
      </m:oMath>
      <w:r>
        <w:t xml:space="preserve"> </w:t>
      </w:r>
      <w:r>
        <w:t xml:space="preserve">is the vessel’s measured susceptibility,</w:t>
      </w:r>
      <w:r>
        <w:t xml:space="preserve"> </w:t>
      </w:r>
      <m:oMath>
        <m:r>
          <m:t>Δ</m:t>
        </m:r>
        <m:sSub>
          <m:e>
            <m:r>
              <m:t>χ</m:t>
            </m:r>
          </m:e>
          <m:sub>
            <m:r>
              <m:t>o</m:t>
            </m:r>
            <m:r>
              <m:t>x</m:t>
            </m:r>
            <m:r>
              <m:t>y</m:t>
            </m:r>
          </m:sub>
        </m:sSub>
      </m:oMath>
      <w:r>
        <w:t xml:space="preserve"> </w:t>
      </w:r>
      <w:r>
        <w:t xml:space="preserve">is the constant representing the susceptibility changes of oxygenated blood relation to water,</w:t>
      </w:r>
      <w:r>
        <w:t xml:space="preserve"> </w:t>
      </w:r>
      <m:oMath>
        <m:r>
          <m:t>Δ</m:t>
        </m:r>
        <m:sSub>
          <m:e>
            <m:r>
              <m:t>χ</m:t>
            </m:r>
          </m:e>
          <m:sub>
            <m:r>
              <m:t>d</m:t>
            </m:r>
            <m:r>
              <m:t>o</m:t>
            </m:r>
          </m:sub>
        </m:sSub>
      </m:oMath>
      <w:r>
        <w:t xml:space="preserve"> </w:t>
      </w:r>
      <w:r>
        <w:t xml:space="preserve">is the difference in susceptibility between oxygenated and deoxygenated blood, and Hct is the subject’s hematocrit.</w:t>
      </w:r>
      <w:r>
        <w:t xml:space="preserve"> </w:t>
      </w:r>
      <m:oMath>
        <m:r>
          <m:t>Δ</m:t>
        </m:r>
        <m:sSub>
          <m:e>
            <m:r>
              <m:t>χ</m:t>
            </m:r>
          </m:e>
          <m:sub>
            <m:r>
              <m:t>o</m:t>
            </m:r>
            <m:r>
              <m:t>x</m:t>
            </m:r>
            <m:r>
              <m:t>y</m:t>
            </m:r>
          </m:sub>
        </m:sSub>
      </m:oMath>
      <w:r>
        <w:t xml:space="preserve"> </w:t>
      </w:r>
      <w:r>
        <w:t xml:space="preserve">was -0.21 * 4</w:t>
      </w:r>
      <m:oMath>
        <m:r>
          <m:t>π</m:t>
        </m:r>
      </m:oMath>
      <w:r>
        <w:t xml:space="preserve"> </w:t>
      </w:r>
      <w:r>
        <w:t xml:space="preserve">ppm as per</w:t>
      </w:r>
      <w:r>
        <w:t xml:space="preserve"> </w:t>
      </w:r>
      <w:r>
        <w:t xml:space="preserve">(29)</w:t>
      </w:r>
      <w:r>
        <w:t xml:space="preserve"> </w:t>
      </w:r>
      <w:r>
        <w:t xml:space="preserve">and</w:t>
      </w:r>
      <w:r>
        <w:t xml:space="preserve"> </w:t>
      </w:r>
      <w:r>
        <w:t xml:space="preserve">(30)</w:t>
      </w:r>
      <w:r>
        <w:t xml:space="preserve">, while</w:t>
      </w:r>
      <w:r>
        <w:t xml:space="preserve"> </w:t>
      </w:r>
      <m:oMath>
        <m:r>
          <m:t>Δ</m:t>
        </m:r>
        <m:sSub>
          <m:e>
            <m:r>
              <m:t>χ</m:t>
            </m:r>
          </m:e>
          <m:sub>
            <m:r>
              <m:t>d</m:t>
            </m:r>
            <m:r>
              <m:t>o</m:t>
            </m:r>
          </m:sub>
        </m:sSub>
      </m:oMath>
      <w:r>
        <w:t xml:space="preserve"> </w:t>
      </w:r>
      <w:r>
        <w:t xml:space="preserve">was -0.03 * 4</w:t>
      </w:r>
      <m:oMath>
        <m:r>
          <m:t>π</m:t>
        </m:r>
      </m:oMath>
      <w:r>
        <w:t xml:space="preserve"> </w:t>
      </w:r>
      <w:r>
        <w:t xml:space="preserve">ppm as per</w:t>
      </w:r>
      <w:r>
        <w:t xml:space="preserve"> </w:t>
      </w:r>
      <w:r>
        <w:t xml:space="preserve">(31)</w:t>
      </w:r>
      <w:r>
        <w:t xml:space="preserve">. Subjects’ Hct for the day of the scan was calculated using a four-parameter Weibull function with previously measured values while still in the NICU.</w:t>
      </w:r>
    </w:p>
    <w:bookmarkEnd w:id="40"/>
    <w:bookmarkStart w:id="41" w:name="statistical-analysis"/>
    <w:p>
      <w:pPr>
        <w:pStyle w:val="Heading2"/>
      </w:pPr>
      <w:r>
        <w:t xml:space="preserve">Statistical analysis</w:t>
      </w:r>
    </w:p>
    <w:p>
      <w:pPr>
        <w:pStyle w:val="FirstParagraph"/>
      </w:pPr>
      <w:r>
        <w:t xml:space="preserve">Statistical analysis was performed using R and RStudio (v. 2023.09.1 Build 494)</w:t>
      </w:r>
      <w:r>
        <w:t xml:space="preserve"> </w:t>
      </w:r>
      <w:r>
        <w:t xml:space="preserve">(32,33)</w:t>
      </w:r>
      <w:r>
        <w:t xml:space="preserve">. Mean and standard deviation values are reported for most statistics, unless specified otherwise. A paired Student’s t-test was used to determine statistical significance (p &lt;0.05) between two parameters (e.g. </w:t>
      </w:r>
      <m:oMath>
        <m:r>
          <m:t>χ</m:t>
        </m:r>
      </m:oMath>
      <w:r>
        <w:t xml:space="preserve"> </w:t>
      </w:r>
      <w:r>
        <w:t xml:space="preserve">values between venous structures).</w:t>
      </w:r>
    </w:p>
    <w:bookmarkEnd w:id="41"/>
    <w:bookmarkEnd w:id="42"/>
    <w:bookmarkStart w:id="53" w:name="sec-results"/>
    <w:p>
      <w:pPr>
        <w:pStyle w:val="Heading1"/>
      </w:pPr>
      <w:r>
        <w:t xml:space="preserve">Results</w:t>
      </w:r>
    </w:p>
    <w:p>
      <w:pPr>
        <w:pStyle w:val="FirstParagraph"/>
      </w:pPr>
      <w:r>
        <w:t xml:space="preserve">A total sample size of 19 infants were scanned, with a mean (</w:t>
      </w:r>
      <m:oMath>
        <m:r>
          <m:rPr>
            <m:sty m:val="p"/>
          </m:rPr>
          <m:t>±</m:t>
        </m:r>
      </m:oMath>
      <w:r>
        <w:t xml:space="preserve"> </w:t>
      </w:r>
      <w:r>
        <w:t xml:space="preserve">standard deviation) gestational age of 28.8</w:t>
      </w:r>
      <w:r>
        <w:t xml:space="preserve"> </w:t>
      </w:r>
      <m:oMath>
        <m:r>
          <m:rPr>
            <m:sty m:val="p"/>
          </m:rPr>
          <m:t>±</m:t>
        </m:r>
      </m:oMath>
      <w:r>
        <w:t xml:space="preserve"> </w:t>
      </w:r>
      <w:r>
        <w:t xml:space="preserve">1.68 weeks and a mean birth weight of 1276.05</w:t>
      </w:r>
      <w:r>
        <w:t xml:space="preserve"> </w:t>
      </w:r>
      <m:oMath>
        <m:r>
          <m:rPr>
            <m:sty m:val="p"/>
          </m:rPr>
          <m:t>±</m:t>
        </m:r>
      </m:oMath>
      <w:r>
        <w:t xml:space="preserve"> </w:t>
      </w:r>
      <w:r>
        <w:t xml:space="preserve">294.87 grams. A comprehensive summary of neonatal characteristics, including additional demographic and clinical data, is provided in</w:t>
      </w:r>
      <w:r>
        <w:t xml:space="preserve"> </w:t>
      </w:r>
      <w:hyperlink w:anchor="tbl-dem">
        <w:r>
          <w:rPr>
            <w:rStyle w:val="InternetLink"/>
          </w:rPr>
          <w:t xml:space="preserve">Table 2</w:t>
        </w:r>
      </w:hyperlink>
      <w:r>
        <w:t xml:space="preserve"> </w:t>
      </w:r>
      <w:r>
        <w:t xml:space="preserve">for reference.</w:t>
      </w:r>
    </w:p>
    <w:tbl>
      <w:tblPr>
        <w:tblStyle w:val="Table"/>
        <w:tblW w:type="pct" w:w="5000"/>
        <w:tblLayout w:type="fixed"/>
        <w:tblLook w:firstRow="0" w:lastRow="0" w:firstColumn="0" w:lastColumn="0" w:noHBand="0" w:noVBand="0" w:val="0000"/>
      </w:tblPr>
      <w:tblGrid>
        <w:gridCol w:w="7920"/>
      </w:tblGrid>
      <w:tr>
        <w:tc>
          <w:tcPr/>
          <w:bookmarkStart w:id="43" w:name="tbl-dem"/>
          <w:p>
            <w:pPr>
              <w:jc w:val="center"/>
            </w:pPr>
            <w:pPr>
              <w:jc w:val="start"/>
              <w:spacing w:before="200"/>
              <w:pStyle w:val="ImageCaption"/>
            </w:pPr>
            <w:r>
              <w:rPr>
                <w:b/>
                <w:bCs/>
              </w:rPr>
              <w:t xml:space="preserve">Table</w:t>
            </w:r>
            <w:r>
              <w:t xml:space="preserve"> 2</w:t>
            </w:r>
            <w:r>
              <w:rPr>
                <w:b/>
                <w:bCs/>
              </w:rPr>
              <w:t xml:space="preserve">.</w:t>
            </w:r>
            <w:r>
              <w:t xml:space="preserve"> </w:t>
            </w:r>
            <w:r>
              <w:rPr>
                <w:b/>
                <w:bCs/>
              </w:rPr>
              <w:t xml:space="preserve">Demographic and clinical characteristic of the study sample.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Variable</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Subject data (n = 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Gestational age,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28.8 ± 1.68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Corrected gestational age on scan day, weeks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40.36 ±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Number of male neonates (%)</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10 (52.63)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Birth weight,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1276.05 ± 294.87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Weight on scan day, g (mean ± SD)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3396.58 ± 597.72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spent in NICU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53, 23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Days on ventilation (median, IQR)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preserve">31, 28.5</w:t>
                  </w:r>
                </w:p>
              </w:tc>
            </w:tr>
            <w:tr>
              <w:trPr>
                <w:cantSplit/>
              </w:trPr>
              <w:tc>
                <w:tcPr>
                  <w:gridSpan w:val="2"/>
                </w:tcPr>
                <w:p>
                  <w:pPr>
                    <w:spacing w:before="0" w:after="60"/>
                    <w:keepNext/>
                  </w:pPr>
                  <w:r>
                    <w:rPr>
                      <w:rFonts w:ascii="Calibri" w:hAnsi="Calibri"/>
                      <w:sz w:val="20"/>
                    </w:rPr>
                    <w:t xml:space="default">SD = standard deviation; IQR = inter quartile range</w:t>
                  </w:r>
                </w:p>
              </w:tc>
            </w:tr>
          </w:tbl>
          <w:bookmarkEnd w:id="43"/>
        </w:tc>
      </w:tr>
    </w:tbl>
    <w:p>
      <w:pPr>
        <w:pStyle w:val="TextBody"/>
      </w:pPr>
      <w:r>
        <w:t xml:space="preserve">The mean SvO</w:t>
      </w:r>
      <w:r>
        <w:rPr>
          <w:vertAlign w:val="subscript"/>
        </w:rPr>
        <w:t xml:space="preserve">2</w:t>
      </w:r>
      <w:r>
        <w:t xml:space="preserve"> </w:t>
      </w:r>
      <w:r>
        <w:t xml:space="preserve">values for the SSS and the CCV were found to be 0.72</w:t>
      </w:r>
      <w:r>
        <w:t xml:space="preserve"> </w:t>
      </w:r>
      <m:oMath>
        <m:r>
          <m:rPr>
            <m:sty m:val="p"/>
          </m:rPr>
          <m:t>±</m:t>
        </m:r>
      </m:oMath>
      <w:r>
        <w:t xml:space="preserve"> </w:t>
      </w:r>
      <w:r>
        <w:t xml:space="preserve">0.03% and 0.69</w:t>
      </w:r>
      <w:r>
        <w:t xml:space="preserve"> </w:t>
      </w:r>
      <m:oMath>
        <m:r>
          <m:rPr>
            <m:sty m:val="p"/>
          </m:rPr>
          <m:t>±</m:t>
        </m:r>
      </m:oMath>
      <w:r>
        <w:t xml:space="preserve"> </w:t>
      </w:r>
      <w:r>
        <w:t xml:space="preserve">0.03%, respectively, when determined from the QSM data. When determined from the paramagnetic map, the mean SvO</w:t>
      </w:r>
      <w:r>
        <w:rPr>
          <w:vertAlign w:val="subscript"/>
        </w:rPr>
        <w:t xml:space="preserve">2</w:t>
      </w:r>
      <w:r>
        <w:t xml:space="preserve"> </w:t>
      </w:r>
      <w:r>
        <w:t xml:space="preserve">values for the SSS and the CCV were found to be 0.58</w:t>
      </w:r>
      <w:r>
        <w:t xml:space="preserve"> </w:t>
      </w:r>
      <m:oMath>
        <m:r>
          <m:rPr>
            <m:sty m:val="p"/>
          </m:rPr>
          <m:t>±</m:t>
        </m:r>
      </m:oMath>
      <w:r>
        <w:t xml:space="preserve"> </w:t>
      </w:r>
      <w:r>
        <w:t xml:space="preserve">0.07% and 0.58</w:t>
      </w:r>
      <w:r>
        <w:t xml:space="preserve"> </w:t>
      </w:r>
      <m:oMath>
        <m:r>
          <m:rPr>
            <m:sty m:val="p"/>
          </m:rPr>
          <m:t>±</m:t>
        </m:r>
      </m:oMath>
      <w:r>
        <w:t xml:space="preserve"> </w:t>
      </w:r>
      <w:r>
        <w:t xml:space="preserve">0.07%, respectively. A summary of the measured physiological parameters, including the chi values used to calculate SvO</w:t>
      </w:r>
      <w:r>
        <w:rPr>
          <w:vertAlign w:val="subscript"/>
        </w:rPr>
        <w:t xml:space="preserve">2</w:t>
      </w:r>
      <w:r>
        <w:t xml:space="preserve">, can found in</w:t>
      </w:r>
      <w:r>
        <w:t xml:space="preserve"> </w:t>
      </w:r>
      <w:hyperlink w:anchor="tbl-chistats">
        <w:r>
          <w:rPr>
            <w:rStyle w:val="Internet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4" w:name="tbl-chistats"/>
          <w:p>
            <w:pPr>
              <w:jc w:val="center"/>
            </w:pPr>
            <w:pPr>
              <w:jc w:val="start"/>
              <w:spacing w:before="200"/>
              <w:pStyle w:val="ImageCaption"/>
            </w:pPr>
            <w:r>
              <w:rPr>
                <w:b/>
                <w:bCs/>
              </w:rPr>
              <w:t xml:space="preserve">Table</w:t>
            </w:r>
            <w:r>
              <w:t xml:space="preserve"> 3</w:t>
            </w:r>
            <w:r>
              <w:rPr>
                <w:b/>
                <w:bCs/>
              </w:rPr>
              <w:t xml:space="preserve">.</w:t>
            </w:r>
            <w:r>
              <w:t xml:space="preserve"> </w:t>
            </w:r>
            <w:r>
              <w:rPr>
                <w:b/>
                <w:bCs/>
              </w:rPr>
              <w:t xml:space="preserve">Summary of acquired physiological parameters.</w:t>
            </w:r>
            <w:r>
              <w:t xml:space="preserve"> </w:t>
            </w:r>
            <w:r>
              <w:t xml:space="preserve">Mean</w:t>
            </w:r>
            <w:r>
              <w:t xml:space="preserve"> </w:t>
            </w:r>
            <m:oMath>
              <m:r>
                <m:rPr>
                  <m:sty m:val="p"/>
                </m:rPr>
                <m:t>±</m:t>
              </m:r>
            </m:oMath>
            <w:r>
              <w:t xml:space="preserve"> </w:t>
            </w:r>
            <w:r>
              <w:t xml:space="preserve">SD is shown for chi and SvO</w:t>
            </w:r>
            <w:r>
              <w:rPr>
                <w:vertAlign w:val="subscript"/>
              </w:rPr>
              <w:t xml:space="preserve">2</w:t>
            </w:r>
            <w:r>
              <w:t xml:space="preserve"> </w:t>
            </w:r>
            <w:r>
              <w:t xml:space="preserve">values. The P-value and 95% confidence interval (CI) were obtained through the comparison of values between QSM and paramagnetic maps; (n=19).</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Measure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QSM</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Paramagnetic map</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p-value</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95% CI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0.21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2.84e-11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72.46 ± 3.43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58.14 ±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6.12e-10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0.12, 0.17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Chi (ppm)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0.13 ± 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0.22 ± 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6.25e-09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-0.1, -0.07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SvO₂ (%)</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68.71 ± 3.46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57.69 ± 6.97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2.16e-09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0.09, 0.13</w:t>
                  </w:r>
                </w:p>
              </w:tc>
            </w:tr>
            <w:tr>
              <w:trPr>
                <w:cantSplit/>
              </w:trPr>
              <w:tc>
                <w:tcPr>
                  <w:gridSpan w:val="6"/>
                </w:tcPr>
                <w:p>
                  <w:pPr>
                    <w:spacing w:before="0" w:after="60"/>
                    <w:keepNext/>
                  </w:pPr>
                  <w:r>
                    <w:rPr>
                      <w:rFonts w:ascii="Calibri" w:hAnsi="Calibri"/>
                      <w:sz w:val="20"/>
                    </w:rPr>
                    <w:t xml:space="default">QSM = quantitative susceptibility mapping; CI = confidence interval; SSS = superior sagitall sinus; CCV = central cerebral vein</w:t>
                  </w:r>
                </w:p>
              </w:tc>
            </w:tr>
          </w:tbl>
          <w:bookmarkEnd w:id="44"/>
        </w:tc>
      </w:tr>
    </w:tbl>
    <w:p>
      <w:pPr>
        <w:pStyle w:val="TextBody"/>
      </w:pPr>
      <w:r>
        <w:t xml:space="preserve">Region-specific</w:t>
      </w:r>
      <w:r>
        <w:t xml:space="preserve"> </w:t>
      </w:r>
      <m:oMath>
        <m:r>
          <m:t>χ</m:t>
        </m:r>
      </m:oMath>
      <w:r>
        <w:t xml:space="preserve"> </w:t>
      </w:r>
      <w:r>
        <w:t xml:space="preserve">and SvO</w:t>
      </w:r>
      <w:r>
        <w:rPr>
          <w:vertAlign w:val="subscript"/>
        </w:rPr>
        <w:t xml:space="preserve">2</w:t>
      </w:r>
      <w:r>
        <w:t xml:space="preserve"> </w:t>
      </w:r>
      <w:r>
        <w:t xml:space="preserve">values acquired from QSM were compared to values acquired from paramagnetic maps. In both the SSS and CCV, it was found that a significant difference existed between values acquired (</w:t>
      </w:r>
      <m:oMath>
        <m:r>
          <m:t>χ</m:t>
        </m:r>
      </m:oMath>
      <w:r>
        <w:t xml:space="preserve"> </w:t>
      </w:r>
      <w:r>
        <w:t xml:space="preserve">and SvO</w:t>
      </w:r>
      <w:r>
        <w:rPr>
          <w:vertAlign w:val="subscript"/>
        </w:rPr>
        <w:t xml:space="preserve">2</w:t>
      </w:r>
      <w:r>
        <w:t xml:space="preserve">) from QSM and paramagnetic maps (p &lt; 0.05). A boxplot showing the comparisons made is shown in</w:t>
      </w:r>
      <w:r>
        <w:t xml:space="preserve"> </w:t>
      </w:r>
      <w:hyperlink w:anchor="fig-methodplot">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8" w:name="fig-methodplot"/>
          <w:p>
            <w:pPr>
              <w:pStyle w:val="Compact"/>
              <w:jc w:val="center"/>
            </w:pPr>
            <w:r>
              <w:drawing>
                <wp:inline>
                  <wp:extent cx="5943600" cy="3714749"/>
                  <wp:effectExtent b="0" l="0" r="0" t="0"/>
                  <wp:docPr descr="" title="" id="46" name="Picture"/>
                  <a:graphic>
                    <a:graphicData uri="http://schemas.openxmlformats.org/drawingml/2006/picture">
                      <pic:pic>
                        <pic:nvPicPr>
                          <pic:cNvPr descr="index_files/figure-docx/notebooks-gavin_thesis_markdown-fig-methodplot-output-1.png" id="47" name="Picture"/>
                          <pic:cNvPicPr>
                            <a:picLocks noChangeArrowheads="1" noChangeAspect="1"/>
                          </pic:cNvPicPr>
                        </pic:nvPicPr>
                        <pic:blipFill>
                          <a:blip r:embed="rId45"/>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3</w:t>
            </w:r>
            <w:r>
              <w:rPr>
                <w:b/>
                <w:bCs/>
              </w:rPr>
              <w:t xml:space="preserve">.</w:t>
            </w:r>
            <w:r>
              <w:t xml:space="preserve"> </w:t>
            </w:r>
            <w:r>
              <w:rPr>
                <w:b/>
                <w:bCs/>
              </w:rPr>
              <w:t xml:space="preserve">Vein-specific susceptibility and oxygen saturation values by method.</w:t>
            </w:r>
            <w:r>
              <w:t xml:space="preserve"> </w:t>
            </w:r>
            <w:r>
              <w:t xml:space="preserve">(A, B) contains violin plots comparing subject chi (ppm) acquired from the cerebral central veins; (C, D) contains violin plots comparing subject SvO2 (%) acquired from the superior sagittal sinus. Raw data points from paramagnetic maps are shown as filled green circles and raw data points from QSM are shown as filled orange circles. Each line connects the raw data points of a single subject. (***) indicates P&lt;0.05.</w:t>
            </w:r>
          </w:p>
          <w:bookmarkEnd w:id="48"/>
        </w:tc>
      </w:tr>
    </w:tbl>
    <w:p>
      <w:pPr>
        <w:pStyle w:val="TextBody"/>
      </w:pPr>
      <w:r>
        <w:t xml:space="preserve">The acquired</w:t>
      </w:r>
      <w:r>
        <w:t xml:space="preserve"> </w:t>
      </w:r>
      <m:oMath>
        <m:r>
          <m:t>χ</m:t>
        </m:r>
      </m:oMath>
      <w:r>
        <w:t xml:space="preserve"> </w:t>
      </w:r>
      <w:r>
        <w:t xml:space="preserve">and SvO</w:t>
      </w:r>
      <w:r>
        <w:rPr>
          <w:vertAlign w:val="subscript"/>
        </w:rPr>
        <w:t xml:space="preserve">2</w:t>
      </w:r>
      <w:r>
        <w:t xml:space="preserve"> </w:t>
      </w:r>
      <w:r>
        <w:t xml:space="preserve">values were additionally compared between veins. In data created from QSM, a significant difference was found between the CCV and SSS in mean</w:t>
      </w:r>
      <w:r>
        <w:t xml:space="preserve"> </w:t>
      </w:r>
      <m:oMath>
        <m:r>
          <m:t>χ</m:t>
        </m:r>
      </m:oMath>
      <w:r>
        <w:t xml:space="preserve"> </w:t>
      </w:r>
      <w:r>
        <w:t xml:space="preserve">(p &lt; 0.05; 95% CI [0.017, 0.04]) and mean SvO</w:t>
      </w:r>
      <w:r>
        <w:rPr>
          <w:vertAlign w:val="subscript"/>
        </w:rPr>
        <w:t xml:space="preserve">2</w:t>
      </w:r>
      <w:r>
        <w:t xml:space="preserve"> </w:t>
      </w:r>
      <w:r>
        <w:t xml:space="preserve">(p &lt; 0.05; 95% CI [-0.052, -0.023]). In data acquired from paramagnetic maps, no significant difference was observed between the CCV and the SSS in either mean</w:t>
      </w:r>
      <w:r>
        <w:t xml:space="preserve"> </w:t>
      </w:r>
      <m:oMath>
        <m:r>
          <m:t>χ</m:t>
        </m:r>
      </m:oMath>
      <w:r>
        <w:t xml:space="preserve"> </w:t>
      </w:r>
      <w:r>
        <w:t xml:space="preserve">(p = 0.711; 95% CI [-0.02, 0.029]) or mean SvO</w:t>
      </w:r>
      <w:r>
        <w:rPr>
          <w:vertAlign w:val="subscript"/>
        </w:rPr>
        <w:t xml:space="preserve">2</w:t>
      </w:r>
      <w:r>
        <w:t xml:space="preserve"> </w:t>
      </w:r>
      <w:r>
        <w:t xml:space="preserve">(p = 0.752; 95% CI [-0.034, 0.029]). A summary of these comparisons is represented in</w:t>
      </w:r>
      <w:r>
        <w:t xml:space="preserve"> </w:t>
      </w:r>
      <w:hyperlink w:anchor="fig-regionplot">
        <w:r>
          <w:rPr>
            <w:rStyle w:val="Internet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2" w:name="fig-regionplot"/>
          <w:p>
            <w:pPr>
              <w:pStyle w:val="Compact"/>
              <w:jc w:val="center"/>
            </w:pPr>
            <w:r>
              <w:drawing>
                <wp:inline>
                  <wp:extent cx="5943600" cy="3714749"/>
                  <wp:effectExtent b="0" l="0" r="0" t="0"/>
                  <wp:docPr descr="" title="" id="50" name="Picture"/>
                  <a:graphic>
                    <a:graphicData uri="http://schemas.openxmlformats.org/drawingml/2006/picture">
                      <pic:pic>
                        <pic:nvPicPr>
                          <pic:cNvPr descr="index_files/figure-docx/notebooks-gavin_thesis_markdown-fig-regionplot-output-1.png" id="51" name="Picture"/>
                          <pic:cNvPicPr>
                            <a:picLocks noChangeArrowheads="1" noChangeAspect="1"/>
                          </pic:cNvPicPr>
                        </pic:nvPicPr>
                        <pic:blipFill>
                          <a:blip r:embed="rId49"/>
                          <a:stretch>
                            <a:fillRect/>
                          </a:stretch>
                        </pic:blipFill>
                        <pic:spPr bwMode="auto">
                          <a:xfrm>
                            <a:off x="0" y="0"/>
                            <a:ext cx="5943600" cy="3714749"/>
                          </a:xfrm>
                          <a:prstGeom prst="rect">
                            <a:avLst/>
                          </a:prstGeom>
                          <a:noFill/>
                          <a:ln w="9525">
                            <a:noFill/>
                            <a:headEnd/>
                            <a:tailEnd/>
                          </a:ln>
                        </pic:spPr>
                      </pic:pic>
                    </a:graphicData>
                  </a:graphic>
                </wp:inline>
              </w:drawing>
            </w:r>
          </w:p>
          <w:p>
            <w:pPr>
              <w:jc w:val="center"/>
            </w:pPr>
            <w:pPr>
              <w:jc w:val="start"/>
              <w:spacing w:before="200"/>
              <w:pStyle w:val="ImageCaption"/>
            </w:pPr>
            <w:r>
              <w:rPr>
                <w:b/>
                <w:bCs/>
              </w:rPr>
              <w:t xml:space="preserve">Figure</w:t>
            </w:r>
            <w:r>
              <w:t xml:space="preserve"> 4</w:t>
            </w:r>
            <w:r>
              <w:rPr>
                <w:b/>
                <w:bCs/>
              </w:rPr>
              <w:t xml:space="preserve">.</w:t>
            </w:r>
            <w:r>
              <w:t xml:space="preserve"> </w:t>
            </w:r>
            <w:r>
              <w:rPr>
                <w:b/>
                <w:bCs/>
              </w:rPr>
              <w:t xml:space="preserve">Inter-venous comparisons of susceptibility and oxygen saturation</w:t>
            </w:r>
            <w:r>
              <w:t xml:space="preserve">. Violin plots comparing (A, C) chi (ppm) and (B, D) SvO2 (%) between the CCV and the SSS. Panels (A) and (B) used data acquired from QSM, and its raw data points are shown as filled orange circles. Panels (C) and (D) used data acquired from paramagnetic maps, and its raw data points are shown as filled green circles. Each line connects the raw data points of a single subject. (***) indicates p&lt;0.05; (n.s.) indicates no significant difference.</w:t>
            </w:r>
          </w:p>
          <w:bookmarkEnd w:id="52"/>
        </w:tc>
      </w:tr>
    </w:tbl>
    <w:bookmarkEnd w:id="53"/>
    <w:bookmarkStart w:id="57" w:name="sec-discussion"/>
    <w:p>
      <w:pPr>
        <w:pStyle w:val="Heading1"/>
      </w:pPr>
      <w:r>
        <w:t xml:space="preserve">Discussion</w:t>
      </w:r>
    </w:p>
    <w:p>
      <w:pPr>
        <w:pStyle w:val="FirstParagraph"/>
      </w:pPr>
      <w:r>
        <w:t xml:space="preserve">The primary objective of the present study was to assess whether the application of magnetic susceptibility separation to neonatal QSM data could provide more accurate SvO</w:t>
      </w:r>
      <w:r>
        <w:rPr>
          <w:vertAlign w:val="subscript"/>
        </w:rPr>
        <w:t xml:space="preserve">2</w:t>
      </w:r>
      <w:r>
        <w:t xml:space="preserve"> </w:t>
      </w:r>
      <w:r>
        <w:t xml:space="preserve">measurements without the need for an arbitrary threshold value. To the best of our knowledge, we are the first to test this in a neonatal cohort, as susceptibility separation has been typically evaluated as a method of imaging myelin and brain iron in adult subjects</w:t>
      </w:r>
      <w:r>
        <w:t xml:space="preserve"> </w:t>
      </w:r>
      <w:r>
        <w:t xml:space="preserve">(27,34)</w:t>
      </w:r>
      <w:r>
        <w:t xml:space="preserve">. Our results showed that the SvO</w:t>
      </w:r>
      <w:r>
        <w:rPr>
          <w:vertAlign w:val="subscript"/>
        </w:rPr>
        <w:t xml:space="preserve">2</w:t>
      </w:r>
      <w:r>
        <w:t xml:space="preserve"> </w:t>
      </w:r>
      <w:r>
        <w:t xml:space="preserve">values of the SSS and CCV obtained from susceptibility separation are significantly lower than the respective SvO</w:t>
      </w:r>
      <w:r>
        <w:rPr>
          <w:vertAlign w:val="subscript"/>
        </w:rPr>
        <w:t xml:space="preserve">2</w:t>
      </w:r>
      <w:r>
        <w:t xml:space="preserve"> </w:t>
      </w:r>
      <w:r>
        <w:t xml:space="preserve">values obtained from QSM alone. When our results were compared to the literature (see below), we found that our SSS SvO</w:t>
      </w:r>
      <w:r>
        <w:rPr>
          <w:vertAlign w:val="subscript"/>
        </w:rPr>
        <w:t xml:space="preserve">2</w:t>
      </w:r>
      <w:r>
        <w:t xml:space="preserve"> </w:t>
      </w:r>
      <w:r>
        <w:t xml:space="preserve">data from susceptibility separation agreed well with the findings of other studies measuring SvO</w:t>
      </w:r>
      <w:r>
        <w:rPr>
          <w:vertAlign w:val="subscript"/>
        </w:rPr>
        <w:t xml:space="preserve">2</w:t>
      </w:r>
      <w:r>
        <w:t xml:space="preserve"> </w:t>
      </w:r>
      <w:r>
        <w:t xml:space="preserve">of the SSS in similar subject populations. Conversely, the paramagnetic CCV SvO</w:t>
      </w:r>
      <w:r>
        <w:rPr>
          <w:vertAlign w:val="subscript"/>
        </w:rPr>
        <w:t xml:space="preserve">2</w:t>
      </w:r>
      <w:r>
        <w:t xml:space="preserve"> </w:t>
      </w:r>
      <w:r>
        <w:t xml:space="preserve">data saw less agreement with the existing literature than the corresponding data from QSM. However, there is reason to believe our paramagnetic CCV values may be accurate given their similarity to the paramagnetic SSS values and the limitations of the two studies that observed CCV SvO</w:t>
      </w:r>
      <w:r>
        <w:rPr>
          <w:vertAlign w:val="subscript"/>
        </w:rPr>
        <w:t xml:space="preserve">2</w:t>
      </w:r>
      <w:r>
        <w:t xml:space="preserve">. Additionally, it is important to note that our SvO</w:t>
      </w:r>
      <w:r>
        <w:rPr>
          <w:vertAlign w:val="subscript"/>
        </w:rPr>
        <w:t xml:space="preserve">2</w:t>
      </w:r>
      <w:r>
        <w:t xml:space="preserve"> </w:t>
      </w:r>
      <w:r>
        <w:t xml:space="preserve">measurements from susceptibility separation had greater variance than our measurements from QSM, indicating a limitation that should be addressed in future research. Overall, the present work demonstrates the promise of susceptibility separation as an MRI post-processing technique that can measure the oxygenation of the cerebral veins of infant subjects, a useful marker of regional oxygen consumption in the brain.</w:t>
      </w:r>
    </w:p>
    <w:bookmarkStart w:id="55" w:name="comparison-with-literature-values"/>
    <w:p>
      <w:pPr>
        <w:pStyle w:val="Heading2"/>
      </w:pPr>
      <w:r>
        <w:t xml:space="preserve">Comparison with literature values</w:t>
      </w:r>
    </w:p>
    <w:p>
      <w:pPr>
        <w:pStyle w:val="FirstParagraph"/>
      </w:pPr>
      <w:r>
        <w:t xml:space="preserve">To evaluate the validity of our results, we compared the mean SvO</w:t>
      </w:r>
      <w:r>
        <w:rPr>
          <w:vertAlign w:val="subscript"/>
        </w:rPr>
        <w:t xml:space="preserve">2</w:t>
      </w:r>
      <w:r>
        <w:t xml:space="preserve"> </w:t>
      </w:r>
      <w:r>
        <w:t xml:space="preserve">values we obtained through QSM and susceptibility separation to the mean SvO</w:t>
      </w:r>
      <w:r>
        <w:rPr>
          <w:vertAlign w:val="subscript"/>
        </w:rPr>
        <w:t xml:space="preserve">2</w:t>
      </w:r>
      <w:r>
        <w:t xml:space="preserve"> </w:t>
      </w:r>
      <w:r>
        <w:t xml:space="preserve">values found by MRI studies investigating the oxygenation of the SSS or the CCV. Notably, the number of studies that measure the SvO</w:t>
      </w:r>
      <w:r>
        <w:rPr>
          <w:vertAlign w:val="subscript"/>
        </w:rPr>
        <w:t xml:space="preserve">2</w:t>
      </w:r>
      <w:r>
        <w:t xml:space="preserve"> </w:t>
      </w:r>
      <w:r>
        <w:t xml:space="preserve">of the CCV, or any of its individual veins, in infants is fairly lower than the number of studies investigating the oxygenation of the SSS. Our comparison is summarized in</w:t>
      </w:r>
      <w:r>
        <w:t xml:space="preserve"> </w:t>
      </w:r>
      <w:hyperlink w:anchor="tbl-litvalues">
        <w:r>
          <w:rPr>
            <w:rStyle w:val="Internet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4" w:name="tbl-litvalues"/>
          <w:p>
            <w:pPr>
              <w:jc w:val="center"/>
            </w:pPr>
            <w:pPr>
              <w:jc w:val="start"/>
              <w:spacing w:before="200"/>
              <w:pStyle w:val="ImageCaption"/>
            </w:pPr>
            <w:r>
              <w:rPr>
                <w:b/>
                <w:bCs/>
              </w:rPr>
              <w:t xml:space="preserve">Table</w:t>
            </w:r>
            <w:r>
              <w:t xml:space="preserve"> 4</w:t>
            </w:r>
            <w:r>
              <w:rPr>
                <w:b/>
                <w:bCs/>
              </w:rPr>
              <w:t xml:space="preserve">.</w:t>
            </w:r>
            <w:r>
              <w:t xml:space="preserve"> </w:t>
            </w:r>
            <w:r>
              <w:rPr>
                <w:b/>
                <w:bCs/>
              </w:rPr>
              <w:t xml:space="preserve">Cerebral oxygenation values of neonates and fetuses in the literature.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Region</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Study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Subjects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Method</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SvO~2~ (\%)</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(n=9)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53.4 ± 15.4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Skov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Asphyxiated term </w:t>
                  </w:r>
                  \line 
                  <w:r>
                    <w:rPr>
                      <w:rFonts w:ascii="Calibri" w:hAnsi="Calibri"/>
                      <w:sz w:val="20"/>
                    </w:rPr>
                    <w:t xml:space="preserve">neonates (n=10)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NIRS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67.3 ± 9.4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Whole-brain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Altman et al. </w:t>
                  </w:r>
                  \line 
                  <w:r>
                    <w:rPr>
                      <w:rFonts w:ascii="Calibri" w:hAnsi="Calibri"/>
                      <w:sz w:val="20"/>
                    </w:rPr>
                    <w:t xml:space="preserve">(1993)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and term </w:t>
                  </w:r>
                  \line 
                  <w:r>
                    <w:rPr>
                      <w:rFonts w:ascii="Calibri" w:hAnsi="Calibri"/>
                      <w:sz w:val="20"/>
                    </w:rPr>
                    <w:t xml:space="preserve">neonates with HIE </w:t>
                  </w:r>
                  \line 
                  <w:r>
                    <w:rPr>
                      <w:rFonts w:ascii="Calibri" w:hAnsi="Calibri"/>
                      <w:sz w:val="20"/>
                    </w:rPr>
                    <w:t xml:space="preserve">(n=11)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PET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21.6 ± 21.0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Gou et al. </w:t>
                  </w:r>
                  \line 
                  <w:r>
                    <w:rPr>
                      <w:rFonts w:ascii="Calibri" w:hAnsi="Calibri"/>
                      <w:sz w:val="20"/>
                    </w:rPr>
                    <w:t xml:space="preserve">(2024)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TRUST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66.7 ± 4.9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w:t>
                  </w:r>
                  \line 
                  <w:r>
                    <w:rPr>
                      <w:rFonts w:ascii="Calibri" w:hAnsi="Calibri"/>
                      <w:sz w:val="20"/>
                    </w:rPr>
                    <w:t xml:space="preserve">(2019)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64.8 ±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De Vis et al. </w:t>
                  </w:r>
                  \line 
                  <w:r>
                    <w:rPr>
                      <w:rFonts w:ascii="Calibri" w:hAnsi="Calibri"/>
                      <w:sz w:val="20"/>
                    </w:rPr>
                    <w:t xml:space="preserve">(2014)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eonates (n=18)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T2-TRIR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52.0 ± 12.0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Yadav et al. </w:t>
                  </w:r>
                  \line 
                  <w:r>
                    <w:rPr>
                      <w:rFonts w:ascii="Calibri" w:hAnsi="Calibri"/>
                      <w:sz w:val="20"/>
                    </w:rPr>
                    <w:t xml:space="preserve">(2020)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Late third </w:t>
                  </w:r>
                  \line 
                  <w:r>
                    <w:rPr>
                      <w:rFonts w:ascii="Calibri" w:hAnsi="Calibri"/>
                      <w:sz w:val="20"/>
                    </w:rPr>
                    <w:t xml:space="preserve">trimester fetuses </w:t>
                  </w:r>
                  \line 
                  <w:r>
                    <w:rPr>
                      <w:rFonts w:ascii="Calibri" w:hAnsi="Calibri"/>
                      <w:sz w:val="20"/>
                    </w:rPr>
                    <w:t xml:space="preserve">(n=33)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Susceptometry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58.6 ± 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\textbf{This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72.46 ± 3.43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SSS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\textbf{This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$\chi$-separation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58.14 ± 7.3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Preterm neonates </w:t>
                  </w:r>
                  \line 
                  <w:r>
                    <w:rPr>
                      <w:rFonts w:ascii="Calibri" w:hAnsi="Calibri"/>
                      <w:sz w:val="20"/>
                    </w:rPr>
                    <w:t xml:space="preserve">with HIE (n=8)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72.2 ± 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Weber et al. (2021)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73.6 ± 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Jiang et al. (2019)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Healthy neonates </w:t>
                  </w:r>
                  \line 
                  <w:r>
                    <w:rPr>
                      <w:rFonts w:ascii="Calibri" w:hAnsi="Calibri"/>
                      <w:sz w:val="20"/>
                    </w:rPr>
                    <w:t xml:space="preserve">(n=4)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aTRUPC</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70.2 ± 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\textbf{This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QSM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68.71 ± 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CCV</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\textbf{This study}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PT-TEA </w:t>
                  </w:r>
                  \line 
                  <w:r>
                    <w:rPr>
                      <w:rFonts w:ascii="Calibri" w:hAnsi="Calibri"/>
                      <w:sz w:val="20"/>
                    </w:rPr>
                    <w:t xml:space="preserve">neonates </w:t>
                  </w:r>
                  \line 
                  <w:r>
                    <w:rPr>
                      <w:rFonts w:ascii="Calibri" w:hAnsi="Calibri"/>
                      <w:sz w:val="20"/>
                    </w:rPr>
                    <w:t xml:space="preserve">n=19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MRI: </w:t>
                  </w:r>
                  \line 
                  <w:r>
                    <w:rPr>
                      <w:rFonts w:ascii="Calibri" w:hAnsi="Calibri"/>
                      <w:sz w:val="20"/>
                    </w:rPr>
                    <w:t xml:space="preserve">$\chi$-separation</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57.69 ± 6.97</w:t>
                  </w:r>
                </w:p>
              </w:tc>
            </w:tr>
            <w:tr>
              <w:trPr>
                <w:cantSplit/>
              </w:trPr>
              <w:tc>
                <w:tcPr>
                  <w:gridSpan w:val="5"/>
                </w:tcPr>
                <w:p>
                  <w:pPr>
                    <w:spacing w:before="0" w:after="60"/>
                    <w:keepNext/>
                  </w:pPr>
                  <w:r>
                    <w:rPr>
                      <w:rFonts w:ascii="Calibri" w:hAnsi="Calibri"/>
                      <w:sz w:val="20"/>
                    </w:rPr>
                    <w:t xml:space="default">PT-TEA = born preterm and scanned at term-equivalent age; late third trimester = &gt;35 weeks gestational age; HIE = hypoxic-ischemic encephalopathy; TRUST = T2-relaxation-under-spin tagging; aTRUPC = accelerated T2-relaxation-under-phase-contrast; T2-TRIR = T2-tissue-relaxation-inversion-recovery; SWI = susceptibility weighted imaging.</w:t>
                  </w:r>
                </w:p>
              </w:tc>
            </w:tr>
          </w:tbl>
          <w:bookmarkEnd w:id="54"/>
        </w:tc>
      </w:tr>
    </w:tbl>
    <w:p>
      <w:pPr>
        <w:pStyle w:val="TextBody"/>
      </w:pPr>
      <w:r>
        <w:t xml:space="preserve">As shown in</w:t>
      </w:r>
      <w:r>
        <w:t xml:space="preserve"> </w:t>
      </w:r>
      <w:hyperlink w:anchor="tbl-litvalues">
        <w:r>
          <w:rPr>
            <w:rStyle w:val="InternetLink"/>
          </w:rPr>
          <w:t xml:space="preserve">Table 4</w:t>
        </w:r>
      </w:hyperlink>
      <w:r>
        <w:t xml:space="preserve">, the infants observed in MRI studies investigating cerebral vein oxygenation noticeably differ in clinical status, with three studies involving healthy neonates</w:t>
      </w:r>
      <w:r>
        <w:t xml:space="preserve"> </w:t>
      </w:r>
      <w:r>
        <w:t xml:space="preserve">(16,18,35)</w:t>
      </w:r>
      <w:r>
        <w:t xml:space="preserve">, three studies (including the present study) involving preterm neonates</w:t>
      </w:r>
      <w:r>
        <w:t xml:space="preserve"> </w:t>
      </w:r>
      <w:r>
        <w:t xml:space="preserve">(12,18)</w:t>
      </w:r>
      <w:r>
        <w:t xml:space="preserve">, and one study involving late third trimester fetuses</w:t>
      </w:r>
      <w:r>
        <w:t xml:space="preserve"> </w:t>
      </w:r>
      <w:r>
        <w:t xml:space="preserve">(29)</w:t>
      </w:r>
      <w:r>
        <w:t xml:space="preserve">. In the studies involving healthy neonates, the SvO</w:t>
      </w:r>
      <w:r>
        <w:rPr>
          <w:vertAlign w:val="subscript"/>
        </w:rPr>
        <w:t xml:space="preserve">2</w:t>
      </w:r>
      <w:r>
        <w:t xml:space="preserve"> </w:t>
      </w:r>
      <w:r>
        <w:t xml:space="preserve">of the SSS fell within the range of 64.8% – 66.6%</w:t>
      </w:r>
      <w:r>
        <w:t xml:space="preserve"> </w:t>
      </w:r>
      <w:r>
        <w:t xml:space="preserve">(16,35)</w:t>
      </w:r>
      <w:r>
        <w:t xml:space="preserve">, while the SvO</w:t>
      </w:r>
      <w:r>
        <w:rPr>
          <w:vertAlign w:val="subscript"/>
        </w:rPr>
        <w:t xml:space="preserve">2</w:t>
      </w:r>
      <w:r>
        <w:t xml:space="preserve"> </w:t>
      </w:r>
      <w:r>
        <w:t xml:space="preserve">of the CCV fell within the range of 70.2% - 73.6%</w:t>
      </w:r>
      <w:r>
        <w:t xml:space="preserve"> </w:t>
      </w:r>
      <w:r>
        <w:t xml:space="preserve">(16,18)</w:t>
      </w:r>
      <w:r>
        <w:t xml:space="preserve">. Notably, the SvO</w:t>
      </w:r>
      <w:r>
        <w:rPr>
          <w:vertAlign w:val="subscript"/>
        </w:rPr>
        <w:t xml:space="preserve">2</w:t>
      </w:r>
      <w:r>
        <w:t xml:space="preserve"> </w:t>
      </w:r>
      <w:r>
        <w:t xml:space="preserve">value of the SSS we obtained from susceptibility separation (58.14%) was closest to values obtained from the studies involving late third trimester fetuses</w:t>
      </w:r>
      <w:r>
        <w:t xml:space="preserve"> </w:t>
      </w:r>
      <w:r>
        <w:t xml:space="preserve">(36)</w:t>
      </w:r>
      <w:r>
        <w:t xml:space="preserve"> </w:t>
      </w:r>
      <w:r>
        <w:t xml:space="preserve">or pre-term neonates</w:t>
      </w:r>
      <w:r>
        <w:t xml:space="preserve"> </w:t>
      </w:r>
      <w:r>
        <w:t xml:space="preserve">(12)</w:t>
      </w:r>
      <w:r>
        <w:t xml:space="preserve">, each finding an SSS SvO</w:t>
      </w:r>
      <w:r>
        <w:rPr>
          <w:vertAlign w:val="subscript"/>
        </w:rPr>
        <w:t xml:space="preserve">2</w:t>
      </w:r>
      <w:r>
        <w:t xml:space="preserve"> </w:t>
      </w:r>
      <w:r>
        <w:t xml:space="preserve">value of 58.6% and 52.0%, respectively. It is important to note the difference in MRI modalities used to obtain these values. For their study,</w:t>
      </w:r>
      <w:r>
        <w:t xml:space="preserve"> </w:t>
      </w:r>
      <w:r>
        <w:t xml:space="preserve">(36)</w:t>
      </w:r>
      <w:r>
        <w:t xml:space="preserve"> </w:t>
      </w:r>
      <w:r>
        <w:t xml:space="preserve">used MR susceptometry, which involves measuring the difference in phase between the chosen vessel and its background in imaging data from an SWI scanning sequence</w:t>
      </w:r>
      <w:r>
        <w:t xml:space="preserve"> </w:t>
      </w:r>
      <w:r>
        <w:t xml:space="preserve">(36)</w:t>
      </w:r>
      <w:r>
        <w:t xml:space="preserve">. In</w:t>
      </w:r>
      <w:r>
        <w:t xml:space="preserve"> </w:t>
      </w:r>
      <w:r>
        <w:t xml:space="preserve">(12)</w:t>
      </w:r>
      <w:r>
        <w:t xml:space="preserve">, the authors used T2-TRIR, which allowed them to determine the transverse relaxation rate of blood within the vessel, which can be used alongside hematocrit data to estimate SvO</w:t>
      </w:r>
      <w:r>
        <w:rPr>
          <w:vertAlign w:val="subscript"/>
        </w:rPr>
        <w:t xml:space="preserve">2</w:t>
      </w:r>
      <w:r>
        <w:t xml:space="preserve">. Additionally, the GA of infants scanned in our study ranged between 37 and 44 weeks, while the GA of the fetuses scanned in</w:t>
      </w:r>
      <w:r>
        <w:t xml:space="preserve"> </w:t>
      </w:r>
      <w:r>
        <w:t xml:space="preserve">(36)</w:t>
      </w:r>
      <w:r>
        <w:t xml:space="preserve"> </w:t>
      </w:r>
      <w:r>
        <w:t xml:space="preserve">was ≥35 weeks and the GA of infants scanned in</w:t>
      </w:r>
      <w:r>
        <w:t xml:space="preserve"> </w:t>
      </w:r>
      <w:r>
        <w:t xml:space="preserve">(12)</w:t>
      </w:r>
      <w:r>
        <w:t xml:space="preserve"> </w:t>
      </w:r>
      <w:r>
        <w:t xml:space="preserve">ranged between 38 and 40 weeks. As such, our SSS SvO</w:t>
      </w:r>
      <w:r>
        <w:rPr>
          <w:vertAlign w:val="subscript"/>
        </w:rPr>
        <w:t xml:space="preserve">2</w:t>
      </w:r>
      <w:r>
        <w:t xml:space="preserve"> </w:t>
      </w:r>
      <w:r>
        <w:t xml:space="preserve">values found through susceptibility separation show promise given their similarity to the SvO</w:t>
      </w:r>
      <w:r>
        <w:rPr>
          <w:vertAlign w:val="subscript"/>
        </w:rPr>
        <w:t xml:space="preserve">2</w:t>
      </w:r>
      <w:r>
        <w:t xml:space="preserve"> </w:t>
      </w:r>
      <w:r>
        <w:t xml:space="preserve">values found by</w:t>
      </w:r>
      <w:r>
        <w:t xml:space="preserve"> </w:t>
      </w:r>
      <w:r>
        <w:t xml:space="preserve">(36)</w:t>
      </w:r>
      <w:r>
        <w:t xml:space="preserve"> </w:t>
      </w:r>
      <w:r>
        <w:t xml:space="preserve">and</w:t>
      </w:r>
      <w:r>
        <w:t xml:space="preserve"> </w:t>
      </w:r>
      <w:r>
        <w:t xml:space="preserve">(12)</w:t>
      </w:r>
      <w:r>
        <w:t xml:space="preserve">, two studies that involved comparable subject populations and used considerably different methods.</w:t>
      </w:r>
    </w:p>
    <w:p>
      <w:pPr>
        <w:pStyle w:val="TextBody"/>
      </w:pPr>
      <w:r>
        <w:t xml:space="preserve">Conversely, the SvO</w:t>
      </w:r>
      <w:r>
        <w:rPr>
          <w:vertAlign w:val="subscript"/>
        </w:rPr>
        <w:t xml:space="preserve">2</w:t>
      </w:r>
      <w:r>
        <w:t xml:space="preserve"> </w:t>
      </w:r>
      <w:r>
        <w:t xml:space="preserve">value of the CCV we obtained through QSM (68.71%) was closest to values from similar studies in the literature. In</w:t>
      </w:r>
      <w:r>
        <w:t xml:space="preserve"> </w:t>
      </w:r>
      <w:r>
        <w:t xml:space="preserve">(18)</w:t>
      </w:r>
      <w:r>
        <w:t xml:space="preserve">, QSM was used to measure an SvO</w:t>
      </w:r>
      <w:r>
        <w:rPr>
          <w:vertAlign w:val="subscript"/>
        </w:rPr>
        <w:t xml:space="preserve">2</w:t>
      </w:r>
      <w:r>
        <w:t xml:space="preserve"> </w:t>
      </w:r>
      <w:r>
        <w:t xml:space="preserve">of 71.5% in preterm neonates with HIE and an SvO</w:t>
      </w:r>
      <w:r>
        <w:rPr>
          <w:vertAlign w:val="subscript"/>
        </w:rPr>
        <w:t xml:space="preserve">2</w:t>
      </w:r>
      <w:r>
        <w:t xml:space="preserve"> </w:t>
      </w:r>
      <w:r>
        <w:t xml:space="preserve">of 73.6% in healthy neonates. In their study,</w:t>
      </w:r>
      <w:r>
        <w:t xml:space="preserve"> </w:t>
      </w:r>
      <w:r>
        <w:t xml:space="preserve">(16)</w:t>
      </w:r>
      <w:r>
        <w:t xml:space="preserve"> </w:t>
      </w:r>
      <w:r>
        <w:t xml:space="preserve">also involved healthy neonates and obtained an SvO</w:t>
      </w:r>
      <w:r>
        <w:rPr>
          <w:vertAlign w:val="subscript"/>
        </w:rPr>
        <w:t xml:space="preserve">2</w:t>
      </w:r>
      <w:r>
        <w:t xml:space="preserve"> </w:t>
      </w:r>
      <w:r>
        <w:t xml:space="preserve">of 70.2% through an accelerated TRUPC sequence. In contrast, the SvO</w:t>
      </w:r>
      <w:r>
        <w:rPr>
          <w:vertAlign w:val="subscript"/>
        </w:rPr>
        <w:t xml:space="preserve">2</w:t>
      </w:r>
      <w:r>
        <w:t xml:space="preserve"> </w:t>
      </w:r>
      <w:r>
        <w:t xml:space="preserve">of the CCV we obtained through susceptibility separation was 57.69%. This disparity from the literature, however, may not undermine the value we obtained, as the study design of</w:t>
      </w:r>
      <w:r>
        <w:t xml:space="preserve"> </w:t>
      </w:r>
      <w:r>
        <w:t xml:space="preserve">(18)</w:t>
      </w:r>
      <w:r>
        <w:t xml:space="preserve"> </w:t>
      </w:r>
      <w:r>
        <w:t xml:space="preserve">and</w:t>
      </w:r>
      <w:r>
        <w:t xml:space="preserve"> </w:t>
      </w:r>
      <w:r>
        <w:t xml:space="preserve">(16)</w:t>
      </w:r>
      <w:r>
        <w:t xml:space="preserve"> </w:t>
      </w:r>
      <w:r>
        <w:t xml:space="preserve">may prevent their values from being representative of the study demographic. In</w:t>
      </w:r>
      <w:r>
        <w:t xml:space="preserve"> </w:t>
      </w:r>
      <w:r>
        <w:t xml:space="preserve">(18)</w:t>
      </w:r>
      <w:r>
        <w:t xml:space="preserve">, the authors utilized an arbitrary 0.15 ppm threshold and included all</w:t>
      </w:r>
      <w:r>
        <w:t xml:space="preserve"> </w:t>
      </w:r>
      <m:oMath>
        <m:r>
          <m:t>χ</m:t>
        </m:r>
      </m:oMath>
      <w:r>
        <w:t xml:space="preserve"> </w:t>
      </w:r>
      <w:r>
        <w:t xml:space="preserve">values above 0.15 when measuring the mean</w:t>
      </w:r>
      <w:r>
        <w:t xml:space="preserve"> </w:t>
      </w:r>
      <m:oMath>
        <m:r>
          <m:t>χ</m:t>
        </m:r>
      </m:oMath>
      <w:r>
        <w:t xml:space="preserve"> </w:t>
      </w:r>
      <w:r>
        <w:t xml:space="preserve">of the CCV, which potentially led to the introduction of</w:t>
      </w:r>
      <w:r>
        <w:t xml:space="preserve"> </w:t>
      </w:r>
      <m:oMath>
        <m:r>
          <m:t>χ</m:t>
        </m:r>
      </m:oMath>
      <w:r>
        <w:t xml:space="preserve"> </w:t>
      </w:r>
      <w:r>
        <w:t xml:space="preserve">from veins outside the CCV. In</w:t>
      </w:r>
      <w:r>
        <w:t xml:space="preserve"> </w:t>
      </w:r>
      <w:r>
        <w:t xml:space="preserve">(16)</w:t>
      </w:r>
      <w:r>
        <w:t xml:space="preserve">, the authors acquired their data from 4 subjects, a notably small sample size. Given the limitations of the existing literature and the similarity of the mean paramagnetic CCV SvO</w:t>
      </w:r>
      <w:r>
        <w:rPr>
          <w:vertAlign w:val="subscript"/>
        </w:rPr>
        <w:t xml:space="preserve">2</w:t>
      </w:r>
      <w:r>
        <w:t xml:space="preserve"> </w:t>
      </w:r>
      <w:r>
        <w:t xml:space="preserve">value (57.69%) to the mean paramagnetic SSS SvO</w:t>
      </w:r>
      <w:r>
        <w:rPr>
          <w:vertAlign w:val="subscript"/>
        </w:rPr>
        <w:t xml:space="preserve">2</w:t>
      </w:r>
      <w:r>
        <w:t xml:space="preserve"> </w:t>
      </w:r>
      <w:r>
        <w:t xml:space="preserve">value (58.14%), it is plausible that susceptibility separation provides more accurate measurements of oxygenation in both cortical and subcortical veins. One reason for this is due to its ability to mitigate partial volume effects, which are likely to contaminate other methods resulting in inaccurate CSvO</w:t>
      </w:r>
      <w:r>
        <w:rPr>
          <w:vertAlign w:val="subscript"/>
        </w:rPr>
        <w:t xml:space="preserve">2</w:t>
      </w:r>
      <w:r>
        <w:t xml:space="preserve"> </w:t>
      </w:r>
      <w:r>
        <w:t xml:space="preserve">values</w:t>
      </w:r>
      <w:r>
        <w:t xml:space="preserve"> </w:t>
      </w:r>
      <w:r>
        <w:t xml:space="preserve">(27)</w:t>
      </w:r>
      <w:r>
        <w:t xml:space="preserve">.</w:t>
      </w:r>
    </w:p>
    <w:p>
      <w:pPr>
        <w:pStyle w:val="TextBody"/>
      </w:pPr>
      <w:r>
        <w:t xml:space="preserve">Another notable distinction between our findings and those of the existing literature was that we observed no significant oxygenation difference between the SSS and the CCV when</w:t>
      </w:r>
      <w:r>
        <w:t xml:space="preserve"> </w:t>
      </w:r>
      <m:oMath>
        <m:r>
          <m:t>χ</m:t>
        </m:r>
      </m:oMath>
      <w:r>
        <w:t xml:space="preserve"> </w:t>
      </w:r>
      <w:r>
        <w:t xml:space="preserve">was derived from paramagnetic maps.</w:t>
      </w:r>
      <w:r>
        <w:t xml:space="preserve"> </w:t>
      </w:r>
      <w:r>
        <w:t xml:space="preserve">(16)</w:t>
      </w:r>
      <w:r>
        <w:t xml:space="preserve">, the only other study that also measured SvO</w:t>
      </w:r>
      <w:r>
        <w:rPr>
          <w:vertAlign w:val="subscript"/>
        </w:rPr>
        <w:t xml:space="preserve">2</w:t>
      </w:r>
      <w:r>
        <w:t xml:space="preserve"> </w:t>
      </w:r>
      <w:r>
        <w:t xml:space="preserve">in both the SSS and CCV, observed significantly lower oxygenation in the SSS (64.8%) when compared to the CCV (70.2%). Given the small sample size utilized by</w:t>
      </w:r>
      <w:r>
        <w:t xml:space="preserve"> </w:t>
      </w:r>
      <w:r>
        <w:t xml:space="preserve">(16)</w:t>
      </w:r>
      <w:r>
        <w:t xml:space="preserve">, it is difficult to ascertain whether this is generalizable to all neonates.</w:t>
      </w:r>
    </w:p>
    <w:bookmarkEnd w:id="55"/>
    <w:bookmarkStart w:id="56" w:name="limitations-and-future-directions"/>
    <w:p>
      <w:pPr>
        <w:pStyle w:val="Heading2"/>
      </w:pPr>
      <w:r>
        <w:t xml:space="preserve">Limitations and future directions</w:t>
      </w:r>
    </w:p>
    <w:p>
      <w:pPr>
        <w:pStyle w:val="FirstParagraph"/>
      </w:pPr>
      <w:r>
        <w:t xml:space="preserve">This study has a few limitations that should be considered for future research. Firstly, only 19 infants were recruited for scanning. Given the emotional toll placed on parents when their child is born preterm, it is understandable that they may show reluctance in consenting to further testing that is not medically necessary. Obtaining a larger sample size in future studies, however, may provide greater insight into the efficacy of susceptibility separation. Secondly, this study did not include healthy neonates born at term, resulting in a lack of a control cohort. This is because recruiting healthy controls when there is no contraindication is very difficult. The addition of such a group may provide further validity to any findings and may reveal potential differences in cerebral oxygen consumption between term and preterm neonates. Finally, future studies should consider the use of multi-echo T2 imaging data when performing the decomposition of QSM images. The toolbox applied by this study for QSM decomposition</w:t>
      </w:r>
      <w:r>
        <w:t xml:space="preserve"> </w:t>
      </w:r>
      <w:r>
        <w:t xml:space="preserve">(27)</w:t>
      </w:r>
      <w:r>
        <w:t xml:space="preserve"> </w:t>
      </w:r>
      <w:r>
        <w:t xml:space="preserve">utilizes R2 data, which can be obtained from multi-echo T2 imaging. Our study protocol involved the collection of multi-echo SWI imaging data, and as such, we could only use R2</w:t>
      </w:r>
      <w:r>
        <w:rPr>
          <w:vertAlign w:val="superscript"/>
        </w:rPr>
        <w:t xml:space="preserve">*</w:t>
      </w:r>
      <w:r>
        <w:t xml:space="preserve"> </w:t>
      </w:r>
      <w:r>
        <w:t xml:space="preserve">data to perform the decomposition. Furthermore, this may account for the reduced precision of SvO</w:t>
      </w:r>
      <w:r>
        <w:rPr>
          <w:vertAlign w:val="subscript"/>
        </w:rPr>
        <w:t xml:space="preserve">2</w:t>
      </w:r>
      <w:r>
        <w:t xml:space="preserve"> </w:t>
      </w:r>
      <w:r>
        <w:t xml:space="preserve">values obtained through susceptibility separation.</w:t>
      </w:r>
    </w:p>
    <w:bookmarkEnd w:id="56"/>
    <w:bookmarkEnd w:id="57"/>
    <w:bookmarkStart w:id="58" w:name="sec-conclusion"/>
    <w:p>
      <w:pPr>
        <w:pStyle w:val="Heading1"/>
      </w:pPr>
      <w:r>
        <w:t xml:space="preserve">Conclusion</w:t>
      </w:r>
    </w:p>
    <w:p>
      <w:pPr>
        <w:pStyle w:val="FirstParagraph"/>
      </w:pPr>
      <w:r>
        <w:t xml:space="preserve">This study aimed to evaluate how the use of susceptibility separation on preterm neonatal QSM images in order to provide greater accuracy in determining the oxygenation of cerebral venous vessels. We compared venous specific SvO</w:t>
      </w:r>
      <w:r>
        <w:rPr>
          <w:vertAlign w:val="subscript"/>
        </w:rPr>
        <w:t xml:space="preserve">2</w:t>
      </w:r>
      <w:r>
        <w:t xml:space="preserve"> </w:t>
      </w:r>
      <w:r>
        <w:t xml:space="preserve">values obtained from QSM images and their respective paramagnetic components to SvO</w:t>
      </w:r>
      <w:r>
        <w:rPr>
          <w:vertAlign w:val="subscript"/>
        </w:rPr>
        <w:t xml:space="preserve">2</w:t>
      </w:r>
      <w:r>
        <w:t xml:space="preserve"> </w:t>
      </w:r>
      <w:r>
        <w:t xml:space="preserve">values from neonatal MRI studies. We found that susceptibility separation provided SvO</w:t>
      </w:r>
      <w:r>
        <w:rPr>
          <w:vertAlign w:val="subscript"/>
        </w:rPr>
        <w:t xml:space="preserve">2</w:t>
      </w:r>
      <w:r>
        <w:t xml:space="preserve"> </w:t>
      </w:r>
      <w:r>
        <w:t xml:space="preserve">values of the SSS that were comparable to values found in the literature, providing evidence that this processing technique may be a valid tool for measuring regional cerebral oxygen consumption. Additionally, we were able to simultaneously measure SvO</w:t>
      </w:r>
      <w:r>
        <w:rPr>
          <w:vertAlign w:val="subscript"/>
        </w:rPr>
        <w:t xml:space="preserve">2</w:t>
      </w:r>
      <w:r>
        <w:t xml:space="preserve"> </w:t>
      </w:r>
      <w:r>
        <w:t xml:space="preserve">in both the SSS and CCV, which permitted us to observe no difference in oxygenation between the two vessels when considering data from isolated paramagnetic components. Ultimately, we hope our work inspires future studies that seek to explore and improve the capabilities of magnetic susceptibility separation, culminating in the development of a tool for clinicians and researchers alike.</w:t>
      </w:r>
    </w:p>
    <w:bookmarkEnd w:id="58"/>
    <w:bookmarkStart w:id="129" w:name="references"/>
    <w:p>
      <w:pPr>
        <w:pStyle w:val="Heading1"/>
      </w:pPr>
      <w:r>
        <w:t xml:space="preserve">References</w:t>
      </w:r>
    </w:p>
    <w:bookmarkStart w:id="128" w:name="refs"/>
    <w:bookmarkStart w:id="60" w:name="X49e15ea137bd1324737a91e5bc6ca8354ddc210"/>
    <w:p>
      <w:pPr>
        <w:pStyle w:val="Bibliography"/>
      </w:pPr>
      <w:r>
        <w:t xml:space="preserve">1.</w:t>
      </w:r>
      <w:r>
        <w:t xml:space="preserve"> </w:t>
      </w:r>
      <w:r>
        <w:t xml:space="preserve">	</w:t>
      </w:r>
      <w:r>
        <w:t xml:space="preserve">McKenzie K, Lynch E, Msall ME.</w:t>
      </w:r>
      <w:r>
        <w:t xml:space="preserve"> </w:t>
      </w:r>
      <w:hyperlink r:id="rId59">
        <w:r>
          <w:rPr>
            <w:rStyle w:val="InternetLink"/>
          </w:rPr>
          <w:t xml:space="preserve">Scaffolding</w:t>
        </w:r>
        <w:r>
          <w:rPr>
            <w:rStyle w:val="InternetLink"/>
          </w:rPr>
          <w:t xml:space="preserve"> </w:t>
        </w:r>
        <w:r>
          <w:rPr>
            <w:rStyle w:val="InternetLink"/>
          </w:rPr>
          <w:t xml:space="preserve">Parenting</w:t>
        </w:r>
        <w:r>
          <w:rPr>
            <w:rStyle w:val="InternetLink"/>
          </w:rPr>
          <w:t xml:space="preserve"> </w:t>
        </w:r>
        <w:r>
          <w:rPr>
            <w:rStyle w:val="InternetLink"/>
          </w:rPr>
          <w:t xml:space="preserve">and</w:t>
        </w:r>
        <w:r>
          <w:rPr>
            <w:rStyle w:val="InternetLink"/>
          </w:rPr>
          <w:t xml:space="preserve"> </w:t>
        </w:r>
        <w:r>
          <w:rPr>
            <w:rStyle w:val="InternetLink"/>
          </w:rPr>
          <w:t xml:space="preserve">Health Development</w:t>
        </w:r>
        <w:r>
          <w:rPr>
            <w:rStyle w:val="InternetLink"/>
          </w:rPr>
          <w:t xml:space="preserve"> </w:t>
        </w:r>
        <w:r>
          <w:rPr>
            <w:rStyle w:val="InternetLink"/>
          </w:rPr>
          <w:t xml:space="preserve">for</w:t>
        </w:r>
        <w:r>
          <w:rPr>
            <w:rStyle w:val="InternetLink"/>
          </w:rPr>
          <w:t xml:space="preserve"> </w:t>
        </w:r>
        <w:r>
          <w:rPr>
            <w:rStyle w:val="InternetLink"/>
          </w:rPr>
          <w:t xml:space="preserve">Preterm Flourishing Across</w:t>
        </w:r>
        <w:r>
          <w:rPr>
            <w:rStyle w:val="InternetLink"/>
          </w:rPr>
          <w:t xml:space="preserve"> </w:t>
        </w:r>
        <w:r>
          <w:rPr>
            <w:rStyle w:val="InternetLink"/>
          </w:rPr>
          <w:t xml:space="preserve">the</w:t>
        </w:r>
        <w:r>
          <w:rPr>
            <w:rStyle w:val="InternetLink"/>
          </w:rPr>
          <w:t xml:space="preserve"> </w:t>
        </w:r>
        <w:r>
          <w:rPr>
            <w:rStyle w:val="InternetLink"/>
          </w:rPr>
          <w:t xml:space="preserve">Life Course</w:t>
        </w:r>
      </w:hyperlink>
      <w:r>
        <w:t xml:space="preserve">. Pediatrics 2022;149:e2021053509K.</w:t>
      </w:r>
      <w:r>
        <w:t xml:space="preserve"> </w:t>
      </w:r>
    </w:p>
    <w:bookmarkEnd w:id="60"/>
    <w:bookmarkStart w:id="62" w:name="X9289ec7f6e0e5fce4f3a96bab776b081609fd89"/>
    <w:p>
      <w:pPr>
        <w:pStyle w:val="Bibliography"/>
      </w:pPr>
      <w:r>
        <w:t xml:space="preserve">2.</w:t>
      </w:r>
      <w:r>
        <w:t xml:space="preserve"> </w:t>
      </w:r>
      <w:r>
        <w:t xml:space="preserve">	</w:t>
      </w:r>
      <w:r>
        <w:t xml:space="preserve">Twilhaar ES, Wade RM, De Kieviet JF, Van Goudoever JB, Van Elburg RM, Oosterlaan J.</w:t>
      </w:r>
      <w:r>
        <w:t xml:space="preserve"> </w:t>
      </w:r>
      <w:hyperlink r:id="rId61">
        <w:r>
          <w:rPr>
            <w:rStyle w:val="InternetLink"/>
          </w:rPr>
          <w:t xml:space="preserve">Cognitive</w:t>
        </w:r>
        <w:r>
          <w:rPr>
            <w:rStyle w:val="InternetLink"/>
          </w:rPr>
          <w:t xml:space="preserve"> </w:t>
        </w:r>
        <w:r>
          <w:rPr>
            <w:rStyle w:val="InternetLink"/>
          </w:rPr>
          <w:t xml:space="preserve">Outcomes</w:t>
        </w:r>
        <w:r>
          <w:rPr>
            <w:rStyle w:val="InternetLink"/>
          </w:rPr>
          <w:t xml:space="preserve"> </w:t>
        </w:r>
        <w:r>
          <w:rPr>
            <w:rStyle w:val="InternetLink"/>
          </w:rPr>
          <w:t xml:space="preserve">of</w:t>
        </w:r>
        <w:r>
          <w:rPr>
            <w:rStyle w:val="InternetLink"/>
          </w:rPr>
          <w:t xml:space="preserve"> </w:t>
        </w:r>
        <w:r>
          <w:rPr>
            <w:rStyle w:val="InternetLink"/>
          </w:rPr>
          <w:t xml:space="preserve">Children Born Extremely</w:t>
        </w:r>
        <w:r>
          <w:rPr>
            <w:rStyle w:val="InternetLink"/>
          </w:rPr>
          <w:t xml:space="preserve"> </w:t>
        </w:r>
        <w:r>
          <w:rPr>
            <w:rStyle w:val="InternetLink"/>
          </w:rPr>
          <w:t xml:space="preserve">or</w:t>
        </w:r>
        <w:r>
          <w:rPr>
            <w:rStyle w:val="InternetLink"/>
          </w:rPr>
          <w:t xml:space="preserve"> </w:t>
        </w:r>
        <w:r>
          <w:rPr>
            <w:rStyle w:val="InternetLink"/>
          </w:rPr>
          <w:t xml:space="preserve">Very Preterm Since</w:t>
        </w:r>
        <w:r>
          <w:rPr>
            <w:rStyle w:val="InternetLink"/>
          </w:rPr>
          <w:t xml:space="preserve"> </w:t>
        </w:r>
        <w:r>
          <w:rPr>
            <w:rStyle w:val="InternetLink"/>
          </w:rPr>
          <w:t xml:space="preserve">the 1990s and</w:t>
        </w:r>
        <w:r>
          <w:rPr>
            <w:rStyle w:val="InternetLink"/>
          </w:rPr>
          <w:t xml:space="preserve"> </w:t>
        </w:r>
        <w:r>
          <w:rPr>
            <w:rStyle w:val="InternetLink"/>
          </w:rPr>
          <w:t xml:space="preserve">Associated Risk Factors</w:t>
        </w:r>
        <w:r>
          <w:rPr>
            <w:rStyle w:val="InternetLink"/>
          </w:rPr>
          <w:t xml:space="preserve">:</w:t>
        </w:r>
        <w:r>
          <w:rPr>
            <w:rStyle w:val="InternetLink"/>
          </w:rPr>
          <w:t xml:space="preserve"> </w:t>
        </w:r>
        <w:r>
          <w:rPr>
            <w:rStyle w:val="InternetLink"/>
          </w:rPr>
          <w:t xml:space="preserve">A Meta-analysis</w:t>
        </w:r>
        <w:r>
          <w:rPr>
            <w:rStyle w:val="InternetLink"/>
          </w:rPr>
          <w:t xml:space="preserve"> </w:t>
        </w:r>
        <w:r>
          <w:rPr>
            <w:rStyle w:val="InternetLink"/>
          </w:rPr>
          <w:t xml:space="preserve">and</w:t>
        </w:r>
        <w:r>
          <w:rPr>
            <w:rStyle w:val="InternetLink"/>
          </w:rPr>
          <w:t xml:space="preserve"> </w:t>
        </w:r>
        <w:r>
          <w:rPr>
            <w:rStyle w:val="InternetLink"/>
          </w:rPr>
          <w:t xml:space="preserve">Meta-regression</w:t>
        </w:r>
      </w:hyperlink>
      <w:r>
        <w:t xml:space="preserve">. JAMA Pediatrics 2018;172:361.</w:t>
      </w:r>
      <w:r>
        <w:t xml:space="preserve"> </w:t>
      </w:r>
    </w:p>
    <w:bookmarkEnd w:id="62"/>
    <w:bookmarkStart w:id="64" w:name="ref-rantakariEarlyOxygenLevels2021"/>
    <w:p>
      <w:pPr>
        <w:pStyle w:val="Bibliography"/>
      </w:pPr>
      <w:r>
        <w:t xml:space="preserve">3.</w:t>
      </w:r>
      <w:r>
        <w:t xml:space="preserve"> </w:t>
      </w:r>
      <w:r>
        <w:t xml:space="preserve">	</w:t>
      </w:r>
      <w:r>
        <w:t xml:space="preserve">Rantakari K, Rinta-Koski O-P, Metsäranta M, et al.</w:t>
      </w:r>
      <w:r>
        <w:t xml:space="preserve"> </w:t>
      </w:r>
      <w:hyperlink r:id="rId63">
        <w:r>
          <w:rPr>
            <w:rStyle w:val="InternetLink"/>
          </w:rPr>
          <w:t xml:space="preserve">Early oxygen levels contribute to brain injury in extremely preterm infants</w:t>
        </w:r>
      </w:hyperlink>
      <w:r>
        <w:t xml:space="preserve">. Pediatric Research 2021;90:131–9.</w:t>
      </w:r>
      <w:r>
        <w:t xml:space="preserve"> </w:t>
      </w:r>
    </w:p>
    <w:bookmarkEnd w:id="64"/>
    <w:bookmarkStart w:id="65" w:name="ref-mintunBrainOxygenUtilization1984"/>
    <w:p>
      <w:pPr>
        <w:pStyle w:val="Bibliography"/>
      </w:pPr>
      <w:r>
        <w:t xml:space="preserve">4.</w:t>
      </w:r>
      <w:r>
        <w:t xml:space="preserve"> </w:t>
      </w:r>
      <w:r>
        <w:t xml:space="preserve">	</w:t>
      </w:r>
      <w:r>
        <w:t xml:space="preserve">Mintun MA, Raichie ME, Martin WRW, Herscovitch P. Brain oxygen utilization measured with</w:t>
      </w:r>
      <w:r>
        <w:t xml:space="preserve"> </w:t>
      </w:r>
      <w:r>
        <w:t xml:space="preserve">O-15</w:t>
      </w:r>
      <w:r>
        <w:t xml:space="preserve"> </w:t>
      </w:r>
      <w:r>
        <w:t xml:space="preserve">radiotracers and positron emission tomography. Journal of Nuclear Medicine 1984;25:177–87.</w:t>
      </w:r>
      <w:r>
        <w:t xml:space="preserve"> </w:t>
      </w:r>
    </w:p>
    <w:bookmarkEnd w:id="65"/>
    <w:bookmarkStart w:id="67" w:name="ref-altmanCerebralBloodFlow1988"/>
    <w:p>
      <w:pPr>
        <w:pStyle w:val="Bibliography"/>
      </w:pPr>
      <w:r>
        <w:t xml:space="preserve">5.</w:t>
      </w:r>
      <w:r>
        <w:t xml:space="preserve"> </w:t>
      </w:r>
      <w:r>
        <w:t xml:space="preserve">	</w:t>
      </w:r>
      <w:r>
        <w:t xml:space="preserve">Altman DI, Powers WJ, Perlman JM, Herscovitch P, Volpe SL, Volpe JJ.</w:t>
      </w:r>
      <w:r>
        <w:t xml:space="preserve"> </w:t>
      </w:r>
      <w:hyperlink r:id="rId66">
        <w:r>
          <w:rPr>
            <w:rStyle w:val="InternetLink"/>
          </w:rPr>
          <w:t xml:space="preserve">Cerebral blood flow requirement for brain viability in newborn infants is lower than in adults</w:t>
        </w:r>
      </w:hyperlink>
      <w:r>
        <w:t xml:space="preserve">. Annals of Neurology 1988;24:218–26.</w:t>
      </w:r>
      <w:r>
        <w:t xml:space="preserve"> </w:t>
      </w:r>
    </w:p>
    <w:bookmarkEnd w:id="67"/>
    <w:bookmarkStart w:id="69" w:name="ref-skovEstimationCerebralVenous1993"/>
    <w:p>
      <w:pPr>
        <w:pStyle w:val="Bibliography"/>
      </w:pPr>
      <w:r>
        <w:t xml:space="preserve">6.</w:t>
      </w:r>
      <w:r>
        <w:t xml:space="preserve"> </w:t>
      </w:r>
      <w:r>
        <w:t xml:space="preserve">	</w:t>
      </w:r>
      <w:r>
        <w:t xml:space="preserve">Skov L, Pryds O, Greisen G, Lou H.</w:t>
      </w:r>
      <w:r>
        <w:t xml:space="preserve"> </w:t>
      </w:r>
      <w:hyperlink r:id="rId68">
        <w:r>
          <w:rPr>
            <w:rStyle w:val="InternetLink"/>
          </w:rPr>
          <w:t xml:space="preserve">Estimation of cerebral venous saturation in newborn infants by near infrared spectroscopy</w:t>
        </w:r>
      </w:hyperlink>
      <w:r>
        <w:t xml:space="preserve">. Pediatric Research 1993;33:52–5.</w:t>
      </w:r>
      <w:r>
        <w:t xml:space="preserve"> </w:t>
      </w:r>
    </w:p>
    <w:bookmarkEnd w:id="69"/>
    <w:bookmarkStart w:id="71" w:name="X7895657cb417c1235eb454593c69b082443abee"/>
    <w:p>
      <w:pPr>
        <w:pStyle w:val="Bibliography"/>
      </w:pPr>
      <w:r>
        <w:t xml:space="preserve">7.</w:t>
      </w:r>
      <w:r>
        <w:t xml:space="preserve"> </w:t>
      </w:r>
      <w:r>
        <w:t xml:space="preserve">	</w:t>
      </w:r>
      <w:r>
        <w:t xml:space="preserve">Wray S, Cope M, Delpy DT, Wyatt JS, Reynolds EOR.</w:t>
      </w:r>
      <w:r>
        <w:t xml:space="preserve"> </w:t>
      </w:r>
      <w:hyperlink r:id="rId70">
        <w:r>
          <w:rPr>
            <w:rStyle w:val="InternetLink"/>
          </w:rPr>
          <w:t xml:space="preserve">Characterization of the near infrared absorption spectra of cytochrome</w:t>
        </w:r>
        <w:r>
          <w:rPr>
            <w:rStyle w:val="InternetLink"/>
          </w:rPr>
          <w:t xml:space="preserve"> </w:t>
        </w:r>
        <w:r>
          <w:rPr>
            <w:rStyle w:val="InternetLink"/>
            <w:i/>
            <w:iCs/>
          </w:rPr>
          <w:t xml:space="preserve">Aa3</w:t>
        </w:r>
        <w:r>
          <w:rPr>
            <w:rStyle w:val="InternetLink"/>
          </w:rPr>
          <w:t xml:space="preserve"> </w:t>
        </w:r>
        <w:r>
          <w:rPr>
            <w:rStyle w:val="InternetLink"/>
          </w:rPr>
          <w:t xml:space="preserve">and haemoglobin for the non-invasive monitoring of cerebral oxygenation</w:t>
        </w:r>
      </w:hyperlink>
      <w:r>
        <w:t xml:space="preserve">. Biochimica et Biophysica Acta (BBA) - Bioenergetics 1988;933:184–92.</w:t>
      </w:r>
      <w:r>
        <w:t xml:space="preserve"> </w:t>
      </w:r>
    </w:p>
    <w:bookmarkEnd w:id="71"/>
    <w:bookmarkStart w:id="73" w:name="ref-boasDiffuseOpticalImaging2004"/>
    <w:p>
      <w:pPr>
        <w:pStyle w:val="Bibliography"/>
      </w:pPr>
      <w:r>
        <w:t xml:space="preserve">8.</w:t>
      </w:r>
      <w:r>
        <w:t xml:space="preserve"> </w:t>
      </w:r>
      <w:r>
        <w:t xml:space="preserve">	</w:t>
      </w:r>
      <w:r>
        <w:t xml:space="preserve">Boas DA, Dale AM, Franceschini MA.</w:t>
      </w:r>
      <w:r>
        <w:t xml:space="preserve"> </w:t>
      </w:r>
      <w:hyperlink r:id="rId72">
        <w:r>
          <w:rPr>
            <w:rStyle w:val="InternetLink"/>
          </w:rPr>
          <w:t xml:space="preserve">Diffuse optical imaging of brain activation: Approaches to optimizing image sensitivity, resolution, and accuracy</w:t>
        </w:r>
      </w:hyperlink>
      <w:r>
        <w:t xml:space="preserve">. NeuroImage 2004;23:S275–88.</w:t>
      </w:r>
      <w:r>
        <w:t xml:space="preserve"> </w:t>
      </w:r>
    </w:p>
    <w:bookmarkEnd w:id="73"/>
    <w:bookmarkStart w:id="75" w:name="ref-jainRapidMagneticResonance2011"/>
    <w:p>
      <w:pPr>
        <w:pStyle w:val="Bibliography"/>
      </w:pPr>
      <w:r>
        <w:t xml:space="preserve">9.</w:t>
      </w:r>
      <w:r>
        <w:t xml:space="preserve"> </w:t>
      </w:r>
      <w:r>
        <w:t xml:space="preserve">	</w:t>
      </w:r>
      <w:r>
        <w:t xml:space="preserve">Jain V, Langham MC, Floyd TF, Jain G, Magland JF, Wehrli FW.</w:t>
      </w:r>
      <w:r>
        <w:t xml:space="preserve"> </w:t>
      </w:r>
      <w:hyperlink r:id="rId74">
        <w:r>
          <w:rPr>
            <w:rStyle w:val="InternetLink"/>
          </w:rPr>
          <w:t xml:space="preserve">Rapid magnetic resonance measurement of global cerebral metabolic rate of oxygen consumption in humans during rest and hypercapnia</w:t>
        </w:r>
      </w:hyperlink>
      <w:r>
        <w:t xml:space="preserve">. Journal of Cerebral Blood Flow &amp; Metabolism 2011;31:1504–12.</w:t>
      </w:r>
      <w:r>
        <w:t xml:space="preserve"> </w:t>
      </w:r>
    </w:p>
    <w:bookmarkEnd w:id="75"/>
    <w:bookmarkStart w:id="77" w:name="Xdd87e6070759e3a175623de62eea38ae2bbb5d8"/>
    <w:p>
      <w:pPr>
        <w:pStyle w:val="Bibliography"/>
      </w:pPr>
      <w:r>
        <w:t xml:space="preserve">10.</w:t>
      </w:r>
      <w:r>
        <w:t xml:space="preserve"> </w:t>
      </w:r>
      <w:r>
        <w:t xml:space="preserve">	</w:t>
      </w:r>
      <w:r>
        <w:t xml:space="preserve">Lu H, Ge Y.</w:t>
      </w:r>
      <w:r>
        <w:t xml:space="preserve"> </w:t>
      </w:r>
      <w:hyperlink r:id="rId76">
        <w:r>
          <w:rPr>
            <w:rStyle w:val="InternetLink"/>
          </w:rPr>
          <w:t xml:space="preserve">Quantitative evaluation of oxygenation in venous vessels using</w:t>
        </w:r>
        <w:r>
          <w:rPr>
            <w:rStyle w:val="InternetLink"/>
          </w:rPr>
          <w:t xml:space="preserve"> </w:t>
        </w:r>
        <w:r>
          <w:rPr>
            <w:rStyle w:val="InternetLink"/>
          </w:rPr>
          <w:t xml:space="preserve">T2-Relaxation-Under-Spin-Tagging MRI</w:t>
        </w:r>
      </w:hyperlink>
      <w:r>
        <w:t xml:space="preserve">. Magnetic Resonance in Medicine 2008;60:357–63.</w:t>
      </w:r>
      <w:r>
        <w:t xml:space="preserve"> </w:t>
      </w:r>
    </w:p>
    <w:bookmarkEnd w:id="77"/>
    <w:bookmarkStart w:id="79" w:name="Xac8b31d5d63c6848af93bee355903810fe6affa"/>
    <w:p>
      <w:pPr>
        <w:pStyle w:val="Bibliography"/>
      </w:pPr>
      <w:r>
        <w:t xml:space="preserve">11.</w:t>
      </w:r>
      <w:r>
        <w:t xml:space="preserve"> </w:t>
      </w:r>
      <w:r>
        <w:t xml:space="preserve">	</w:t>
      </w:r>
      <w:r>
        <w:t xml:space="preserve">Xu F, Ge Y, Lu H.</w:t>
      </w:r>
      <w:r>
        <w:t xml:space="preserve"> </w:t>
      </w:r>
      <w:hyperlink r:id="rId78">
        <w:r>
          <w:rPr>
            <w:rStyle w:val="InternetLink"/>
          </w:rPr>
          <w:t xml:space="preserve">Noninvasive quantification of whole-brain cerebral metabolic rate of oxygen (</w:t>
        </w:r>
        <w:r>
          <w:rPr>
            <w:rStyle w:val="InternetLink"/>
          </w:rPr>
          <w:t xml:space="preserve">CMRO2</w:t>
        </w:r>
        <w:r>
          <w:rPr>
            <w:rStyle w:val="InternetLink"/>
          </w:rPr>
          <w:t xml:space="preserve">) by</w:t>
        </w:r>
        <w:r>
          <w:rPr>
            <w:rStyle w:val="InternetLink"/>
          </w:rPr>
          <w:t xml:space="preserve"> </w:t>
        </w:r>
        <w:r>
          <w:rPr>
            <w:rStyle w:val="InternetLink"/>
          </w:rPr>
          <w:t xml:space="preserve">MRI</w:t>
        </w:r>
      </w:hyperlink>
      <w:r>
        <w:t xml:space="preserve">. Magnetic Resonance in Medicine 2009;62:141–8.</w:t>
      </w:r>
      <w:r>
        <w:t xml:space="preserve"> </w:t>
      </w:r>
    </w:p>
    <w:bookmarkEnd w:id="79"/>
    <w:bookmarkStart w:id="81" w:name="ref-devisNoninvasiveMRIMeasurements2014"/>
    <w:p>
      <w:pPr>
        <w:pStyle w:val="Bibliography"/>
      </w:pPr>
      <w:r>
        <w:t xml:space="preserve">12.</w:t>
      </w:r>
      <w:r>
        <w:t xml:space="preserve"> </w:t>
      </w:r>
      <w:r>
        <w:t xml:space="preserve">	</w:t>
      </w:r>
      <w:r>
        <w:t xml:space="preserve">De Vis JB, Petersen ET, Alderliesten T, et al.</w:t>
      </w:r>
      <w:r>
        <w:t xml:space="preserve"> </w:t>
      </w:r>
      <w:hyperlink r:id="rId80">
        <w:r>
          <w:rPr>
            <w:rStyle w:val="InternetLink"/>
          </w:rPr>
          <w:t xml:space="preserve">Non-invasive</w:t>
        </w:r>
        <w:r>
          <w:rPr>
            <w:rStyle w:val="InternetLink"/>
          </w:rPr>
          <w:t xml:space="preserve"> </w:t>
        </w:r>
        <w:r>
          <w:rPr>
            <w:rStyle w:val="InternetLink"/>
          </w:rPr>
          <w:t xml:space="preserve">MRI</w:t>
        </w:r>
        <w:r>
          <w:rPr>
            <w:rStyle w:val="InternetLink"/>
          </w:rPr>
          <w:t xml:space="preserve"> </w:t>
        </w:r>
        <w:r>
          <w:rPr>
            <w:rStyle w:val="InternetLink"/>
          </w:rPr>
          <w:t xml:space="preserve">measurements of venous oxygenation, oxygen extraction fraction and oxygen consumption in neonates</w:t>
        </w:r>
      </w:hyperlink>
      <w:r>
        <w:t xml:space="preserve">. NeuroImage 2014;95:185–92.</w:t>
      </w:r>
      <w:r>
        <w:t xml:space="preserve"> </w:t>
      </w:r>
    </w:p>
    <w:bookmarkEnd w:id="81"/>
    <w:bookmarkStart w:id="83" w:name="ref-liuQuantitativeAssessmentGlobal2014"/>
    <w:p>
      <w:pPr>
        <w:pStyle w:val="Bibliography"/>
      </w:pPr>
      <w:r>
        <w:t xml:space="preserve">13.</w:t>
      </w:r>
      <w:r>
        <w:t xml:space="preserve"> </w:t>
      </w:r>
      <w:r>
        <w:t xml:space="preserve">	</w:t>
      </w:r>
      <w:r>
        <w:t xml:space="preserve">Liu P, Huang H, Rollins N, et al.</w:t>
      </w:r>
      <w:r>
        <w:t xml:space="preserve"> </w:t>
      </w:r>
      <w:hyperlink r:id="rId82">
        <w:r>
          <w:rPr>
            <w:rStyle w:val="InternetLink"/>
          </w:rPr>
          <w:t xml:space="preserve">Quantitative assessment of global cerebral metabolic rate of oxygen (</w:t>
        </w:r>
        <w:r>
          <w:rPr>
            <w:rStyle w:val="InternetLink"/>
          </w:rPr>
          <w:t xml:space="preserve">CMRO2</w:t>
        </w:r>
        <w:r>
          <w:rPr>
            <w:rStyle w:val="InternetLink"/>
          </w:rPr>
          <w:t xml:space="preserve">) in neonates using</w:t>
        </w:r>
        <w:r>
          <w:rPr>
            <w:rStyle w:val="InternetLink"/>
          </w:rPr>
          <w:t xml:space="preserve"> </w:t>
        </w:r>
        <w:r>
          <w:rPr>
            <w:rStyle w:val="InternetLink"/>
          </w:rPr>
          <w:t xml:space="preserve">MRI</w:t>
        </w:r>
      </w:hyperlink>
      <w:r>
        <w:t xml:space="preserve">. NMR in biomedicine 2014;27:332–40.</w:t>
      </w:r>
      <w:r>
        <w:t xml:space="preserve"> </w:t>
      </w:r>
    </w:p>
    <w:bookmarkEnd w:id="83"/>
    <w:bookmarkStart w:id="85" w:name="ref-qiHemodynamicMetabolicAssessment2018"/>
    <w:p>
      <w:pPr>
        <w:pStyle w:val="Bibliography"/>
      </w:pPr>
      <w:r>
        <w:t xml:space="preserve">14.</w:t>
      </w:r>
      <w:r>
        <w:t xml:space="preserve"> </w:t>
      </w:r>
      <w:r>
        <w:t xml:space="preserve">	</w:t>
      </w:r>
      <w:r>
        <w:t xml:space="preserve">Qi Y, Liu P, Lin Z, Lu H, Wang X.</w:t>
      </w:r>
      <w:r>
        <w:t xml:space="preserve"> </w:t>
      </w:r>
      <w:hyperlink r:id="rId84">
        <w:r>
          <w:rPr>
            <w:rStyle w:val="InternetLink"/>
          </w:rPr>
          <w:t xml:space="preserve">Hemodynamic and</w:t>
        </w:r>
        <w:r>
          <w:rPr>
            <w:rStyle w:val="InternetLink"/>
          </w:rPr>
          <w:t xml:space="preserve"> </w:t>
        </w:r>
        <w:r>
          <w:rPr>
            <w:rStyle w:val="InternetLink"/>
          </w:rPr>
          <w:t xml:space="preserve">Metabolic Assessment</w:t>
        </w:r>
        <w:r>
          <w:rPr>
            <w:rStyle w:val="InternetLink"/>
          </w:rPr>
          <w:t xml:space="preserve"> </w:t>
        </w:r>
        <w:r>
          <w:rPr>
            <w:rStyle w:val="InternetLink"/>
          </w:rPr>
          <w:t xml:space="preserve">of</w:t>
        </w:r>
        <w:r>
          <w:rPr>
            <w:rStyle w:val="InternetLink"/>
          </w:rPr>
          <w:t xml:space="preserve"> </w:t>
        </w:r>
        <w:r>
          <w:rPr>
            <w:rStyle w:val="InternetLink"/>
          </w:rPr>
          <w:t xml:space="preserve">Neonates With Punctate White Matter Lesions Using Phase-Contrast MRI</w:t>
        </w:r>
        <w:r>
          <w:rPr>
            <w:rStyle w:val="InternetLink"/>
          </w:rPr>
          <w:t xml:space="preserve"> </w:t>
        </w:r>
        <w:r>
          <w:rPr>
            <w:rStyle w:val="InternetLink"/>
          </w:rPr>
          <w:t xml:space="preserve">and</w:t>
        </w:r>
        <w:r>
          <w:rPr>
            <w:rStyle w:val="InternetLink"/>
          </w:rPr>
          <w:t xml:space="preserve"> </w:t>
        </w:r>
        <w:r>
          <w:rPr>
            <w:rStyle w:val="InternetLink"/>
          </w:rPr>
          <w:t xml:space="preserve">T2-Relaxation-Under-Spin-Tagging</w:t>
        </w:r>
        <w:r>
          <w:rPr>
            <w:rStyle w:val="InternetLink"/>
          </w:rPr>
          <w:t xml:space="preserve"> </w:t>
        </w:r>
        <w:r>
          <w:rPr>
            <w:rStyle w:val="InternetLink"/>
          </w:rPr>
          <w:t xml:space="preserve">(</w:t>
        </w:r>
        <w:r>
          <w:rPr>
            <w:rStyle w:val="InternetLink"/>
          </w:rPr>
          <w:t xml:space="preserve">TRUST</w:t>
        </w:r>
        <w:r>
          <w:rPr>
            <w:rStyle w:val="InternetLink"/>
          </w:rPr>
          <w:t xml:space="preserve">)</w:t>
        </w:r>
        <w:r>
          <w:rPr>
            <w:rStyle w:val="InternetLink"/>
          </w:rPr>
          <w:t xml:space="preserve"> </w:t>
        </w:r>
        <w:r>
          <w:rPr>
            <w:rStyle w:val="InternetLink"/>
          </w:rPr>
          <w:t xml:space="preserve">MRI</w:t>
        </w:r>
      </w:hyperlink>
      <w:r>
        <w:t xml:space="preserve">. Frontiers in Physiology 2018;9:233.</w:t>
      </w:r>
      <w:r>
        <w:t xml:space="preserve"> </w:t>
      </w:r>
    </w:p>
    <w:bookmarkEnd w:id="85"/>
    <w:bookmarkStart w:id="87" w:name="ref-jainCerebralOxygenMetabolism2014"/>
    <w:p>
      <w:pPr>
        <w:pStyle w:val="Bibliography"/>
      </w:pPr>
      <w:r>
        <w:t xml:space="preserve">15.</w:t>
      </w:r>
      <w:r>
        <w:t xml:space="preserve"> </w:t>
      </w:r>
      <w:r>
        <w:t xml:space="preserve">	</w:t>
      </w:r>
      <w:r>
        <w:t xml:space="preserve">Jain V, Buckley EM, Licht DJ, et al.</w:t>
      </w:r>
      <w:r>
        <w:t xml:space="preserve"> </w:t>
      </w:r>
      <w:hyperlink r:id="rId86">
        <w:r>
          <w:rPr>
            <w:rStyle w:val="InternetLink"/>
          </w:rPr>
          <w:t xml:space="preserve">Cerebral oxygen metabolism in neonates with congenital heart disease quantified by</w:t>
        </w:r>
        <w:r>
          <w:rPr>
            <w:rStyle w:val="InternetLink"/>
          </w:rPr>
          <w:t xml:space="preserve"> </w:t>
        </w:r>
        <w:r>
          <w:rPr>
            <w:rStyle w:val="InternetLink"/>
          </w:rPr>
          <w:t xml:space="preserve">MRI</w:t>
        </w:r>
        <w:r>
          <w:rPr>
            <w:rStyle w:val="InternetLink"/>
          </w:rPr>
          <w:t xml:space="preserve"> </w:t>
        </w:r>
        <w:r>
          <w:rPr>
            <w:rStyle w:val="InternetLink"/>
          </w:rPr>
          <w:t xml:space="preserve">and optics</w:t>
        </w:r>
      </w:hyperlink>
      <w:r>
        <w:t xml:space="preserve">. Journal of Cerebral Blood Flow and Metabolism: Official Journal of the International Society of Cerebral Blood Flow and Metabolism 2014;34:380–8.</w:t>
      </w:r>
      <w:r>
        <w:t xml:space="preserve"> </w:t>
      </w:r>
    </w:p>
    <w:bookmarkEnd w:id="87"/>
    <w:bookmarkStart w:id="89" w:name="X0728e73a9ebdf5d82f0ed01d8a8b0e70c4ece6b"/>
    <w:p>
      <w:pPr>
        <w:pStyle w:val="Bibliography"/>
      </w:pPr>
      <w:r>
        <w:t xml:space="preserve">16.</w:t>
      </w:r>
      <w:r>
        <w:t xml:space="preserve"> </w:t>
      </w:r>
      <w:r>
        <w:t xml:space="preserve">	</w:t>
      </w:r>
      <w:r>
        <w:t xml:space="preserve">Jiang D, Lu H, Parkinson C, et al.</w:t>
      </w:r>
      <w:r>
        <w:t xml:space="preserve"> </w:t>
      </w:r>
      <w:hyperlink r:id="rId88">
        <w:r>
          <w:rPr>
            <w:rStyle w:val="InternetLink"/>
          </w:rPr>
          <w:t xml:space="preserve">Vessel-specific</w:t>
        </w:r>
        <w:r>
          <w:rPr>
            <w:rStyle w:val="InternetLink"/>
          </w:rPr>
          <w:t xml:space="preserve"> </w:t>
        </w:r>
        <w:r>
          <w:rPr>
            <w:rStyle w:val="InternetLink"/>
          </w:rPr>
          <w:t xml:space="preserve">Quantification</w:t>
        </w:r>
        <w:r>
          <w:rPr>
            <w:rStyle w:val="InternetLink"/>
          </w:rPr>
          <w:t xml:space="preserve"> </w:t>
        </w:r>
        <w:r>
          <w:rPr>
            <w:rStyle w:val="InternetLink"/>
          </w:rPr>
          <w:t xml:space="preserve">of</w:t>
        </w:r>
        <w:r>
          <w:rPr>
            <w:rStyle w:val="InternetLink"/>
          </w:rPr>
          <w:t xml:space="preserve"> </w:t>
        </w:r>
        <w:r>
          <w:rPr>
            <w:rStyle w:val="InternetLink"/>
          </w:rPr>
          <w:t xml:space="preserve">Neonatal Cerebral Venous Oxygenation</w:t>
        </w:r>
      </w:hyperlink>
      <w:r>
        <w:t xml:space="preserve">. Magnetic resonance in medicine 2019;82:1129–39.</w:t>
      </w:r>
      <w:r>
        <w:t xml:space="preserve"> </w:t>
      </w:r>
    </w:p>
    <w:bookmarkEnd w:id="89"/>
    <w:bookmarkStart w:id="91" w:name="ref-jainMRIEstimationGlobal2010"/>
    <w:p>
      <w:pPr>
        <w:pStyle w:val="Bibliography"/>
      </w:pPr>
      <w:r>
        <w:t xml:space="preserve">17.</w:t>
      </w:r>
      <w:r>
        <w:t xml:space="preserve"> </w:t>
      </w:r>
      <w:r>
        <w:t xml:space="preserve">	</w:t>
      </w:r>
      <w:r>
        <w:t xml:space="preserve">Jain V, Langham MC, Wehrli FW.</w:t>
      </w:r>
      <w:r>
        <w:t xml:space="preserve"> </w:t>
      </w:r>
      <w:hyperlink r:id="rId90">
        <w:r>
          <w:rPr>
            <w:rStyle w:val="InternetLink"/>
          </w:rPr>
          <w:t xml:space="preserve">MRI</w:t>
        </w:r>
        <w:r>
          <w:rPr>
            <w:rStyle w:val="InternetLink"/>
          </w:rPr>
          <w:t xml:space="preserve"> </w:t>
        </w:r>
        <w:r>
          <w:rPr>
            <w:rStyle w:val="InternetLink"/>
          </w:rPr>
          <w:t xml:space="preserve">estimation of global brain oxygen consumption rate</w:t>
        </w:r>
      </w:hyperlink>
      <w:r>
        <w:t xml:space="preserve">. Journal of Cerebral Blood Flow and Metabolism: Official Journal of the International Society of Cerebral Blood Flow and Metabolism 2010;30:1598–607.</w:t>
      </w:r>
      <w:r>
        <w:t xml:space="preserve"> </w:t>
      </w:r>
    </w:p>
    <w:bookmarkEnd w:id="91"/>
    <w:bookmarkStart w:id="93" w:name="X9647584dd1b9d850168c364dd6fd0981444ec0c"/>
    <w:p>
      <w:pPr>
        <w:pStyle w:val="Bibliography"/>
      </w:pPr>
      <w:r>
        <w:t xml:space="preserve">18.</w:t>
      </w:r>
      <w:r>
        <w:t xml:space="preserve"> </w:t>
      </w:r>
      <w:r>
        <w:t xml:space="preserve">	</w:t>
      </w:r>
      <w:r>
        <w:t xml:space="preserve">Weber AM, Zhang Y, Kames C, Rauscher A.</w:t>
      </w:r>
      <w:r>
        <w:t xml:space="preserve"> </w:t>
      </w:r>
      <w:hyperlink r:id="rId92">
        <w:r>
          <w:rPr>
            <w:rStyle w:val="InternetLink"/>
          </w:rPr>
          <w:t xml:space="preserve">Quantitative</w:t>
        </w:r>
        <w:r>
          <w:rPr>
            <w:rStyle w:val="InternetLink"/>
          </w:rPr>
          <w:t xml:space="preserve"> </w:t>
        </w:r>
        <w:r>
          <w:rPr>
            <w:rStyle w:val="InternetLink"/>
          </w:rPr>
          <w:t xml:space="preserve">Susceptibility Mapping</w:t>
        </w:r>
        <w:r>
          <w:rPr>
            <w:rStyle w:val="InternetLink"/>
          </w:rPr>
          <w:t xml:space="preserve"> </w:t>
        </w:r>
        <w:r>
          <w:rPr>
            <w:rStyle w:val="InternetLink"/>
          </w:rPr>
          <w:t xml:space="preserve">of</w:t>
        </w:r>
        <w:r>
          <w:rPr>
            <w:rStyle w:val="InternetLink"/>
          </w:rPr>
          <w:t xml:space="preserve"> </w:t>
        </w:r>
        <w:r>
          <w:rPr>
            <w:rStyle w:val="InternetLink"/>
          </w:rPr>
          <w:t xml:space="preserve">Venous Vessels</w:t>
        </w:r>
        <w:r>
          <w:rPr>
            <w:rStyle w:val="InternetLink"/>
          </w:rPr>
          <w:t xml:space="preserve"> </w:t>
        </w:r>
        <w:r>
          <w:rPr>
            <w:rStyle w:val="InternetLink"/>
          </w:rPr>
          <w:t xml:space="preserve">in</w:t>
        </w:r>
        <w:r>
          <w:rPr>
            <w:rStyle w:val="InternetLink"/>
          </w:rPr>
          <w:t xml:space="preserve"> </w:t>
        </w:r>
        <w:r>
          <w:rPr>
            <w:rStyle w:val="InternetLink"/>
          </w:rPr>
          <w:t xml:space="preserve">Neonates</w:t>
        </w:r>
        <w:r>
          <w:rPr>
            <w:rStyle w:val="InternetLink"/>
          </w:rPr>
          <w:t xml:space="preserve"> </w:t>
        </w:r>
        <w:r>
          <w:rPr>
            <w:rStyle w:val="InternetLink"/>
          </w:rPr>
          <w:t xml:space="preserve">with</w:t>
        </w:r>
        <w:r>
          <w:rPr>
            <w:rStyle w:val="InternetLink"/>
          </w:rPr>
          <w:t xml:space="preserve"> </w:t>
        </w:r>
        <w:r>
          <w:rPr>
            <w:rStyle w:val="InternetLink"/>
          </w:rPr>
          <w:t xml:space="preserve">Perinatal Asphyxia</w:t>
        </w:r>
      </w:hyperlink>
      <w:r>
        <w:t xml:space="preserve">. American Journal of Neuroradiology 2021;42:1327–33.</w:t>
      </w:r>
      <w:r>
        <w:t xml:space="preserve"> </w:t>
      </w:r>
    </w:p>
    <w:bookmarkEnd w:id="93"/>
    <w:bookmarkStart w:id="95" w:name="Xc71f4fceba70962315735ff7030a7f1e9918671"/>
    <w:p>
      <w:pPr>
        <w:pStyle w:val="Bibliography"/>
      </w:pPr>
      <w:r>
        <w:t xml:space="preserve">19.</w:t>
      </w:r>
      <w:r>
        <w:t xml:space="preserve"> </w:t>
      </w:r>
      <w:r>
        <w:t xml:space="preserve">	</w:t>
      </w:r>
      <w:r>
        <w:t xml:space="preserve">Alsop DC, Detre JA, Golay X, et al.</w:t>
      </w:r>
      <w:r>
        <w:t xml:space="preserve"> </w:t>
      </w:r>
      <w:hyperlink r:id="rId94">
        <w:r>
          <w:rPr>
            <w:rStyle w:val="InternetLink"/>
          </w:rPr>
          <w:t xml:space="preserve">Recommended implementation of arterial spin-labeled perfusion</w:t>
        </w:r>
        <w:r>
          <w:rPr>
            <w:rStyle w:val="InternetLink"/>
          </w:rPr>
          <w:t xml:space="preserve"> </w:t>
        </w:r>
        <w:r>
          <w:rPr>
            <w:rStyle w:val="InternetLink"/>
          </w:rPr>
          <w:t xml:space="preserve">MRI</w:t>
        </w:r>
        <w:r>
          <w:rPr>
            <w:rStyle w:val="InternetLink"/>
          </w:rPr>
          <w:t xml:space="preserve"> </w:t>
        </w:r>
        <w:r>
          <w:rPr>
            <w:rStyle w:val="InternetLink"/>
          </w:rPr>
          <w:t xml:space="preserve">for clinical applications:</w:t>
        </w:r>
        <w:r>
          <w:rPr>
            <w:rStyle w:val="InternetLink"/>
          </w:rPr>
          <w:t xml:space="preserve"> </w:t>
        </w:r>
        <w:r>
          <w:rPr>
            <w:rStyle w:val="InternetLink"/>
          </w:rPr>
          <w:t xml:space="preserve">A</w:t>
        </w:r>
        <w:r>
          <w:rPr>
            <w:rStyle w:val="InternetLink"/>
          </w:rPr>
          <w:t xml:space="preserve"> </w:t>
        </w:r>
        <w:r>
          <w:rPr>
            <w:rStyle w:val="InternetLink"/>
          </w:rPr>
          <w:t xml:space="preserve">consensus of the</w:t>
        </w:r>
        <w:r>
          <w:rPr>
            <w:rStyle w:val="InternetLink"/>
          </w:rPr>
          <w:t xml:space="preserve"> </w:t>
        </w:r>
        <w:r>
          <w:rPr>
            <w:rStyle w:val="InternetLink"/>
          </w:rPr>
          <w:t xml:space="preserve">ISMRM</w:t>
        </w:r>
        <w:r>
          <w:rPr>
            <w:rStyle w:val="InternetLink"/>
          </w:rPr>
          <w:t xml:space="preserve"> </w:t>
        </w:r>
        <w:r>
          <w:rPr>
            <w:rStyle w:val="InternetLink"/>
          </w:rPr>
          <w:t xml:space="preserve">perfusion study group and the</w:t>
        </w:r>
        <w:r>
          <w:rPr>
            <w:rStyle w:val="InternetLink"/>
          </w:rPr>
          <w:t xml:space="preserve"> </w:t>
        </w:r>
        <w:r>
          <w:rPr>
            <w:rStyle w:val="InternetLink"/>
          </w:rPr>
          <w:t xml:space="preserve">European</w:t>
        </w:r>
        <w:r>
          <w:rPr>
            <w:rStyle w:val="InternetLink"/>
          </w:rPr>
          <w:t xml:space="preserve"> </w:t>
        </w:r>
        <w:r>
          <w:rPr>
            <w:rStyle w:val="InternetLink"/>
          </w:rPr>
          <w:t xml:space="preserve">consortium for</w:t>
        </w:r>
        <w:r>
          <w:rPr>
            <w:rStyle w:val="InternetLink"/>
          </w:rPr>
          <w:t xml:space="preserve"> </w:t>
        </w:r>
        <w:r>
          <w:rPr>
            <w:rStyle w:val="InternetLink"/>
          </w:rPr>
          <w:t xml:space="preserve">ASL</w:t>
        </w:r>
        <w:r>
          <w:rPr>
            <w:rStyle w:val="InternetLink"/>
          </w:rPr>
          <w:t xml:space="preserve"> </w:t>
        </w:r>
        <w:r>
          <w:rPr>
            <w:rStyle w:val="InternetLink"/>
          </w:rPr>
          <w:t xml:space="preserve">in dementia:</w:t>
        </w:r>
        <w:r>
          <w:rPr>
            <w:rStyle w:val="InternetLink"/>
          </w:rPr>
          <w:t xml:space="preserve"> </w:t>
        </w:r>
        <w:r>
          <w:rPr>
            <w:rStyle w:val="InternetLink"/>
          </w:rPr>
          <w:t xml:space="preserve">Recommended Implementation</w:t>
        </w:r>
        <w:r>
          <w:rPr>
            <w:rStyle w:val="InternetLink"/>
          </w:rPr>
          <w:t xml:space="preserve"> </w:t>
        </w:r>
        <w:r>
          <w:rPr>
            <w:rStyle w:val="InternetLink"/>
          </w:rPr>
          <w:t xml:space="preserve">of</w:t>
        </w:r>
        <w:r>
          <w:rPr>
            <w:rStyle w:val="InternetLink"/>
          </w:rPr>
          <w:t xml:space="preserve"> </w:t>
        </w:r>
        <w:r>
          <w:rPr>
            <w:rStyle w:val="InternetLink"/>
          </w:rPr>
          <w:t xml:space="preserve">ASL</w:t>
        </w:r>
        <w:r>
          <w:rPr>
            <w:rStyle w:val="InternetLink"/>
          </w:rPr>
          <w:t xml:space="preserve"> </w:t>
        </w:r>
        <w:r>
          <w:rPr>
            <w:rStyle w:val="InternetLink"/>
          </w:rPr>
          <w:t xml:space="preserve">for</w:t>
        </w:r>
        <w:r>
          <w:rPr>
            <w:rStyle w:val="InternetLink"/>
          </w:rPr>
          <w:t xml:space="preserve"> </w:t>
        </w:r>
        <w:r>
          <w:rPr>
            <w:rStyle w:val="InternetLink"/>
          </w:rPr>
          <w:t xml:space="preserve">Clinical Applications</w:t>
        </w:r>
      </w:hyperlink>
      <w:r>
        <w:t xml:space="preserve">. Magnetic Resonance in Medicine 2015;73:102–16.</w:t>
      </w:r>
      <w:r>
        <w:t xml:space="preserve"> </w:t>
      </w:r>
    </w:p>
    <w:bookmarkEnd w:id="95"/>
    <w:bookmarkStart w:id="97" w:name="X3152621f57050143f9f0e1c651b557e4ffcbba4"/>
    <w:p>
      <w:pPr>
        <w:pStyle w:val="Bibliography"/>
      </w:pPr>
      <w:r>
        <w:t xml:space="preserve">20.</w:t>
      </w:r>
      <w:r>
        <w:t xml:space="preserve"> </w:t>
      </w:r>
      <w:r>
        <w:t xml:space="preserve">	</w:t>
      </w:r>
      <w:r>
        <w:t xml:space="preserve">Denk C, Rauscher A.</w:t>
      </w:r>
      <w:r>
        <w:t xml:space="preserve"> </w:t>
      </w:r>
      <w:hyperlink r:id="rId96">
        <w:r>
          <w:rPr>
            <w:rStyle w:val="InternetLink"/>
          </w:rPr>
          <w:t xml:space="preserve">Susceptibility weighted imaging with multiple echoes</w:t>
        </w:r>
      </w:hyperlink>
      <w:r>
        <w:t xml:space="preserve">. Journal of magnetic resonance imaging: JMRI 2010;31:185–91.</w:t>
      </w:r>
      <w:r>
        <w:t xml:space="preserve"> </w:t>
      </w:r>
    </w:p>
    <w:bookmarkEnd w:id="97"/>
    <w:bookmarkStart w:id="99" w:name="ref-liFirstStepNeuroimaging2016"/>
    <w:p>
      <w:pPr>
        <w:pStyle w:val="Bibliography"/>
      </w:pPr>
      <w:r>
        <w:t xml:space="preserve">21.</w:t>
      </w:r>
      <w:r>
        <w:t xml:space="preserve"> </w:t>
      </w:r>
      <w:r>
        <w:t xml:space="preserve">	</w:t>
      </w:r>
      <w:r>
        <w:t xml:space="preserve">Li X, Morgan PS, Ashburner J, Smith J, Rorden C.</w:t>
      </w:r>
      <w:r>
        <w:t xml:space="preserve"> </w:t>
      </w:r>
      <w:hyperlink r:id="rId98">
        <w:r>
          <w:rPr>
            <w:rStyle w:val="InternetLink"/>
          </w:rPr>
          <w:t xml:space="preserve">The first step for neuroimaging data analysis:</w:t>
        </w:r>
        <w:r>
          <w:rPr>
            <w:rStyle w:val="InternetLink"/>
          </w:rPr>
          <w:t xml:space="preserve"> </w:t>
        </w:r>
        <w:r>
          <w:rPr>
            <w:rStyle w:val="InternetLink"/>
          </w:rPr>
          <w:t xml:space="preserve">DICOM</w:t>
        </w:r>
        <w:r>
          <w:rPr>
            <w:rStyle w:val="InternetLink"/>
          </w:rPr>
          <w:t xml:space="preserve"> </w:t>
        </w:r>
        <w:r>
          <w:rPr>
            <w:rStyle w:val="InternetLink"/>
          </w:rPr>
          <w:t xml:space="preserve">to</w:t>
        </w:r>
        <w:r>
          <w:rPr>
            <w:rStyle w:val="InternetLink"/>
          </w:rPr>
          <w:t xml:space="preserve"> </w:t>
        </w:r>
        <w:r>
          <w:rPr>
            <w:rStyle w:val="InternetLink"/>
          </w:rPr>
          <w:t xml:space="preserve">NIfTI</w:t>
        </w:r>
        <w:r>
          <w:rPr>
            <w:rStyle w:val="InternetLink"/>
          </w:rPr>
          <w:t xml:space="preserve"> </w:t>
        </w:r>
        <w:r>
          <w:rPr>
            <w:rStyle w:val="InternetLink"/>
          </w:rPr>
          <w:t xml:space="preserve">conversion</w:t>
        </w:r>
      </w:hyperlink>
      <w:r>
        <w:t xml:space="preserve">. Journal of Neuroscience Methods 2016;264:47–56.</w:t>
      </w:r>
      <w:r>
        <w:t xml:space="preserve"> </w:t>
      </w:r>
    </w:p>
    <w:bookmarkEnd w:id="99"/>
    <w:bookmarkStart w:id="101" w:name="Xffbde0f4ae4c98a61eaead2509f97c3dab005ea"/>
    <w:p>
      <w:pPr>
        <w:pStyle w:val="Bibliography"/>
      </w:pPr>
      <w:r>
        <w:t xml:space="preserve">22.</w:t>
      </w:r>
      <w:r>
        <w:t xml:space="preserve"> </w:t>
      </w:r>
      <w:r>
        <w:t xml:space="preserve">	</w:t>
      </w:r>
      <w:r>
        <w:t xml:space="preserve">Woolrich MW, Jbabdi S, Patenaude B, et al.</w:t>
      </w:r>
      <w:r>
        <w:t xml:space="preserve"> </w:t>
      </w:r>
      <w:hyperlink r:id="rId100">
        <w:r>
          <w:rPr>
            <w:rStyle w:val="InternetLink"/>
          </w:rPr>
          <w:t xml:space="preserve">Bayesian analysis of neuroimaging data in</w:t>
        </w:r>
        <w:r>
          <w:rPr>
            <w:rStyle w:val="InternetLink"/>
          </w:rPr>
          <w:t xml:space="preserve"> </w:t>
        </w:r>
        <w:r>
          <w:rPr>
            <w:rStyle w:val="InternetLink"/>
          </w:rPr>
          <w:t xml:space="preserve">FSL</w:t>
        </w:r>
      </w:hyperlink>
      <w:r>
        <w:t xml:space="preserve">. NeuroImage 2009;45:S173–86.</w:t>
      </w:r>
      <w:r>
        <w:t xml:space="preserve"> </w:t>
      </w:r>
    </w:p>
    <w:bookmarkEnd w:id="101"/>
    <w:bookmarkStart w:id="103" w:name="ref-smithFastRobustAutomated2002"/>
    <w:p>
      <w:pPr>
        <w:pStyle w:val="Bibliography"/>
      </w:pPr>
      <w:r>
        <w:t xml:space="preserve">23.</w:t>
      </w:r>
      <w:r>
        <w:t xml:space="preserve"> </w:t>
      </w:r>
      <w:r>
        <w:t xml:space="preserve">	</w:t>
      </w:r>
      <w:r>
        <w:t xml:space="preserve">Smith SM.</w:t>
      </w:r>
      <w:r>
        <w:t xml:space="preserve"> </w:t>
      </w:r>
      <w:hyperlink r:id="rId102">
        <w:r>
          <w:rPr>
            <w:rStyle w:val="InternetLink"/>
          </w:rPr>
          <w:t xml:space="preserve">Fast robust automated brain extraction</w:t>
        </w:r>
      </w:hyperlink>
      <w:r>
        <w:t xml:space="preserve">. Human Brain Mapping 2002;17:143–55.</w:t>
      </w:r>
      <w:r>
        <w:t xml:space="preserve"> </w:t>
      </w:r>
    </w:p>
    <w:bookmarkEnd w:id="103"/>
    <w:bookmarkStart w:id="105" w:name="ref-kamesRapidTwostepDipole2018"/>
    <w:p>
      <w:pPr>
        <w:pStyle w:val="Bibliography"/>
      </w:pPr>
      <w:r>
        <w:t xml:space="preserve">24.</w:t>
      </w:r>
      <w:r>
        <w:t xml:space="preserve"> </w:t>
      </w:r>
      <w:r>
        <w:t xml:space="preserve">	</w:t>
      </w:r>
      <w:r>
        <w:t xml:space="preserve">Kames C, Wiggermann V, Rauscher A.</w:t>
      </w:r>
      <w:r>
        <w:t xml:space="preserve"> </w:t>
      </w:r>
      <w:hyperlink r:id="rId104">
        <w:r>
          <w:rPr>
            <w:rStyle w:val="InternetLink"/>
          </w:rPr>
          <w:t xml:space="preserve">Rapid two-step dipole inversion for susceptibility mapping with sparsity priors</w:t>
        </w:r>
      </w:hyperlink>
      <w:r>
        <w:t xml:space="preserve">. NeuroImage 2018;167:276–83.</w:t>
      </w:r>
      <w:r>
        <w:t xml:space="preserve"> </w:t>
      </w:r>
    </w:p>
    <w:bookmarkEnd w:id="105"/>
    <w:bookmarkStart w:id="107" w:name="ref-mccarthyFSLeyes2023"/>
    <w:p>
      <w:pPr>
        <w:pStyle w:val="Bibliography"/>
      </w:pPr>
      <w:r>
        <w:t xml:space="preserve">25.</w:t>
      </w:r>
      <w:r>
        <w:t xml:space="preserve"> </w:t>
      </w:r>
      <w:r>
        <w:t xml:space="preserve">	</w:t>
      </w:r>
      <w:r>
        <w:t xml:space="preserve">McCarthy P.</w:t>
      </w:r>
      <w:r>
        <w:t xml:space="preserve"> </w:t>
      </w:r>
      <w:hyperlink r:id="rId106">
        <w:r>
          <w:rPr>
            <w:rStyle w:val="InternetLink"/>
          </w:rPr>
          <w:t xml:space="preserve">FSLeyes</w:t>
        </w:r>
      </w:hyperlink>
      <w:r>
        <w:t xml:space="preserve">. 2023;</w:t>
      </w:r>
    </w:p>
    <w:bookmarkEnd w:id="107"/>
    <w:bookmarkStart w:id="109" w:name="ref-liIntegratedLaplacianbasedPhase2014"/>
    <w:p>
      <w:pPr>
        <w:pStyle w:val="Bibliography"/>
      </w:pPr>
      <w:r>
        <w:t xml:space="preserve">26.</w:t>
      </w:r>
      <w:r>
        <w:t xml:space="preserve"> </w:t>
      </w:r>
      <w:r>
        <w:t xml:space="preserve">	</w:t>
      </w:r>
      <w:r>
        <w:t xml:space="preserve">Li W, Avram AV, Wu B, Xiao X, Liu C.</w:t>
      </w:r>
      <w:r>
        <w:t xml:space="preserve"> </w:t>
      </w:r>
      <w:hyperlink r:id="rId108">
        <w:r>
          <w:rPr>
            <w:rStyle w:val="InternetLink"/>
          </w:rPr>
          <w:t xml:space="preserve">Integrated</w:t>
        </w:r>
        <w:r>
          <w:rPr>
            <w:rStyle w:val="InternetLink"/>
          </w:rPr>
          <w:t xml:space="preserve"> </w:t>
        </w:r>
        <w:r>
          <w:rPr>
            <w:rStyle w:val="InternetLink"/>
          </w:rPr>
          <w:t xml:space="preserve">Laplacian</w:t>
        </w:r>
        <w:r>
          <w:rPr>
            <w:rStyle w:val="InternetLink"/>
          </w:rPr>
          <w:t xml:space="preserve">-based phase unwrapping and background phase removal for quantitative susceptibility mapping</w:t>
        </w:r>
      </w:hyperlink>
      <w:r>
        <w:t xml:space="preserve">. NMR in Biomedicine 2014;27:219–27.</w:t>
      </w:r>
      <w:r>
        <w:t xml:space="preserve"> </w:t>
      </w:r>
    </w:p>
    <w:bookmarkEnd w:id="109"/>
    <w:bookmarkStart w:id="111" w:name="X894905b979ca18ae21fa8491f1ec823367d3c00"/>
    <w:p>
      <w:pPr>
        <w:pStyle w:val="Bibliography"/>
      </w:pPr>
      <w:r>
        <w:t xml:space="preserve">27.</w:t>
      </w:r>
      <w:r>
        <w:t xml:space="preserve"> </w:t>
      </w:r>
      <w:r>
        <w:t xml:space="preserve">	</w:t>
      </w:r>
      <w:r>
        <w:t xml:space="preserve">Shin H-G, Lee J, Yun YH, et al.</w:t>
      </w:r>
      <w:r>
        <w:t xml:space="preserve"> </w:t>
      </w:r>
      <w:hyperlink r:id="rId110">
        <m:oMath>
          <m:r>
            <m:t>χ</m:t>
          </m:r>
        </m:oMath>
        <w:r>
          <w:rPr>
            <w:rStyle w:val="InternetLink"/>
          </w:rPr>
          <w:t xml:space="preserve">-separation:</w:t>
        </w:r>
        <w:r>
          <w:rPr>
            <w:rStyle w:val="InternetLink"/>
          </w:rPr>
          <w:t xml:space="preserve"> </w:t>
        </w:r>
        <w:r>
          <w:rPr>
            <w:rStyle w:val="InternetLink"/>
          </w:rPr>
          <w:t xml:space="preserve">Magnetic</w:t>
        </w:r>
        <w:r>
          <w:rPr>
            <w:rStyle w:val="InternetLink"/>
          </w:rPr>
          <w:t xml:space="preserve"> </w:t>
        </w:r>
        <w:r>
          <w:rPr>
            <w:rStyle w:val="InternetLink"/>
          </w:rPr>
          <w:t xml:space="preserve">susceptibility source separation toward iron and myelin mapping in the brain</w:t>
        </w:r>
      </w:hyperlink>
      <w:r>
        <w:t xml:space="preserve">. NeuroImage 2021;240:118371.</w:t>
      </w:r>
      <w:r>
        <w:t xml:space="preserve"> </w:t>
      </w:r>
    </w:p>
    <w:bookmarkEnd w:id="111"/>
    <w:bookmarkStart w:id="113" w:name="ref-bergInvestigatingEffectFlow2021"/>
    <w:p>
      <w:pPr>
        <w:pStyle w:val="Bibliography"/>
      </w:pPr>
      <w:r>
        <w:t xml:space="preserve">28.</w:t>
      </w:r>
      <w:r>
        <w:t xml:space="preserve"> </w:t>
      </w:r>
      <w:r>
        <w:t xml:space="preserve">	</w:t>
      </w:r>
      <w:r>
        <w:t xml:space="preserve">Berg RC, Preibisch C, Thomas DL, Shmueli K, Biondetti E.</w:t>
      </w:r>
      <w:r>
        <w:t xml:space="preserve"> </w:t>
      </w:r>
      <w:hyperlink r:id="rId112">
        <w:r>
          <w:rPr>
            <w:rStyle w:val="InternetLink"/>
          </w:rPr>
          <w:t xml:space="preserve">Investigating the</w:t>
        </w:r>
        <w:r>
          <w:rPr>
            <w:rStyle w:val="InternetLink"/>
          </w:rPr>
          <w:t xml:space="preserve"> </w:t>
        </w:r>
        <w:r>
          <w:rPr>
            <w:rStyle w:val="InternetLink"/>
          </w:rPr>
          <w:t xml:space="preserve">Effect</w:t>
        </w:r>
        <w:r>
          <w:rPr>
            <w:rStyle w:val="InternetLink"/>
          </w:rPr>
          <w:t xml:space="preserve"> </w:t>
        </w:r>
        <w:r>
          <w:rPr>
            <w:rStyle w:val="InternetLink"/>
          </w:rPr>
          <w:t xml:space="preserve">of</w:t>
        </w:r>
        <w:r>
          <w:rPr>
            <w:rStyle w:val="InternetLink"/>
          </w:rPr>
          <w:t xml:space="preserve"> </w:t>
        </w:r>
        <w:r>
          <w:rPr>
            <w:rStyle w:val="InternetLink"/>
          </w:rPr>
          <w:t xml:space="preserve">Flow Compensation</w:t>
        </w:r>
        <w:r>
          <w:rPr>
            <w:rStyle w:val="InternetLink"/>
          </w:rPr>
          <w:t xml:space="preserve"> </w:t>
        </w:r>
        <w:r>
          <w:rPr>
            <w:rStyle w:val="InternetLink"/>
          </w:rPr>
          <w:t xml:space="preserve">and</w:t>
        </w:r>
        <w:r>
          <w:rPr>
            <w:rStyle w:val="InternetLink"/>
          </w:rPr>
          <w:t xml:space="preserve"> </w:t>
        </w:r>
        <w:r>
          <w:rPr>
            <w:rStyle w:val="InternetLink"/>
          </w:rPr>
          <w:t xml:space="preserve">Quantitative Susceptibility Mapping Method</w:t>
        </w:r>
        <w:r>
          <w:rPr>
            <w:rStyle w:val="InternetLink"/>
          </w:rPr>
          <w:t xml:space="preserve"> </w:t>
        </w:r>
        <w:r>
          <w:rPr>
            <w:rStyle w:val="InternetLink"/>
          </w:rPr>
          <w:t xml:space="preserve">on the</w:t>
        </w:r>
        <w:r>
          <w:rPr>
            <w:rStyle w:val="InternetLink"/>
          </w:rPr>
          <w:t xml:space="preserve"> </w:t>
        </w:r>
        <w:r>
          <w:rPr>
            <w:rStyle w:val="InternetLink"/>
          </w:rPr>
          <w:t xml:space="preserve">Accuracy</w:t>
        </w:r>
        <w:r>
          <w:rPr>
            <w:rStyle w:val="InternetLink"/>
          </w:rPr>
          <w:t xml:space="preserve"> </w:t>
        </w:r>
        <w:r>
          <w:rPr>
            <w:rStyle w:val="InternetLink"/>
          </w:rPr>
          <w:t xml:space="preserve">of</w:t>
        </w:r>
        <w:r>
          <w:rPr>
            <w:rStyle w:val="InternetLink"/>
          </w:rPr>
          <w:t xml:space="preserve"> </w:t>
        </w:r>
        <w:r>
          <w:rPr>
            <w:rStyle w:val="InternetLink"/>
          </w:rPr>
          <w:t xml:space="preserve">Venous Susceptibility Measurement</w:t>
        </w:r>
      </w:hyperlink>
      <w:r>
        <w:t xml:space="preserve">. 2021;2021.04.14.439812.</w:t>
      </w:r>
      <w:r>
        <w:t xml:space="preserve"> </w:t>
      </w:r>
    </w:p>
    <w:bookmarkEnd w:id="113"/>
    <w:bookmarkStart w:id="115" w:name="ref-portnoyHumanUmbilicalCord2018"/>
    <w:p>
      <w:pPr>
        <w:pStyle w:val="Bibliography"/>
      </w:pPr>
      <w:r>
        <w:t xml:space="preserve">29.</w:t>
      </w:r>
      <w:r>
        <w:t xml:space="preserve"> </w:t>
      </w:r>
      <w:r>
        <w:t xml:space="preserve">	</w:t>
      </w:r>
      <w:r>
        <w:t xml:space="preserve">Portnoy S, Milligan N, Seed M, Sled JG, Macgowan CK.</w:t>
      </w:r>
      <w:r>
        <w:t xml:space="preserve"> </w:t>
      </w:r>
      <w:hyperlink r:id="rId114">
        <w:r>
          <w:rPr>
            <w:rStyle w:val="InternetLink"/>
          </w:rPr>
          <w:t xml:space="preserve">Human umbilical cord blood relaxation times and susceptibility at 3</w:t>
        </w:r>
        <w:r>
          <w:rPr>
            <w:rStyle w:val="InternetLink"/>
          </w:rPr>
          <w:t xml:space="preserve"> </w:t>
        </w:r>
        <w:r>
          <w:rPr>
            <w:rStyle w:val="InternetLink"/>
          </w:rPr>
          <w:t xml:space="preserve">T</w:t>
        </w:r>
        <w:r>
          <w:rPr>
            <w:rStyle w:val="InternetLink"/>
          </w:rPr>
          <w:t xml:space="preserve">:</w:t>
        </w:r>
        <w:r>
          <w:rPr>
            <w:rStyle w:val="InternetLink"/>
          </w:rPr>
          <w:t xml:space="preserve"> </w:t>
        </w:r>
        <w:r>
          <w:rPr>
            <w:rStyle w:val="InternetLink"/>
          </w:rPr>
          <w:t xml:space="preserve">Human Umbilical Cord Blood Relaxation Times</w:t>
        </w:r>
        <w:r>
          <w:rPr>
            <w:rStyle w:val="InternetLink"/>
          </w:rPr>
          <w:t xml:space="preserve"> </w:t>
        </w:r>
        <w:r>
          <w:rPr>
            <w:rStyle w:val="InternetLink"/>
          </w:rPr>
          <w:t xml:space="preserve">and</w:t>
        </w:r>
        <w:r>
          <w:rPr>
            <w:rStyle w:val="InternetLink"/>
          </w:rPr>
          <w:t xml:space="preserve"> </w:t>
        </w:r>
        <w:r>
          <w:rPr>
            <w:rStyle w:val="InternetLink"/>
          </w:rPr>
          <w:t xml:space="preserve">Susceptibility</w:t>
        </w:r>
        <w:r>
          <w:rPr>
            <w:rStyle w:val="InternetLink"/>
          </w:rPr>
          <w:t xml:space="preserve"> </w:t>
        </w:r>
        <w:r>
          <w:rPr>
            <w:rStyle w:val="InternetLink"/>
          </w:rPr>
          <w:t xml:space="preserve">at 3</w:t>
        </w:r>
        <w:r>
          <w:rPr>
            <w:rStyle w:val="InternetLink"/>
          </w:rPr>
          <w:t xml:space="preserve"> </w:t>
        </w:r>
        <w:r>
          <w:rPr>
            <w:rStyle w:val="InternetLink"/>
          </w:rPr>
          <w:t xml:space="preserve">T</w:t>
        </w:r>
      </w:hyperlink>
      <w:r>
        <w:t xml:space="preserve">. Magnetic Resonance in Medicine 2018;79:3194–206.</w:t>
      </w:r>
      <w:r>
        <w:t xml:space="preserve"> </w:t>
      </w:r>
    </w:p>
    <w:bookmarkEnd w:id="115"/>
    <w:bookmarkStart w:id="117" w:name="X5dcabc52cec00e82905a12242719d076cb6840e"/>
    <w:p>
      <w:pPr>
        <w:pStyle w:val="Bibliography"/>
      </w:pPr>
      <w:r>
        <w:t xml:space="preserve">30.</w:t>
      </w:r>
      <w:r>
        <w:t xml:space="preserve"> </w:t>
      </w:r>
      <w:r>
        <w:t xml:space="preserve">	</w:t>
      </w:r>
      <w:r>
        <w:t xml:space="preserve">Sedlacik J, Rauscher A, Reichenbach JR.</w:t>
      </w:r>
      <w:r>
        <w:t xml:space="preserve"> </w:t>
      </w:r>
      <w:hyperlink r:id="rId116">
        <w:r>
          <w:rPr>
            <w:rStyle w:val="InternetLink"/>
          </w:rPr>
          <w:t xml:space="preserve">Obtaining blood oxygenation levels from</w:t>
        </w:r>
        <w:r>
          <w:rPr>
            <w:rStyle w:val="InternetLink"/>
          </w:rPr>
          <w:t xml:space="preserve"> </w:t>
        </w:r>
        <w:r>
          <w:rPr>
            <w:rStyle w:val="InternetLink"/>
          </w:rPr>
          <w:t xml:space="preserve">MR</w:t>
        </w:r>
        <w:r>
          <w:rPr>
            <w:rStyle w:val="InternetLink"/>
          </w:rPr>
          <w:t xml:space="preserve"> </w:t>
        </w:r>
        <w:r>
          <w:rPr>
            <w:rStyle w:val="InternetLink"/>
          </w:rPr>
          <w:t xml:space="preserve">signal behavior in the presence of single venous vessels</w:t>
        </w:r>
      </w:hyperlink>
      <w:r>
        <w:t xml:space="preserve">. Magnetic Resonance in Medicine 2007;58:1035–44.</w:t>
      </w:r>
      <w:r>
        <w:t xml:space="preserve"> </w:t>
      </w:r>
    </w:p>
    <w:bookmarkEnd w:id="117"/>
    <w:bookmarkStart w:id="119" w:name="X764ed5b17e735b1a929256c613b3c2a57b1b323"/>
    <w:p>
      <w:pPr>
        <w:pStyle w:val="Bibliography"/>
      </w:pPr>
      <w:r>
        <w:t xml:space="preserve">31.</w:t>
      </w:r>
      <w:r>
        <w:t xml:space="preserve"> </w:t>
      </w:r>
      <w:r>
        <w:t xml:space="preserve">	</w:t>
      </w:r>
      <w:r>
        <w:t xml:space="preserve">Weisskoff RM, Kiihne S.</w:t>
      </w:r>
      <w:r>
        <w:t xml:space="preserve"> </w:t>
      </w:r>
      <w:hyperlink r:id="rId118">
        <w:r>
          <w:rPr>
            <w:rStyle w:val="InternetLink"/>
          </w:rPr>
          <w:t xml:space="preserve">MRI</w:t>
        </w:r>
        <w:r>
          <w:rPr>
            <w:rStyle w:val="InternetLink"/>
          </w:rPr>
          <w:t xml:space="preserve"> </w:t>
        </w:r>
        <w:r>
          <w:rPr>
            <w:rStyle w:val="InternetLink"/>
          </w:rPr>
          <w:t xml:space="preserve">susceptometry:</w:t>
        </w:r>
        <w:r>
          <w:rPr>
            <w:rStyle w:val="InternetLink"/>
          </w:rPr>
          <w:t xml:space="preserve"> </w:t>
        </w:r>
        <w:r>
          <w:rPr>
            <w:rStyle w:val="InternetLink"/>
          </w:rPr>
          <w:t xml:space="preserve">Image-based</w:t>
        </w:r>
        <w:r>
          <w:rPr>
            <w:rStyle w:val="InternetLink"/>
          </w:rPr>
          <w:t xml:space="preserve"> </w:t>
        </w:r>
        <w:r>
          <w:rPr>
            <w:rStyle w:val="InternetLink"/>
          </w:rPr>
          <w:t xml:space="preserve">measurement of absolute susceptibility of</w:t>
        </w:r>
        <w:r>
          <w:rPr>
            <w:rStyle w:val="InternetLink"/>
          </w:rPr>
          <w:t xml:space="preserve"> </w:t>
        </w:r>
        <w:r>
          <w:rPr>
            <w:rStyle w:val="InternetLink"/>
          </w:rPr>
          <w:t xml:space="preserve">MR</w:t>
        </w:r>
        <w:r>
          <w:rPr>
            <w:rStyle w:val="InternetLink"/>
          </w:rPr>
          <w:t xml:space="preserve"> </w:t>
        </w:r>
        <w:r>
          <w:rPr>
            <w:rStyle w:val="InternetLink"/>
          </w:rPr>
          <w:t xml:space="preserve">contrast agents and human blood:</w:t>
        </w:r>
        <w:r>
          <w:rPr>
            <w:rStyle w:val="InternetLink"/>
          </w:rPr>
          <w:t xml:space="preserve"> </w:t>
        </w:r>
        <w:r>
          <w:rPr>
            <w:rStyle w:val="InternetLink"/>
          </w:rPr>
          <w:t xml:space="preserve">COMMUNICATIONS</w:t>
        </w:r>
      </w:hyperlink>
      <w:r>
        <w:t xml:space="preserve">. Magnetic Resonance in Medicine 1992;24:375–83.</w:t>
      </w:r>
      <w:r>
        <w:t xml:space="preserve"> </w:t>
      </w:r>
    </w:p>
    <w:bookmarkEnd w:id="119"/>
    <w:bookmarkStart w:id="120" w:name="X49453c0545b7de7f14f10cad417b18342e49481"/>
    <w:p>
      <w:pPr>
        <w:pStyle w:val="Bibliography"/>
      </w:pPr>
      <w:r>
        <w:t xml:space="preserve">32.</w:t>
      </w:r>
      <w:r>
        <w:t xml:space="preserve"> </w:t>
      </w:r>
      <w:r>
        <w:t xml:space="preserve">	</w:t>
      </w:r>
      <w:r>
        <w:t xml:space="preserve">R Core Team. R:</w:t>
      </w:r>
      <w:r>
        <w:t xml:space="preserve"> </w:t>
      </w:r>
      <w:r>
        <w:t xml:space="preserve">A Language</w:t>
      </w:r>
      <w:r>
        <w:t xml:space="preserve"> </w:t>
      </w:r>
      <w:r>
        <w:t xml:space="preserve">and</w:t>
      </w:r>
      <w:r>
        <w:t xml:space="preserve"> </w:t>
      </w:r>
      <w:r>
        <w:t xml:space="preserve">Environment</w:t>
      </w:r>
      <w:r>
        <w:t xml:space="preserve"> </w:t>
      </w:r>
      <w:r>
        <w:t xml:space="preserve">for</w:t>
      </w:r>
      <w:r>
        <w:t xml:space="preserve"> </w:t>
      </w:r>
      <w:r>
        <w:t xml:space="preserve">Statistical Computing</w:t>
      </w:r>
      <w:r>
        <w:t xml:space="preserve">. 2022;</w:t>
      </w:r>
    </w:p>
    <w:bookmarkEnd w:id="120"/>
    <w:bookmarkStart w:id="121" w:name="X7900f1aa39fccc2c9e6c047234d47645d960668"/>
    <w:p>
      <w:pPr>
        <w:pStyle w:val="Bibliography"/>
      </w:pPr>
      <w:r>
        <w:t xml:space="preserve">33.</w:t>
      </w:r>
      <w:r>
        <w:t xml:space="preserve"> </w:t>
      </w:r>
      <w:r>
        <w:t xml:space="preserve">	</w:t>
      </w:r>
      <w:r>
        <w:t xml:space="preserve">RStudio Team.</w:t>
      </w:r>
      <w:r>
        <w:t xml:space="preserve"> </w:t>
      </w:r>
      <w:r>
        <w:t xml:space="preserve">RStudio</w:t>
      </w:r>
      <w:r>
        <w:t xml:space="preserve">:</w:t>
      </w:r>
      <w:r>
        <w:t xml:space="preserve"> </w:t>
      </w:r>
      <w:r>
        <w:t xml:space="preserve">Integrated Development Environment</w:t>
      </w:r>
      <w:r>
        <w:t xml:space="preserve"> </w:t>
      </w:r>
      <w:r>
        <w:t xml:space="preserve">for</w:t>
      </w:r>
      <w:r>
        <w:t xml:space="preserve"> </w:t>
      </w:r>
      <w:r>
        <w:t xml:space="preserve">R</w:t>
      </w:r>
      <w:r>
        <w:t xml:space="preserve">.</w:t>
      </w:r>
      <w:r>
        <w:t xml:space="preserve"> </w:t>
      </w:r>
    </w:p>
    <w:bookmarkEnd w:id="121"/>
    <w:bookmarkStart w:id="123" w:name="ref-ahmedDiamagneticComponentMap2023a"/>
    <w:p>
      <w:pPr>
        <w:pStyle w:val="Bibliography"/>
      </w:pPr>
      <w:r>
        <w:t xml:space="preserve">34.</w:t>
      </w:r>
      <w:r>
        <w:t xml:space="preserve"> </w:t>
      </w:r>
      <w:r>
        <w:t xml:space="preserve">	</w:t>
      </w:r>
      <w:r>
        <w:t xml:space="preserve">Ahmed M, Chen J, Arani A, et al.</w:t>
      </w:r>
      <w:r>
        <w:t xml:space="preserve"> </w:t>
      </w:r>
      <w:hyperlink r:id="rId122">
        <w:r>
          <w:rPr>
            <w:rStyle w:val="InternetLink"/>
          </w:rPr>
          <w:t xml:space="preserve">The diamagnetic component map from quantitative susceptibility mapping (</w:t>
        </w:r>
        <w:r>
          <w:rPr>
            <w:rStyle w:val="InternetLink"/>
          </w:rPr>
          <w:t xml:space="preserve">QSM</w:t>
        </w:r>
        <w:r>
          <w:rPr>
            <w:rStyle w:val="InternetLink"/>
          </w:rPr>
          <w:t xml:space="preserve">) source separation reveals pathological alteration in</w:t>
        </w:r>
        <w:r>
          <w:rPr>
            <w:rStyle w:val="InternetLink"/>
          </w:rPr>
          <w:t xml:space="preserve"> </w:t>
        </w:r>
        <w:r>
          <w:rPr>
            <w:rStyle w:val="InternetLink"/>
          </w:rPr>
          <w:t xml:space="preserve">Alzheimer</w:t>
        </w:r>
        <w:r>
          <w:rPr>
            <w:rStyle w:val="InternetLink"/>
          </w:rPr>
          <w:t xml:space="preserve">’s disease-driven neurodegeneration</w:t>
        </w:r>
      </w:hyperlink>
      <w:r>
        <w:t xml:space="preserve">. NeuroImage 2023;280:120357.</w:t>
      </w:r>
      <w:r>
        <w:t xml:space="preserve"> </w:t>
      </w:r>
    </w:p>
    <w:bookmarkEnd w:id="123"/>
    <w:bookmarkStart w:id="125" w:name="ref-gouAutomaticRejectionBased2024"/>
    <w:p>
      <w:pPr>
        <w:pStyle w:val="Bibliography"/>
      </w:pPr>
      <w:r>
        <w:t xml:space="preserve">35.</w:t>
      </w:r>
      <w:r>
        <w:t xml:space="preserve"> </w:t>
      </w:r>
      <w:r>
        <w:t xml:space="preserve">	</w:t>
      </w:r>
      <w:r>
        <w:t xml:space="preserve">Gou Y, Golden WC, Lin Z, et al.</w:t>
      </w:r>
      <w:r>
        <w:t xml:space="preserve"> </w:t>
      </w:r>
      <w:hyperlink r:id="rId124">
        <w:r>
          <w:rPr>
            <w:rStyle w:val="InternetLink"/>
          </w:rPr>
          <w:t xml:space="preserve">Automatic</w:t>
        </w:r>
        <w:r>
          <w:rPr>
            <w:rStyle w:val="InternetLink"/>
          </w:rPr>
          <w:t xml:space="preserve"> </w:t>
        </w:r>
        <w:r>
          <w:rPr>
            <w:rStyle w:val="InternetLink"/>
          </w:rPr>
          <w:t xml:space="preserve">Rejection</w:t>
        </w:r>
        <w:r>
          <w:rPr>
            <w:rStyle w:val="InternetLink"/>
          </w:rPr>
          <w:t xml:space="preserve"> </w:t>
        </w:r>
        <w:r>
          <w:rPr>
            <w:rStyle w:val="InternetLink"/>
          </w:rPr>
          <w:t xml:space="preserve">based on</w:t>
        </w:r>
        <w:r>
          <w:rPr>
            <w:rStyle w:val="InternetLink"/>
          </w:rPr>
          <w:t xml:space="preserve"> </w:t>
        </w:r>
        <w:r>
          <w:rPr>
            <w:rStyle w:val="InternetLink"/>
          </w:rPr>
          <w:t xml:space="preserve">Tissue Signal</w:t>
        </w:r>
        <w:r>
          <w:rPr>
            <w:rStyle w:val="InternetLink"/>
          </w:rPr>
          <w:t xml:space="preserve"> </w:t>
        </w:r>
        <w:r>
          <w:rPr>
            <w:rStyle w:val="InternetLink"/>
          </w:rPr>
          <w:t xml:space="preserve">(</w:t>
        </w:r>
        <w:r>
          <w:rPr>
            <w:rStyle w:val="InternetLink"/>
          </w:rPr>
          <w:t xml:space="preserve">ARTS</w:t>
        </w:r>
        <w:r>
          <w:rPr>
            <w:rStyle w:val="InternetLink"/>
          </w:rPr>
          <w:t xml:space="preserve">) for motion-corrected quantification of cerebral venous oxygenation in neonates and older adults</w:t>
        </w:r>
      </w:hyperlink>
      <w:r>
        <w:t xml:space="preserve">. Magnetic Resonance Imaging 2024;105:92–9.</w:t>
      </w:r>
      <w:r>
        <w:t xml:space="preserve"> </w:t>
      </w:r>
    </w:p>
    <w:bookmarkEnd w:id="125"/>
    <w:bookmarkStart w:id="127" w:name="ref-yadavImagingPutativeFoetal2018"/>
    <w:p>
      <w:pPr>
        <w:pStyle w:val="Bibliography"/>
      </w:pPr>
      <w:r>
        <w:t xml:space="preserve">36.</w:t>
      </w:r>
      <w:r>
        <w:t xml:space="preserve"> </w:t>
      </w:r>
      <w:r>
        <w:t xml:space="preserve">	</w:t>
      </w:r>
      <w:r>
        <w:t xml:space="preserve">Yadav BK, Krishnamurthy U, Buch S, et al.</w:t>
      </w:r>
      <w:r>
        <w:t xml:space="preserve"> </w:t>
      </w:r>
      <w:hyperlink r:id="rId126">
        <w:r>
          <w:rPr>
            <w:rStyle w:val="InternetLink"/>
          </w:rPr>
          <w:t xml:space="preserve">Imaging putative foetal cerebral blood oxygenation using susceptibility weighted imaging (</w:t>
        </w:r>
        <w:r>
          <w:rPr>
            <w:rStyle w:val="InternetLink"/>
          </w:rPr>
          <w:t xml:space="preserve">SWI</w:t>
        </w:r>
        <w:r>
          <w:rPr>
            <w:rStyle w:val="InternetLink"/>
          </w:rPr>
          <w:t xml:space="preserve">)</w:t>
        </w:r>
      </w:hyperlink>
      <w:r>
        <w:t xml:space="preserve">. European Radiology 2018;28:1884–90.</w:t>
      </w:r>
      <w:r>
        <w:t xml:space="preserve"> </w:t>
      </w:r>
    </w:p>
    <w:bookmarkEnd w:id="127"/>
    <w:bookmarkEnd w:id="128"/>
    <w:bookmarkEnd w:id="129"/>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asciiTheme="minorHAnsi" w:cs="" w:cstheme="minorBidi" w:eastAsia="Aptos" w:eastAsiaTheme="minorHAnsi" w:hAnsi="Aptos"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Aptos" w:asciiTheme="minorHAnsi" w:cs="" w:cstheme="minorBidi" w:eastAsia="Aptos" w:eastAsiaTheme="minorHAnsi" w:hAnsi="Aptos" w:hAnsiTheme="minorHAnsi"/>
      <w:color w:val="auto"/>
      <w:kern w:val="0"/>
      <w:sz w:val="24"/>
      <w:szCs w:val="24"/>
      <w:lang w:bidi="ar-SA" w:eastAsia="en-US" w:val="en-US"/>
    </w:rPr>
  </w:style>
  <w:style w:styleId="Heading1" w:type="paragraph">
    <w:name w:val="Heading 1"/>
    <w:basedOn w:val="Normal"/>
    <w:next w:val="TextBody"/>
    <w:link w:val="Heading1Char"/>
    <w:uiPriority w:val="9"/>
    <w:qFormat/>
    <w:rsid w:val="00a10fd9"/>
    <w:pPr>
      <w:keepNext w:val="true"/>
      <w:keepLines/>
      <w:spacing w:after="80" w:before="360"/>
      <w:outlineLvl w:val="0"/>
    </w:pPr>
    <w:rPr>
      <w:rFonts w:ascii="Aptos Display" w:asciiTheme="majorHAnsi" w:cs="" w:cstheme="majorBidi" w:eastAsia="" w:eastAsiaTheme="majorEastAsia" w:hAnsi="Aptos Display" w:hAnsiTheme="majorHAnsi"/>
      <w:color w:themeShade="bf" w:val="000000"/>
      <w:sz w:val="40"/>
      <w:szCs w:val="40"/>
    </w:rPr>
  </w:style>
  <w:style w:styleId="Heading2" w:type="paragraph">
    <w:name w:val="Heading 2"/>
    <w:basedOn w:val="Normal"/>
    <w:next w:val="TextBody"/>
    <w:link w:val="Heading2Char"/>
    <w:uiPriority w:val="9"/>
    <w:semiHidden/>
    <w:unhideWhenUsed/>
    <w:qFormat/>
    <w:rsid w:val="00a10fd9"/>
    <w:pPr>
      <w:keepNext w:val="true"/>
      <w:keepLines/>
      <w:spacing w:after="80" w:before="160"/>
      <w:outlineLvl w:val="1"/>
    </w:pPr>
    <w:rPr>
      <w:rFonts w:ascii="Aptos Display" w:asciiTheme="majorHAnsi" w:cs="" w:cstheme="majorBidi" w:eastAsia="" w:eastAsiaTheme="majorEastAsia" w:hAnsi="Aptos Display" w:hAnsiTheme="majorHAnsi"/>
      <w:color w:themeShade="bf" w:val="000000"/>
      <w:sz w:val="32"/>
      <w:szCs w:val="32"/>
    </w:rPr>
  </w:style>
  <w:style w:styleId="Heading3" w:type="paragraph">
    <w:name w:val="Heading 3"/>
    <w:basedOn w:val="Normal"/>
    <w:next w:val="TextBody"/>
    <w:link w:val="Heading3Char"/>
    <w:uiPriority w:val="9"/>
    <w:semiHidden/>
    <w:unhideWhenUsed/>
    <w:qFormat/>
    <w:rsid w:val="00a10fd9"/>
    <w:pPr>
      <w:keepNext w:val="true"/>
      <w:keepLines/>
      <w:spacing w:after="80" w:before="160"/>
      <w:outlineLvl w:val="2"/>
    </w:pPr>
    <w:rPr>
      <w:rFonts w:cs="" w:cstheme="majorBidi" w:eastAsia="" w:eastAsiaTheme="majorEastAsia"/>
      <w:color w:themeShade="bf" w:val="000000"/>
      <w:sz w:val="28"/>
      <w:szCs w:val="28"/>
    </w:rPr>
  </w:style>
  <w:style w:styleId="Heading4" w:type="paragraph">
    <w:name w:val="Heading 4"/>
    <w:basedOn w:val="Normal"/>
    <w:next w:val="TextBody"/>
    <w:link w:val="Heading4Char"/>
    <w:uiPriority w:val="9"/>
    <w:semiHidden/>
    <w:unhideWhenUsed/>
    <w:qFormat/>
    <w:rsid w:val="00a10fd9"/>
    <w:pPr>
      <w:keepNext w:val="true"/>
      <w:keepLines/>
      <w:spacing w:after="40" w:before="80"/>
      <w:outlineLvl w:val="3"/>
    </w:pPr>
    <w:rPr>
      <w:rFonts w:cs="" w:cstheme="majorBidi" w:eastAsia="" w:eastAsiaTheme="majorEastAsia"/>
      <w:i/>
      <w:iCs/>
      <w:color w:themeShade="bf" w:val="000000"/>
    </w:rPr>
  </w:style>
  <w:style w:styleId="Heading5" w:type="paragraph">
    <w:name w:val="Heading 5"/>
    <w:basedOn w:val="Normal"/>
    <w:next w:val="TextBody"/>
    <w:link w:val="Heading5Char"/>
    <w:uiPriority w:val="9"/>
    <w:semiHidden/>
    <w:unhideWhenUsed/>
    <w:qFormat/>
    <w:rsid w:val="00a10fd9"/>
    <w:pPr>
      <w:keepNext w:val="true"/>
      <w:keepLines/>
      <w:spacing w:after="40" w:before="80"/>
      <w:outlineLvl w:val="4"/>
    </w:pPr>
    <w:rPr>
      <w:rFonts w:cs="" w:cstheme="majorBidi" w:eastAsia="" w:eastAsiaTheme="majorEastAsia"/>
      <w:color w:themeColor="accent1" w:themeShade="bf" w:val="0F4761"/>
    </w:rPr>
  </w:style>
  <w:style w:styleId="Heading6" w:type="paragraph">
    <w:name w:val="Heading 6"/>
    <w:basedOn w:val="Normal"/>
    <w:next w:val="TextBody"/>
    <w:link w:val="Heading6Char"/>
    <w:uiPriority w:val="9"/>
    <w:semiHidden/>
    <w:unhideWhenUsed/>
    <w:qFormat/>
    <w:rsid w:val="00a10fd9"/>
    <w:pPr>
      <w:keepNext w:val="true"/>
      <w:keepLines/>
      <w:spacing w:after="0" w:before="40"/>
      <w:outlineLvl w:val="5"/>
    </w:pPr>
    <w:rPr>
      <w:rFonts w:cs="" w:cstheme="majorBidi" w:eastAsia="" w:eastAsiaTheme="majorEastAsia"/>
      <w:i/>
      <w:iCs/>
      <w:color w:themeColor="text1" w:themeTint="a6" w:val="595959"/>
    </w:rPr>
  </w:style>
  <w:style w:styleId="Heading7" w:type="paragraph">
    <w:name w:val="Heading 7"/>
    <w:basedOn w:val="Normal"/>
    <w:next w:val="TextBody"/>
    <w:link w:val="Heading7Char"/>
    <w:uiPriority w:val="9"/>
    <w:semiHidden/>
    <w:unhideWhenUsed/>
    <w:qFormat/>
    <w:rsid w:val="00a10fd9"/>
    <w:pPr>
      <w:keepNext w:val="true"/>
      <w:keepLines/>
      <w:spacing w:after="0" w:before="40"/>
      <w:outlineLvl w:val="6"/>
    </w:pPr>
    <w:rPr>
      <w:rFonts w:cs="" w:cstheme="majorBidi" w:eastAsia="" w:eastAsiaTheme="majorEastAsia"/>
      <w:color w:themeColor="text1" w:themeTint="a6" w:val="595959"/>
    </w:rPr>
  </w:style>
  <w:style w:styleId="Heading8" w:type="paragraph">
    <w:name w:val="Heading 8"/>
    <w:basedOn w:val="Normal"/>
    <w:next w:val="TextBody"/>
    <w:link w:val="Heading8Char"/>
    <w:uiPriority w:val="9"/>
    <w:semiHidden/>
    <w:unhideWhenUsed/>
    <w:qFormat/>
    <w:rsid w:val="00a10fd9"/>
    <w:pPr>
      <w:keepNext w:val="true"/>
      <w:keepLines/>
      <w:spacing w:after="0" w:before="0"/>
      <w:outlineLvl w:val="7"/>
    </w:pPr>
    <w:rPr>
      <w:rFonts w:cs="" w:cstheme="majorBidi" w:eastAsia="" w:eastAsiaTheme="majorEastAsia"/>
      <w:i/>
      <w:iCs/>
      <w:color w:themeColor="text1" w:themeTint="d8" w:val="272727"/>
    </w:rPr>
  </w:style>
  <w:style w:styleId="Heading9" w:type="paragraph">
    <w:name w:val="Heading 9"/>
    <w:basedOn w:val="Normal"/>
    <w:next w:val="TextBody"/>
    <w:link w:val="Heading9Char"/>
    <w:uiPriority w:val="9"/>
    <w:semiHidden/>
    <w:unhideWhenUsed/>
    <w:qFormat/>
    <w:rsid w:val="00a10fd9"/>
    <w:pPr>
      <w:keepNext w:val="true"/>
      <w:keepLines/>
      <w:spacing w:after="0" w:before="0"/>
      <w:outlineLvl w:val="8"/>
    </w:pPr>
    <w:rPr>
      <w:rFonts w:cs="" w:cstheme="majorBidi" w:eastAsia="" w:eastAsiaTheme="majorEastAsia"/>
      <w:color w:themeColor="text1" w:themeTint="d8" w:val="272727"/>
    </w:rPr>
  </w:style>
  <w:style w:customStyle="1" w:styleId="TitleChar" w:type="character">
    <w:name w:val="Title Char"/>
    <w:basedOn w:val="DefaultParagraphFont"/>
    <w:link w:val="Title"/>
    <w:uiPriority w:val="10"/>
    <w:qFormat/>
    <w:rsid w:val="00a10fd9"/>
    <w:rPr>
      <w:rFonts w:ascii="Aptos Display" w:asciiTheme="majorHAnsi" w:cs="" w:cstheme="majorBidi" w:eastAsia="" w:eastAsiaTheme="majorEastAsia" w:hAnsi="Aptos Display" w:hAnsiTheme="majorHAnsi"/>
      <w:spacing w:val="-10"/>
      <w:kern w:val="2"/>
      <w:sz w:val="56"/>
      <w:szCs w:val="56"/>
    </w:rPr>
  </w:style>
  <w:style w:customStyle="1" w:styleId="SubtitleChar" w:type="character">
    <w:name w:val="Subtitle Char"/>
    <w:basedOn w:val="DefaultParagraphFont"/>
    <w:link w:val="Subtitle"/>
    <w:uiPriority w:val="11"/>
    <w:qFormat/>
    <w:rsid w:val="00a10fd9"/>
    <w:rPr>
      <w:rFonts w:cs="" w:cstheme="majorBidi" w:eastAsia="" w:eastAsiaTheme="majorEastAsia"/>
      <w:color w:themeColor="text1" w:themeTint="a6" w:val="595959"/>
      <w:spacing w:val="15"/>
      <w:sz w:val="28"/>
      <w:szCs w:val="28"/>
    </w:rPr>
  </w:style>
  <w:style w:customStyle="1" w:styleId="Heading1Char" w:type="character">
    <w:name w:val="Heading 1 Char"/>
    <w:basedOn w:val="DefaultParagraphFont"/>
    <w:link w:val="Heading1"/>
    <w:uiPriority w:val="9"/>
    <w:qFormat/>
    <w:rsid w:val="00a10fd9"/>
    <w:rPr>
      <w:rFonts w:ascii="Aptos Display" w:asciiTheme="majorHAnsi" w:cs="" w:cstheme="majorBidi" w:eastAsia="" w:eastAsiaTheme="majorEastAsia" w:hAnsi="Aptos Display" w:hAnsiTheme="majorHAnsi"/>
      <w:color w:themeColor="accent1" w:themeShade="bf" w:val="0F4761"/>
      <w:sz w:val="40"/>
      <w:szCs w:val="40"/>
    </w:rPr>
  </w:style>
  <w:style w:customStyle="1" w:styleId="Heading2Char" w:type="character">
    <w:name w:val="Heading 2 Char"/>
    <w:basedOn w:val="DefaultParagraphFont"/>
    <w:link w:val="Heading2"/>
    <w:uiPriority w:val="9"/>
    <w:semiHidden/>
    <w:qFormat/>
    <w:rsid w:val="00a10fd9"/>
    <w:rPr>
      <w:rFonts w:ascii="Aptos Display" w:asciiTheme="majorHAnsi" w:cs="" w:cstheme="majorBidi" w:eastAsia="" w:eastAsiaTheme="majorEastAsia" w:hAnsi="Aptos Display" w:hAnsiTheme="majorHAnsi"/>
      <w:color w:themeColor="accent1" w:themeShade="bf" w:val="0F4761"/>
      <w:sz w:val="32"/>
      <w:szCs w:val="32"/>
    </w:rPr>
  </w:style>
  <w:style w:customStyle="1" w:styleId="Heading3Char" w:type="character">
    <w:name w:val="Heading 3 Char"/>
    <w:basedOn w:val="DefaultParagraphFont"/>
    <w:link w:val="Heading3"/>
    <w:uiPriority w:val="9"/>
    <w:semiHidden/>
    <w:qFormat/>
    <w:rsid w:val="00a10fd9"/>
    <w:rPr>
      <w:rFonts w:cs="" w:cstheme="majorBidi" w:eastAsia=""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qFormat/>
    <w:rsid w:val="00a10fd9"/>
    <w:rPr>
      <w:rFonts w:cs="" w:cstheme="majorBidi" w:eastAsia="" w:eastAsiaTheme="majorEastAsia"/>
      <w:i/>
      <w:iCs/>
      <w:color w:themeColor="accent1" w:themeShade="bf" w:val="0F4761"/>
    </w:rPr>
  </w:style>
  <w:style w:customStyle="1" w:styleId="Heading5Char" w:type="character">
    <w:name w:val="Heading 5 Char"/>
    <w:basedOn w:val="DefaultParagraphFont"/>
    <w:link w:val="Heading5"/>
    <w:uiPriority w:val="9"/>
    <w:semiHidden/>
    <w:qFormat/>
    <w:rsid w:val="00a10fd9"/>
    <w:rPr>
      <w:rFonts w:cs="" w:cstheme="majorBidi" w:eastAsia="" w:eastAsiaTheme="majorEastAsia"/>
      <w:color w:themeColor="accent1" w:themeShade="bf" w:val="0F4761"/>
    </w:rPr>
  </w:style>
  <w:style w:customStyle="1" w:styleId="Heading6Char" w:type="character">
    <w:name w:val="Heading 6 Char"/>
    <w:basedOn w:val="DefaultParagraphFont"/>
    <w:link w:val="Heading6"/>
    <w:uiPriority w:val="9"/>
    <w:semiHidden/>
    <w:qFormat/>
    <w:rsid w:val="00a10fd9"/>
    <w:rPr>
      <w:rFonts w:cs="" w:cstheme="majorBidi" w:eastAsia="" w:eastAsiaTheme="majorEastAsia"/>
      <w:i/>
      <w:iCs/>
      <w:color w:themeColor="text1" w:themeTint="a6" w:val="595959"/>
    </w:rPr>
  </w:style>
  <w:style w:customStyle="1" w:styleId="Heading7Char" w:type="character">
    <w:name w:val="Heading 7 Char"/>
    <w:basedOn w:val="DefaultParagraphFont"/>
    <w:link w:val="Heading7"/>
    <w:uiPriority w:val="9"/>
    <w:semiHidden/>
    <w:qFormat/>
    <w:rsid w:val="00a10fd9"/>
    <w:rPr>
      <w:rFonts w:cs="" w:cstheme="majorBidi" w:eastAsia="" w:eastAsiaTheme="majorEastAsia"/>
      <w:color w:themeColor="text1" w:themeTint="a6" w:val="595959"/>
    </w:rPr>
  </w:style>
  <w:style w:customStyle="1" w:styleId="Heading8Char" w:type="character">
    <w:name w:val="Heading 8 Char"/>
    <w:basedOn w:val="DefaultParagraphFont"/>
    <w:link w:val="Heading8"/>
    <w:uiPriority w:val="9"/>
    <w:semiHidden/>
    <w:qFormat/>
    <w:rsid w:val="00a10fd9"/>
    <w:rPr>
      <w:rFonts w:cs="" w:cstheme="majorBidi" w:eastAsia="" w:eastAsiaTheme="majorEastAsia"/>
      <w:i/>
      <w:iCs/>
      <w:color w:themeColor="text1" w:themeTint="d8" w:val="272727"/>
    </w:rPr>
  </w:style>
  <w:style w:customStyle="1" w:styleId="Heading9Char" w:type="character">
    <w:name w:val="Heading 9 Char"/>
    <w:basedOn w:val="DefaultParagraphFont"/>
    <w:link w:val="Heading9"/>
    <w:uiPriority w:val="9"/>
    <w:semiHidden/>
    <w:qFormat/>
    <w:rsid w:val="00a10fd9"/>
    <w:rPr>
      <w:rFonts w:cs="" w:cstheme="majorBidi" w:eastAsia="" w:eastAsiaTheme="majorEastAsia"/>
      <w:color w:themeColor="text1" w:themeTint="d8" w:val="272727"/>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styleId="LineNumbering" w:type="character">
    <w:name w:val="Line Numbering"/>
    <w:rPr/>
  </w:style>
  <w:style w:styleId="EndnoteAnchor" w:type="character">
    <w:name w:val="Endnote Anchor"/>
    <w:rPr>
      <w:vertAlign w:val="superscript"/>
    </w:rPr>
  </w:style>
  <w:style w:styleId="EndnoteCharacters" w:type="character">
    <w:name w:val="Endnote Characters"/>
    <w:qFormat/>
    <w:rPr/>
  </w:style>
  <w:style w:styleId="Heading" w:type="paragraph">
    <w:name w:val="Heading"/>
    <w:basedOn w:val="Normal"/>
    <w:next w:val="TextBody"/>
    <w:qFormat/>
    <w:pPr>
      <w:keepNext w:val="true"/>
      <w:spacing w:after="120" w:before="240"/>
    </w:pPr>
    <w:rPr>
      <w:rFonts w:ascii="Liberation Sans" w:cs="FreeSans" w:eastAsia="Noto Sans CJK SC" w:hAnsi="Liberation Sans"/>
      <w:sz w:val="28"/>
      <w:szCs w:val="28"/>
    </w:rPr>
  </w:style>
  <w:style w:styleId="TextBody" w:type="paragraph">
    <w:name w:val="Body Text"/>
    <w:basedOn w:val="Normal"/>
    <w:link w:val="BodyTextChar"/>
    <w:qFormat/>
    <w:pPr>
      <w:spacing w:after="180" w:before="180" w:line="480" w:lineRule="auto"/>
      <w:ind w:hanging="0" w:left="0" w:right="0"/>
    </w:pPr>
    <w:rPr/>
  </w:style>
  <w:style w:styleId="List" w:type="paragraph">
    <w:name w:val="List"/>
    <w:basedOn w:val="TextBody"/>
    <w:pPr/>
    <w:rPr>
      <w:rFonts w:cs="FreeSans"/>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FreeSans"/>
    </w:rPr>
  </w:style>
  <w:style w:customStyle="1" w:styleId="FirstParagraph" w:type="paragraph">
    <w:name w:val="First Paragraph"/>
    <w:basedOn w:val="TextBody"/>
    <w:next w:val="TextBody"/>
    <w:qFormat/>
    <w:pPr>
      <w:spacing w:line="480" w:lineRule="auto"/>
      <w:ind w:hanging="0" w:left="0" w:right="0"/>
    </w:pPr>
    <w:rPr/>
  </w:style>
  <w:style w:customStyle="1" w:styleId="Compact" w:type="paragraph">
    <w:name w:val="Compact"/>
    <w:basedOn w:val="TextBody"/>
    <w:qFormat/>
    <w:pPr>
      <w:spacing w:after="36" w:before="36"/>
    </w:pPr>
    <w:rPr/>
  </w:style>
  <w:style w:styleId="Title" w:type="paragraph">
    <w:name w:val="Title"/>
    <w:basedOn w:val="Normal"/>
    <w:next w:val="TextBody"/>
    <w:link w:val="TitleChar"/>
    <w:uiPriority w:val="10"/>
    <w:qFormat/>
    <w:rsid w:val="00a10fd9"/>
    <w:pPr>
      <w:spacing w:after="80" w:before="0" w:line="240" w:lineRule="auto"/>
      <w:contextualSpacing/>
      <w:jc w:val="center"/>
    </w:pPr>
    <w:rPr>
      <w:rFonts w:ascii="Aptos Display" w:asciiTheme="majorHAnsi" w:cs="" w:cstheme="majorBidi" w:eastAsia="" w:eastAsiaTheme="majorEastAsia" w:hAnsi="Aptos Display" w:hAnsiTheme="majorHAnsi"/>
      <w:spacing w:val="-10"/>
      <w:kern w:val="2"/>
      <w:sz w:val="56"/>
      <w:szCs w:val="56"/>
    </w:rPr>
  </w:style>
  <w:style w:styleId="Subtitle" w:type="paragraph">
    <w:name w:val="Subtitle"/>
    <w:basedOn w:val="Title"/>
    <w:next w:val="TextBody"/>
    <w:link w:val="SubtitleChar"/>
    <w:uiPriority w:val="11"/>
    <w:qFormat/>
    <w:rsid w:val="00a10fd9"/>
    <w:pPr/>
    <w:rPr>
      <w:rFonts w:cs="" w:cstheme="majorBidi" w:eastAsia="" w:eastAsiaTheme="majorEastAsia"/>
      <w:spacing w:val="15"/>
      <w:sz w:val="28"/>
      <w:szCs w:val="28"/>
    </w:rPr>
  </w:style>
  <w:style w:customStyle="1" w:styleId="Author" w:type="paragraph">
    <w:name w:val="Author"/>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Aptos" w:asciiTheme="minorHAnsi" w:cs="" w:cstheme="minorBidi" w:eastAsia="Aptos" w:eastAsiaTheme="minorHAnsi" w:hAnsi="Aptos" w:hAnsiTheme="minorHAnsi"/>
      <w:color w:val="auto"/>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b/>
      <w:sz w:val="20"/>
      <w:szCs w:val="20"/>
    </w:rPr>
  </w:style>
  <w:style w:customStyle="1" w:styleId="Abstract" w:type="paragraph">
    <w:name w:val="Abstract"/>
    <w:basedOn w:val="Normal"/>
    <w:next w:val="TextBody"/>
    <w:qFormat/>
    <w:pPr>
      <w:keepNext w:val="true"/>
      <w:keepLines/>
      <w:spacing w:after="300" w:before="1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styleId="FootnoteBlockText" w:type="paragraph">
    <w:name w:val="Footnote Block Text"/>
    <w:basedOn w:val="Footnote"/>
    <w:next w:val="Footnote"/>
    <w:uiPriority w:val="9"/>
    <w:unhideWhenUsed/>
    <w:qFormat/>
    <w:pPr>
      <w:spacing w:after="100" w:before="100"/>
      <w:ind w:hanging="0" w:left="480" w:right="480"/>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spacing w:line="480" w:lineRule="auto"/>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80" w:before="240" w:line="259" w:lineRule="auto"/>
      <w:outlineLvl w:val="9"/>
    </w:pPr>
    <w:rPr>
      <w:rFonts w:ascii="Aptos Display" w:asciiTheme="majorHAnsi" w:cs="" w:cstheme="majorBidi" w:eastAsia="" w:eastAsiaTheme="majorEastAsia" w:hAnsi="Aptos Display" w:hAnsiTheme="majorHAnsi"/>
      <w:b w:val="false"/>
      <w:bCs w:val="false"/>
      <w:color w:themeColor="accent1" w:themeShade="bf" w:val="365F91"/>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hyperlink" Id="rId61" Target="https://doi.org/10.1001/jamapediatrics.2017.5323" TargetMode="External" /><Relationship Type="http://schemas.openxmlformats.org/officeDocument/2006/relationships/hyperlink" Id="rId66" Target="https://doi.org/10.1002/ana.410240208" TargetMode="External" /><Relationship Type="http://schemas.openxmlformats.org/officeDocument/2006/relationships/hyperlink" Id="rId102" Target="https://doi.org/10.1002/hbm.10062" TargetMode="External" /><Relationship Type="http://schemas.openxmlformats.org/officeDocument/2006/relationships/hyperlink" Id="rId96" Target="https://doi.org/10.1002/jmri.21995" TargetMode="External" /><Relationship Type="http://schemas.openxmlformats.org/officeDocument/2006/relationships/hyperlink" Id="rId118" Target="https://doi.org/10.1002/mrm.1910240219" TargetMode="External" /><Relationship Type="http://schemas.openxmlformats.org/officeDocument/2006/relationships/hyperlink" Id="rId116" Target="https://doi.org/10.1002/mrm.21283" TargetMode="External" /><Relationship Type="http://schemas.openxmlformats.org/officeDocument/2006/relationships/hyperlink" Id="rId76" Target="https://doi.org/10.1002/mrm.21627" TargetMode="External" /><Relationship Type="http://schemas.openxmlformats.org/officeDocument/2006/relationships/hyperlink" Id="rId78" Target="https://doi.org/10.1002/mrm.21994" TargetMode="External" /><Relationship Type="http://schemas.openxmlformats.org/officeDocument/2006/relationships/hyperlink" Id="rId94" Target="https://doi.org/10.1002/mrm.25197" TargetMode="External" /><Relationship Type="http://schemas.openxmlformats.org/officeDocument/2006/relationships/hyperlink" Id="rId114" Target="https://doi.org/10.1002/mrm.26978" TargetMode="External" /><Relationship Type="http://schemas.openxmlformats.org/officeDocument/2006/relationships/hyperlink" Id="rId88" Target="https://doi.org/10.1002/mrm.27788" TargetMode="External" /><Relationship Type="http://schemas.openxmlformats.org/officeDocument/2006/relationships/hyperlink" Id="rId108" Target="https://doi.org/10.1002/nbm.3056" TargetMode="External" /><Relationship Type="http://schemas.openxmlformats.org/officeDocument/2006/relationships/hyperlink" Id="rId82" Target="https://doi.org/10.1002/nbm.3067" TargetMode="External" /><Relationship Type="http://schemas.openxmlformats.org/officeDocument/2006/relationships/hyperlink" Id="rId126" Target="https://doi.org/10.1007/s00330-017-5160-x" TargetMode="External" /><Relationship Type="http://schemas.openxmlformats.org/officeDocument/2006/relationships/hyperlink" Id="rId70" Target="https://doi.org/10.1016/0005-2728(88)90069-2" TargetMode="External" /><Relationship Type="http://schemas.openxmlformats.org/officeDocument/2006/relationships/hyperlink" Id="rId98" Target="https://doi.org/10.1016/j.jneumeth.2016.03.001" TargetMode="External" /><Relationship Type="http://schemas.openxmlformats.org/officeDocument/2006/relationships/hyperlink" Id="rId124" Target="https://doi.org/10.1016/j.mri.2023.11.008" TargetMode="External" /><Relationship Type="http://schemas.openxmlformats.org/officeDocument/2006/relationships/hyperlink" Id="rId72" Target="https://doi.org/10.1016/j.neuroimage.2004.07.011" TargetMode="External" /><Relationship Type="http://schemas.openxmlformats.org/officeDocument/2006/relationships/hyperlink" Id="rId100" Target="https://doi.org/10.1016/j.neuroimage.2008.10.055" TargetMode="External" /><Relationship Type="http://schemas.openxmlformats.org/officeDocument/2006/relationships/hyperlink" Id="rId80" Target="https://doi.org/10.1016/j.neuroimage.2014.03.060" TargetMode="External" /><Relationship Type="http://schemas.openxmlformats.org/officeDocument/2006/relationships/hyperlink" Id="rId104" Target="https://doi.org/10.1016/j.neuroimage.2017.11.018" TargetMode="External" /><Relationship Type="http://schemas.openxmlformats.org/officeDocument/2006/relationships/hyperlink" Id="rId110" Target="https://doi.org/10.1016/j.neuroimage.2021.118371" TargetMode="External" /><Relationship Type="http://schemas.openxmlformats.org/officeDocument/2006/relationships/hyperlink" Id="rId122" Target="https://doi.org/10.1016/j.neuroimage.2023.120357" TargetMode="External" /><Relationship Type="http://schemas.openxmlformats.org/officeDocument/2006/relationships/hyperlink" Id="rId90" Target="https://doi.org/10.1038/jcbfm.2010.49" TargetMode="External" /><Relationship Type="http://schemas.openxmlformats.org/officeDocument/2006/relationships/hyperlink" Id="rId74" Target="https://doi.org/10.1038/jcbfm.2011.34" TargetMode="External" /><Relationship Type="http://schemas.openxmlformats.org/officeDocument/2006/relationships/hyperlink" Id="rId86" Target="https://doi.org/10.1038/jcbfm.2013.214" TargetMode="External" /><Relationship Type="http://schemas.openxmlformats.org/officeDocument/2006/relationships/hyperlink" Id="rId63" Target="https://doi.org/10.1038/s41390-021-01460-3" TargetMode="External" /><Relationship Type="http://schemas.openxmlformats.org/officeDocument/2006/relationships/hyperlink" Id="rId112" Target="https://doi.org/10.1101/2021.04.14.439812" TargetMode="External" /><Relationship Type="http://schemas.openxmlformats.org/officeDocument/2006/relationships/hyperlink" Id="rId68" Target="https://doi.org/10.1203/00006450-199301000-00011" TargetMode="External" /><Relationship Type="http://schemas.openxmlformats.org/officeDocument/2006/relationships/hyperlink" Id="rId59" Target="https://doi.org/10.1542/peds.2021-053509K" TargetMode="External" /><Relationship Type="http://schemas.openxmlformats.org/officeDocument/2006/relationships/hyperlink" Id="rId92" Target="https://doi.org/10.3174/ajnr.A7086" TargetMode="External" /><Relationship Type="http://schemas.openxmlformats.org/officeDocument/2006/relationships/hyperlink" Id="rId84" Target="https://doi.org/10.3389/fphys.2018.00233" TargetMode="External" /><Relationship Type="http://schemas.openxmlformats.org/officeDocument/2006/relationships/hyperlink" Id="rId106" Target="https://doi.org/10.5281/zenodo.8376979" TargetMode="External" /><Relationship Type="http://schemas.openxmlformats.org/officeDocument/2006/relationships/hyperlink" Id="rId20" Target="mailto:aweber@bcchr.ca"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01/jamapediatrics.2017.5323" TargetMode="External" /><Relationship Type="http://schemas.openxmlformats.org/officeDocument/2006/relationships/hyperlink" Id="rId66" Target="https://doi.org/10.1002/ana.410240208" TargetMode="External" /><Relationship Type="http://schemas.openxmlformats.org/officeDocument/2006/relationships/hyperlink" Id="rId102" Target="https://doi.org/10.1002/hbm.10062" TargetMode="External" /><Relationship Type="http://schemas.openxmlformats.org/officeDocument/2006/relationships/hyperlink" Id="rId96" Target="https://doi.org/10.1002/jmri.21995" TargetMode="External" /><Relationship Type="http://schemas.openxmlformats.org/officeDocument/2006/relationships/hyperlink" Id="rId118" Target="https://doi.org/10.1002/mrm.1910240219" TargetMode="External" /><Relationship Type="http://schemas.openxmlformats.org/officeDocument/2006/relationships/hyperlink" Id="rId116" Target="https://doi.org/10.1002/mrm.21283" TargetMode="External" /><Relationship Type="http://schemas.openxmlformats.org/officeDocument/2006/relationships/hyperlink" Id="rId76" Target="https://doi.org/10.1002/mrm.21627" TargetMode="External" /><Relationship Type="http://schemas.openxmlformats.org/officeDocument/2006/relationships/hyperlink" Id="rId78" Target="https://doi.org/10.1002/mrm.21994" TargetMode="External" /><Relationship Type="http://schemas.openxmlformats.org/officeDocument/2006/relationships/hyperlink" Id="rId94" Target="https://doi.org/10.1002/mrm.25197" TargetMode="External" /><Relationship Type="http://schemas.openxmlformats.org/officeDocument/2006/relationships/hyperlink" Id="rId114" Target="https://doi.org/10.1002/mrm.26978" TargetMode="External" /><Relationship Type="http://schemas.openxmlformats.org/officeDocument/2006/relationships/hyperlink" Id="rId88" Target="https://doi.org/10.1002/mrm.27788" TargetMode="External" /><Relationship Type="http://schemas.openxmlformats.org/officeDocument/2006/relationships/hyperlink" Id="rId108" Target="https://doi.org/10.1002/nbm.3056" TargetMode="External" /><Relationship Type="http://schemas.openxmlformats.org/officeDocument/2006/relationships/hyperlink" Id="rId82" Target="https://doi.org/10.1002/nbm.3067" TargetMode="External" /><Relationship Type="http://schemas.openxmlformats.org/officeDocument/2006/relationships/hyperlink" Id="rId126" Target="https://doi.org/10.1007/s00330-017-5160-x" TargetMode="External" /><Relationship Type="http://schemas.openxmlformats.org/officeDocument/2006/relationships/hyperlink" Id="rId70" Target="https://doi.org/10.1016/0005-2728(88)90069-2" TargetMode="External" /><Relationship Type="http://schemas.openxmlformats.org/officeDocument/2006/relationships/hyperlink" Id="rId98" Target="https://doi.org/10.1016/j.jneumeth.2016.03.001" TargetMode="External" /><Relationship Type="http://schemas.openxmlformats.org/officeDocument/2006/relationships/hyperlink" Id="rId124" Target="https://doi.org/10.1016/j.mri.2023.11.008" TargetMode="External" /><Relationship Type="http://schemas.openxmlformats.org/officeDocument/2006/relationships/hyperlink" Id="rId72" Target="https://doi.org/10.1016/j.neuroimage.2004.07.011" TargetMode="External" /><Relationship Type="http://schemas.openxmlformats.org/officeDocument/2006/relationships/hyperlink" Id="rId100" Target="https://doi.org/10.1016/j.neuroimage.2008.10.055" TargetMode="External" /><Relationship Type="http://schemas.openxmlformats.org/officeDocument/2006/relationships/hyperlink" Id="rId80" Target="https://doi.org/10.1016/j.neuroimage.2014.03.060" TargetMode="External" /><Relationship Type="http://schemas.openxmlformats.org/officeDocument/2006/relationships/hyperlink" Id="rId104" Target="https://doi.org/10.1016/j.neuroimage.2017.11.018" TargetMode="External" /><Relationship Type="http://schemas.openxmlformats.org/officeDocument/2006/relationships/hyperlink" Id="rId110" Target="https://doi.org/10.1016/j.neuroimage.2021.118371" TargetMode="External" /><Relationship Type="http://schemas.openxmlformats.org/officeDocument/2006/relationships/hyperlink" Id="rId122" Target="https://doi.org/10.1016/j.neuroimage.2023.120357" TargetMode="External" /><Relationship Type="http://schemas.openxmlformats.org/officeDocument/2006/relationships/hyperlink" Id="rId90" Target="https://doi.org/10.1038/jcbfm.2010.49" TargetMode="External" /><Relationship Type="http://schemas.openxmlformats.org/officeDocument/2006/relationships/hyperlink" Id="rId74" Target="https://doi.org/10.1038/jcbfm.2011.34" TargetMode="External" /><Relationship Type="http://schemas.openxmlformats.org/officeDocument/2006/relationships/hyperlink" Id="rId86" Target="https://doi.org/10.1038/jcbfm.2013.214" TargetMode="External" /><Relationship Type="http://schemas.openxmlformats.org/officeDocument/2006/relationships/hyperlink" Id="rId63" Target="https://doi.org/10.1038/s41390-021-01460-3" TargetMode="External" /><Relationship Type="http://schemas.openxmlformats.org/officeDocument/2006/relationships/hyperlink" Id="rId112" Target="https://doi.org/10.1101/2021.04.14.439812" TargetMode="External" /><Relationship Type="http://schemas.openxmlformats.org/officeDocument/2006/relationships/hyperlink" Id="rId68" Target="https://doi.org/10.1203/00006450-199301000-00011" TargetMode="External" /><Relationship Type="http://schemas.openxmlformats.org/officeDocument/2006/relationships/hyperlink" Id="rId59" Target="https://doi.org/10.1542/peds.2021-053509K" TargetMode="External" /><Relationship Type="http://schemas.openxmlformats.org/officeDocument/2006/relationships/hyperlink" Id="rId92" Target="https://doi.org/10.3174/ajnr.A7086" TargetMode="External" /><Relationship Type="http://schemas.openxmlformats.org/officeDocument/2006/relationships/hyperlink" Id="rId84" Target="https://doi.org/10.3389/fphys.2018.00233" TargetMode="External" /><Relationship Type="http://schemas.openxmlformats.org/officeDocument/2006/relationships/hyperlink" Id="rId106" Target="https://doi.org/10.5281/zenodo.8376979" TargetMode="External" /><Relationship Type="http://schemas.openxmlformats.org/officeDocument/2006/relationships/hyperlink" Id="rId20" Target="mailto:aweber@bcchr.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120</TotalTime>
  <Application>LibreOffice/7.3.7.2$Linux_X86_64 LibreOffice_project/30$Build-2</Application>
  <AppVersion>15.0000</AppVersion>
  <Pages>1</Pages>
  <Words>53</Words>
  <Characters>281</Characters>
  <CharactersWithSpaces>370</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Application of Magnetic Susceptibility Separation for Measuring Cerebral Oxygenation in Preterm Neonates</dc:title>
  <dc:creator>Thomas Gavin Carmichael1,2, Alexander Rauscher3, Ruth E Grunau2,3, and Alexander Mark Weber2,3,✉</dc:creator>
  <cp:keywords>Quantitative Susceptbility Mapping, Preterm, Newborn, Cerebral Venous Oxygen Saturation</cp:keywords>
  <dcterms:created xsi:type="dcterms:W3CDTF">2024-10-11T16:40:55Z</dcterms:created>
  <dcterms:modified xsi:type="dcterms:W3CDTF">2024-10-11T16:40:55Z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Background: Quantitative susceptibility mapping (QSM), an magnetic resonance imaging (MRI) modality sensitive to deoxyhemoglobin, is a promising method for measuring cerebral oxygenation in human neonates. Paramagnetic sources, like deoxyhemoglobin, however, can be obscured by diamagnetic sources such as water and myelin. This study evaluated whether QSM images, or isolated paramagnetic components, are more accurate for measuring oxygenation of cerebral veins of preterm neonates, and explored oxygenation differences between the major cerebral veins.Methods: 19 preterm neonates were scanned on at term equivalent age on a 3T MRI using a multi-echo susceptibility-weighted imaging sequence. Susceptibility values were calculated from QSM images to determine oxygen saturation (SvO2) in the superior sagittal sinus (SSS) and central cerebral veins (CCV). The paramagnetic components of QSM images were isolated, and SvO2 values were recalculated.Results: The mean SvO2 values from QSM were 72.4% (SD, 3.4%) for the SSS and and 68.7% (SD, 3.5%) for the CCV. SvO2 values for paramagnetic components were 58.1% (SD, 7.3%) for the SSS and 57.7% (SD, 7.0%) for the CCV.Conclusion: While paramagnetic component decomposition yielded more accurate SSS values, it increased variability. No significant oxygenation differences were found between the SSS and CCV, contrasting with prior studies.</vt:lpwstr>
  </property>
  <property fmtid="{D5CDD505-2E9C-101B-9397-08002B2CF9AE}" pid="3" name="authors">
    <vt:lpwstr/>
  </property>
  <property fmtid="{D5CDD505-2E9C-101B-9397-08002B2CF9AE}" pid="4" name="biblio-config">
    <vt:lpwstr>True</vt:lpwstr>
  </property>
  <property fmtid="{D5CDD505-2E9C-101B-9397-08002B2CF9AE}" pid="5" name="bibliography">
    <vt:lpwstr>Gavin_Thesis_Ref.bib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crossref">
    <vt:lpwstr/>
  </property>
  <property fmtid="{D5CDD505-2E9C-101B-9397-08002B2CF9AE}" pid="11" name="csl">
    <vt:lpwstr>pediatric-research.csl</vt:lpwstr>
  </property>
  <property fmtid="{D5CDD505-2E9C-101B-9397-08002B2CF9AE}" pid="12" name="date">
    <vt:lpwstr>Invalid Date</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itlerunning">
    <vt:lpwstr>SVO2</vt:lpwstr>
  </property>
  <property fmtid="{D5CDD505-2E9C-101B-9397-08002B2CF9AE}" pid="27" name="toc-title">
    <vt:lpwstr>Table of contents</vt:lpwstr>
  </property>
  <property fmtid="{D5CDD505-2E9C-101B-9397-08002B2CF9AE}" pid="28" name="unroll-markdown-cells">
    <vt:lpwstr>True</vt:lpwstr>
  </property>
</Properties>
</file>