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2"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r>
        <w:br w:type="page"/>
      </w:r>
    </w:p>
    <w:bookmarkEnd w:id="22"/>
    <w:bookmarkStart w:id="23"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3"/>
    <w:bookmarkStart w:id="30"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4"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4"/>
    <w:bookmarkStart w:id="26"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5"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5"/>
        </w:tc>
      </w:tr>
    </w:tbl>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20</w:t>
      </w:r>
      <w:r>
        <w:t xml:space="preserve"> </w:t>
      </w:r>
      <w:r>
        <w:t xml:space="preserve">(axial), a multi-echo susceptibility-weighted imaging scan</w:t>
      </w:r>
      <w:r>
        <w:rPr>
          <w:vertAlign w:val="superscript"/>
        </w:rPr>
        <w:t xml:space="preserve">21</w:t>
      </w:r>
      <w:r>
        <w:t xml:space="preserve"> </w:t>
      </w:r>
      <w:r>
        <w:t xml:space="preserve">(axial), and a diffusion-weighted imaging (DWI) spin-echo echo planar imaging (EPI) sequence (axial). The DWI sequence was not used for the present study.</w:t>
      </w:r>
    </w:p>
    <w:bookmarkEnd w:id="26"/>
    <w:bookmarkStart w:id="28"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22</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p>
      <w:pPr>
        <w:pStyle w:val="TextBody"/>
      </w:pPr>
      <w:r>
        <w:t xml:space="preserve">First, the fifth echo (TE = 25.96 ms) SWI magnitude file was processed using FSL’s (v. 6.0.7.3)</w:t>
      </w:r>
      <w:r>
        <w:rPr>
          <w:vertAlign w:val="superscript"/>
        </w:rPr>
        <w:t xml:space="preserve">23</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24</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25</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26</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27</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28</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29</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30</w:t>
      </w:r>
      <w:r>
        <w:t xml:space="preserve">:</w:t>
      </w:r>
    </w:p>
    <w:p>
      <w:pPr>
        <w:pStyle w:val="TextBody"/>
      </w:pPr>
      <w:bookmarkStart w:id="27"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27"/>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31</w:t>
      </w:r>
      <w:r>
        <w:t xml:space="preserve"> </w:t>
      </w:r>
      <w:r>
        <w:t xml:space="preserve">and</w:t>
      </w:r>
      <w:r>
        <w:rPr>
          <w:vertAlign w:val="superscript"/>
        </w:rPr>
        <w:t xml:space="preserve">32</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33</w:t>
      </w:r>
      <w:r>
        <w:t xml:space="preserve">. Subjects’ Hct for the day of the scan was calculated using a four-parameter Weibull function with previously measured values while still in the NICU.</w:t>
      </w:r>
    </w:p>
    <w:bookmarkEnd w:id="28"/>
    <w:bookmarkStart w:id="29"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34,35</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29"/>
    <w:bookmarkEnd w:id="30"/>
    <w:bookmarkStart w:id="33"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1"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1"/>
        </w:tc>
      </w:tr>
    </w:tbl>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32"/>
        </w:tc>
      </w:tr>
    </w:tbl>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bookmarkEnd w:id="33"/>
    <w:bookmarkStart w:id="3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29,36</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35"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34"/>
        </w:tc>
      </w:tr>
    </w:tbl>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16,18,37</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31</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16,37</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38</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38</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38</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38</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38</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29</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35"/>
    <w:bookmarkStart w:id="36"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29</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36"/>
    <w:bookmarkEnd w:id="37"/>
    <w:bookmarkStart w:id="40"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39" w:name="data-availability"/>
    <w:p>
      <w:pPr>
        <w:pStyle w:val="Heading2"/>
      </w:pPr>
      <w:r>
        <w:t xml:space="preserve">Data availability</w:t>
      </w:r>
    </w:p>
    <w:p>
      <w:pPr>
        <w:pStyle w:val="FirstParagraph"/>
      </w:pPr>
      <w:r>
        <w:t xml:space="preserve">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38">
        <w:r>
          <w:rPr>
            <w:rStyle w:val="InternetLink"/>
          </w:rPr>
          <w:t xml:space="preserve">https://github.com/WeberLab/Chisep_CSVO2_Manuscript</w:t>
        </w:r>
      </w:hyperlink>
    </w:p>
    <w:p>
      <w:pPr>
        <w:pStyle w:val="TextBody"/>
      </w:pPr>
      <w:r>
        <w:t xml:space="preserve">Unfortunately, we can not upload our MRI images to an open repository as we did not obtain permission in our consent forms.</w:t>
      </w:r>
    </w:p>
    <w:bookmarkEnd w:id="39"/>
    <w:bookmarkEnd w:id="40"/>
    <w:bookmarkStart w:id="140" w:name="references"/>
    <w:p>
      <w:pPr>
        <w:pStyle w:val="Heading1"/>
      </w:pPr>
      <w:r>
        <w:t xml:space="preserve">References</w:t>
      </w:r>
    </w:p>
    <w:bookmarkStart w:id="114" w:name="refs"/>
    <w:bookmarkStart w:id="42" w:name="X49e15ea137bd1324737a91e5bc6ca8354ddc210"/>
    <w:p>
      <w:pPr>
        <w:pStyle w:val="Bibliography"/>
      </w:pPr>
      <w:r>
        <w:t xml:space="preserve">1.</w:t>
      </w:r>
      <w:r>
        <w:t xml:space="preserve"> </w:t>
      </w:r>
      <w:r>
        <w:t xml:space="preserve">	</w:t>
      </w:r>
      <w:r>
        <w:t xml:space="preserve">McKenzie, K., Lynch, E. &amp; Msall, M. E.</w:t>
      </w:r>
      <w:r>
        <w:t xml:space="preserve"> </w:t>
      </w:r>
      <w:hyperlink r:id="rId41">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42"/>
    <w:bookmarkStart w:id="44"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43">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44"/>
    <w:bookmarkStart w:id="46"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45">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46"/>
    <w:bookmarkStart w:id="47"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47"/>
    <w:bookmarkStart w:id="49"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48">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49"/>
    <w:bookmarkStart w:id="51" w:name="ref-skovEstimationCerebralVenous1993"/>
    <w:p>
      <w:pPr>
        <w:pStyle w:val="Bibliography"/>
      </w:pPr>
      <w:r>
        <w:t xml:space="preserve">6.</w:t>
      </w:r>
      <w:r>
        <w:t xml:space="preserve"> </w:t>
      </w:r>
      <w:r>
        <w:t xml:space="preserve">	</w:t>
      </w:r>
      <w:r>
        <w:t xml:space="preserve">Skov, L., Pryds, O., Greisen, G. &amp; Lou, H.</w:t>
      </w:r>
      <w:r>
        <w:t xml:space="preserve"> </w:t>
      </w:r>
      <w:hyperlink r:id="rId50">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51"/>
    <w:bookmarkStart w:id="53"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52">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53"/>
    <w:bookmarkStart w:id="55" w:name="ref-boasDiffuseOpticalImaging2004"/>
    <w:p>
      <w:pPr>
        <w:pStyle w:val="Bibliography"/>
      </w:pPr>
      <w:r>
        <w:t xml:space="preserve">8.</w:t>
      </w:r>
      <w:r>
        <w:t xml:space="preserve"> </w:t>
      </w:r>
      <w:r>
        <w:t xml:space="preserve">	</w:t>
      </w:r>
      <w:r>
        <w:t xml:space="preserve">Boas, D. A., Dale, A. M. &amp; Franceschini, M. A.</w:t>
      </w:r>
      <w:r>
        <w:t xml:space="preserve"> </w:t>
      </w:r>
      <w:hyperlink r:id="rId54">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55"/>
    <w:bookmarkStart w:id="57"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56">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57"/>
    <w:bookmarkStart w:id="59" w:name="Xdd87e6070759e3a175623de62eea38ae2bbb5d8"/>
    <w:p>
      <w:pPr>
        <w:pStyle w:val="Bibliography"/>
      </w:pPr>
      <w:r>
        <w:t xml:space="preserve">10.</w:t>
      </w:r>
      <w:r>
        <w:t xml:space="preserve"> </w:t>
      </w:r>
      <w:r>
        <w:t xml:space="preserve">	</w:t>
      </w:r>
      <w:r>
        <w:t xml:space="preserve">Lu, H. &amp; Ge, Y.</w:t>
      </w:r>
      <w:r>
        <w:t xml:space="preserve"> </w:t>
      </w:r>
      <w:hyperlink r:id="rId58">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59"/>
    <w:bookmarkStart w:id="61" w:name="Xac8b31d5d63c6848af93bee355903810fe6affa"/>
    <w:p>
      <w:pPr>
        <w:pStyle w:val="Bibliography"/>
      </w:pPr>
      <w:r>
        <w:t xml:space="preserve">11.</w:t>
      </w:r>
      <w:r>
        <w:t xml:space="preserve"> </w:t>
      </w:r>
      <w:r>
        <w:t xml:space="preserve">	</w:t>
      </w:r>
      <w:r>
        <w:t xml:space="preserve">Xu, F., Ge, Y. &amp; Lu, H.</w:t>
      </w:r>
      <w:r>
        <w:t xml:space="preserve"> </w:t>
      </w:r>
      <w:hyperlink r:id="rId60">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61"/>
    <w:bookmarkStart w:id="63"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62">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63"/>
    <w:bookmarkStart w:id="65"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64">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65"/>
    <w:bookmarkStart w:id="67" w:name="ref-qiHemodynamicMetabolicAssessment2018"/>
    <w:p>
      <w:pPr>
        <w:pStyle w:val="Bibliography"/>
      </w:pPr>
      <w:r>
        <w:t xml:space="preserve">14.</w:t>
      </w:r>
      <w:r>
        <w:t xml:space="preserve"> </w:t>
      </w:r>
      <w:r>
        <w:t xml:space="preserve">	</w:t>
      </w:r>
      <w:r>
        <w:t xml:space="preserve">Qi, Y., Liu, P., Lin, Z., Lu, H. &amp; Wang, X.</w:t>
      </w:r>
      <w:r>
        <w:t xml:space="preserve"> </w:t>
      </w:r>
      <w:hyperlink r:id="rId66">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67"/>
    <w:bookmarkStart w:id="69"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68">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69"/>
    <w:bookmarkStart w:id="71"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70">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71"/>
    <w:bookmarkStart w:id="73" w:name="ref-jainMRIEstimationGlobal2010"/>
    <w:p>
      <w:pPr>
        <w:pStyle w:val="Bibliography"/>
      </w:pPr>
      <w:r>
        <w:t xml:space="preserve">17.</w:t>
      </w:r>
      <w:r>
        <w:t xml:space="preserve"> </w:t>
      </w:r>
      <w:r>
        <w:t xml:space="preserve">	</w:t>
      </w:r>
      <w:r>
        <w:t xml:space="preserve">Jain, V., Langham, M. C. &amp; Wehrli, F. W.</w:t>
      </w:r>
      <w:r>
        <w:t xml:space="preserve"> </w:t>
      </w:r>
      <w:hyperlink r:id="rId72">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73"/>
    <w:bookmarkStart w:id="75"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74">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75"/>
    <w:bookmarkStart w:id="77"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76">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77"/>
    <w:bookmarkStart w:id="79" w:name="Xc71f4fceba70962315735ff7030a7f1e9918671"/>
    <w:p>
      <w:pPr>
        <w:pStyle w:val="Bibliography"/>
      </w:pPr>
      <w:r>
        <w:t xml:space="preserve">20.</w:t>
      </w:r>
      <w:r>
        <w:t xml:space="preserve"> </w:t>
      </w:r>
      <w:r>
        <w:t xml:space="preserve">	</w:t>
      </w:r>
      <w:r>
        <w:t xml:space="preserve">Alsop, D. C.</w:t>
      </w:r>
      <w:r>
        <w:t xml:space="preserve"> </w:t>
      </w:r>
      <w:r>
        <w:rPr>
          <w:i/>
          <w:iCs/>
        </w:rPr>
        <w:t xml:space="preserve">et al.</w:t>
      </w:r>
      <w:r>
        <w:t xml:space="preserve"> </w:t>
      </w:r>
      <w:hyperlink r:id="rId78">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79"/>
    <w:bookmarkStart w:id="81" w:name="X3152621f57050143f9f0e1c651b557e4ffcbba4"/>
    <w:p>
      <w:pPr>
        <w:pStyle w:val="Bibliography"/>
      </w:pPr>
      <w:r>
        <w:t xml:space="preserve">21.</w:t>
      </w:r>
      <w:r>
        <w:t xml:space="preserve"> </w:t>
      </w:r>
      <w:r>
        <w:t xml:space="preserve">	</w:t>
      </w:r>
      <w:r>
        <w:t xml:space="preserve">Denk, C. &amp; Rauscher, A.</w:t>
      </w:r>
      <w:r>
        <w:t xml:space="preserve"> </w:t>
      </w:r>
      <w:hyperlink r:id="rId80">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81"/>
    <w:bookmarkStart w:id="83" w:name="ref-liFirstStepNeuroimaging2016"/>
    <w:p>
      <w:pPr>
        <w:pStyle w:val="Bibliography"/>
      </w:pPr>
      <w:r>
        <w:t xml:space="preserve">22.</w:t>
      </w:r>
      <w:r>
        <w:t xml:space="preserve"> </w:t>
      </w:r>
      <w:r>
        <w:t xml:space="preserve">	</w:t>
      </w:r>
      <w:r>
        <w:t xml:space="preserve">Li, X., Morgan, P. S., Ashburner, J., Smith, J. &amp; Rorden, C.</w:t>
      </w:r>
      <w:r>
        <w:t xml:space="preserve"> </w:t>
      </w:r>
      <w:hyperlink r:id="rId82">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83"/>
    <w:bookmarkStart w:id="85" w:name="Xffbde0f4ae4c98a61eaead2509f97c3dab005ea"/>
    <w:p>
      <w:pPr>
        <w:pStyle w:val="Bibliography"/>
      </w:pPr>
      <w:r>
        <w:t xml:space="preserve">23.</w:t>
      </w:r>
      <w:r>
        <w:t xml:space="preserve"> </w:t>
      </w:r>
      <w:r>
        <w:t xml:space="preserve">	</w:t>
      </w:r>
      <w:r>
        <w:t xml:space="preserve">Woolrich, M. W.</w:t>
      </w:r>
      <w:r>
        <w:t xml:space="preserve"> </w:t>
      </w:r>
      <w:r>
        <w:rPr>
          <w:i/>
          <w:iCs/>
        </w:rPr>
        <w:t xml:space="preserve">et al.</w:t>
      </w:r>
      <w:r>
        <w:t xml:space="preserve"> </w:t>
      </w:r>
      <w:hyperlink r:id="rId84">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85"/>
    <w:bookmarkStart w:id="87" w:name="ref-smithFastRobustAutomated2002"/>
    <w:p>
      <w:pPr>
        <w:pStyle w:val="Bibliography"/>
      </w:pPr>
      <w:r>
        <w:t xml:space="preserve">24.</w:t>
      </w:r>
      <w:r>
        <w:t xml:space="preserve"> </w:t>
      </w:r>
      <w:r>
        <w:t xml:space="preserve">	</w:t>
      </w:r>
      <w:r>
        <w:t xml:space="preserve">Smith, S. M.</w:t>
      </w:r>
      <w:r>
        <w:t xml:space="preserve"> </w:t>
      </w:r>
      <w:hyperlink r:id="rId86">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87"/>
    <w:bookmarkStart w:id="89" w:name="ref-kamesRapidTwostepDipole2018"/>
    <w:p>
      <w:pPr>
        <w:pStyle w:val="Bibliography"/>
      </w:pPr>
      <w:r>
        <w:t xml:space="preserve">25.</w:t>
      </w:r>
      <w:r>
        <w:t xml:space="preserve"> </w:t>
      </w:r>
      <w:r>
        <w:t xml:space="preserve">	</w:t>
      </w:r>
      <w:r>
        <w:t xml:space="preserve">Kames, C., Wiggermann, V. &amp; Rauscher, A.</w:t>
      </w:r>
      <w:r>
        <w:t xml:space="preserve"> </w:t>
      </w:r>
      <w:hyperlink r:id="rId88">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89"/>
    <w:bookmarkStart w:id="91" w:name="ref-mccarthyFSLeyes2023"/>
    <w:p>
      <w:pPr>
        <w:pStyle w:val="Bibliography"/>
      </w:pPr>
      <w:r>
        <w:t xml:space="preserve">26.</w:t>
      </w:r>
      <w:r>
        <w:t xml:space="preserve"> </w:t>
      </w:r>
      <w:r>
        <w:t xml:space="preserve">	</w:t>
      </w:r>
      <w:r>
        <w:t xml:space="preserve">McCarthy, P.</w:t>
      </w:r>
      <w:r>
        <w:t xml:space="preserve"> </w:t>
      </w:r>
      <w:r>
        <w:t xml:space="preserve">FSLeyes</w:t>
      </w:r>
      <w:r>
        <w:t xml:space="preserve">. (2023) doi:</w:t>
      </w:r>
      <w:hyperlink r:id="rId90">
        <w:r>
          <w:rPr>
            <w:rStyle w:val="InternetLink"/>
          </w:rPr>
          <w:t xml:space="preserve">10.5281/zenodo.8376979</w:t>
        </w:r>
      </w:hyperlink>
      <w:r>
        <w:t xml:space="preserve">.</w:t>
      </w:r>
    </w:p>
    <w:bookmarkEnd w:id="91"/>
    <w:bookmarkStart w:id="93" w:name="ref-liIntegratedLaplacianbasedPhase2014"/>
    <w:p>
      <w:pPr>
        <w:pStyle w:val="Bibliography"/>
      </w:pPr>
      <w:r>
        <w:t xml:space="preserve">27.</w:t>
      </w:r>
      <w:r>
        <w:t xml:space="preserve"> </w:t>
      </w:r>
      <w:r>
        <w:t xml:space="preserve">	</w:t>
      </w:r>
      <w:r>
        <w:t xml:space="preserve">Li, W., Avram, A. V., Wu, B., Xiao, X. &amp; Liu, C.</w:t>
      </w:r>
      <w:r>
        <w:t xml:space="preserve"> </w:t>
      </w:r>
      <w:hyperlink r:id="rId92">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93"/>
    <w:bookmarkStart w:id="95" w:name="X13bd3e6c2d8e7f1a9a86d25866fb03103d0e529"/>
    <w:p>
      <w:pPr>
        <w:pStyle w:val="Bibliography"/>
      </w:pPr>
      <w:r>
        <w:t xml:space="preserve">28.</w:t>
      </w:r>
      <w:r>
        <w:t xml:space="preserve"> </w:t>
      </w:r>
      <w:r>
        <w:t xml:space="preserve">	</w:t>
      </w:r>
      <w:r>
        <w:t xml:space="preserve">Zhang, Y., Rauscher, A., Kames, C. &amp; Weber, A. M.</w:t>
      </w:r>
      <w:r>
        <w:t xml:space="preserve"> </w:t>
      </w:r>
      <w:hyperlink r:id="rId94">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95"/>
    <w:bookmarkStart w:id="97" w:name="X894905b979ca18ae21fa8491f1ec823367d3c00"/>
    <w:p>
      <w:pPr>
        <w:pStyle w:val="Bibliography"/>
      </w:pPr>
      <w:r>
        <w:t xml:space="preserve">29.</w:t>
      </w:r>
      <w:r>
        <w:t xml:space="preserve"> </w:t>
      </w:r>
      <w:r>
        <w:t xml:space="preserve">	</w:t>
      </w:r>
      <w:r>
        <w:t xml:space="preserve">Shin, H.-G.</w:t>
      </w:r>
      <w:r>
        <w:t xml:space="preserve"> </w:t>
      </w:r>
      <w:r>
        <w:rPr>
          <w:i/>
          <w:iCs/>
        </w:rPr>
        <w:t xml:space="preserve">et al.</w:t>
      </w:r>
      <w:r>
        <w:t xml:space="preserve"> </w:t>
      </w:r>
      <w:hyperlink r:id="rId96">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97"/>
    <w:bookmarkStart w:id="99" w:name="ref-bergInvestigatingEffectFlow2021"/>
    <w:p>
      <w:pPr>
        <w:pStyle w:val="Bibliography"/>
      </w:pPr>
      <w:r>
        <w:t xml:space="preserve">30.</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98">
        <w:r>
          <w:rPr>
            <w:rStyle w:val="InternetLink"/>
          </w:rPr>
          <w:t xml:space="preserve">10.1101/2021.04.14.439812</w:t>
        </w:r>
      </w:hyperlink>
      <w:r>
        <w:t xml:space="preserve">.</w:t>
      </w:r>
    </w:p>
    <w:bookmarkEnd w:id="99"/>
    <w:bookmarkStart w:id="101" w:name="ref-portnoyHumanUmbilicalCord2018"/>
    <w:p>
      <w:pPr>
        <w:pStyle w:val="Bibliography"/>
      </w:pPr>
      <w:r>
        <w:t xml:space="preserve">31.</w:t>
      </w:r>
      <w:r>
        <w:t xml:space="preserve"> </w:t>
      </w:r>
      <w:r>
        <w:t xml:space="preserve">	</w:t>
      </w:r>
      <w:r>
        <w:t xml:space="preserve">Portnoy, S., Milligan, N., Seed, M., Sled, J. G. &amp; Macgowan, C. K.</w:t>
      </w:r>
      <w:r>
        <w:t xml:space="preserve"> </w:t>
      </w:r>
      <w:hyperlink r:id="rId100">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01"/>
    <w:bookmarkStart w:id="103" w:name="X5dcabc52cec00e82905a12242719d076cb6840e"/>
    <w:p>
      <w:pPr>
        <w:pStyle w:val="Bibliography"/>
      </w:pPr>
      <w:r>
        <w:t xml:space="preserve">32.</w:t>
      </w:r>
      <w:r>
        <w:t xml:space="preserve"> </w:t>
      </w:r>
      <w:r>
        <w:t xml:space="preserve">	</w:t>
      </w:r>
      <w:r>
        <w:t xml:space="preserve">Sedlacik, J., Rauscher, A. &amp; Reichenbach, J. R.</w:t>
      </w:r>
      <w:r>
        <w:t xml:space="preserve"> </w:t>
      </w:r>
      <w:hyperlink r:id="rId102">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03"/>
    <w:bookmarkStart w:id="105" w:name="X764ed5b17e735b1a929256c613b3c2a57b1b323"/>
    <w:p>
      <w:pPr>
        <w:pStyle w:val="Bibliography"/>
      </w:pPr>
      <w:r>
        <w:t xml:space="preserve">33.</w:t>
      </w:r>
      <w:r>
        <w:t xml:space="preserve"> </w:t>
      </w:r>
      <w:r>
        <w:t xml:space="preserve">	</w:t>
      </w:r>
      <w:r>
        <w:t xml:space="preserve">Weisskoff, R. M. &amp; Kiihne, S.</w:t>
      </w:r>
      <w:r>
        <w:t xml:space="preserve"> </w:t>
      </w:r>
      <w:hyperlink r:id="rId104">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05"/>
    <w:bookmarkStart w:id="106" w:name="X49453c0545b7de7f14f10cad417b18342e49481"/>
    <w:p>
      <w:pPr>
        <w:pStyle w:val="Bibliography"/>
      </w:pPr>
      <w:r>
        <w:t xml:space="preserve">34.</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06"/>
    <w:bookmarkStart w:id="107" w:name="X7900f1aa39fccc2c9e6c047234d47645d960668"/>
    <w:p>
      <w:pPr>
        <w:pStyle w:val="Bibliography"/>
      </w:pPr>
      <w:r>
        <w:t xml:space="preserve">35.</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07"/>
    <w:bookmarkStart w:id="109" w:name="ref-ahmedDiamagneticComponentMap2023a"/>
    <w:p>
      <w:pPr>
        <w:pStyle w:val="Bibliography"/>
      </w:pPr>
      <w:r>
        <w:t xml:space="preserve">36.</w:t>
      </w:r>
      <w:r>
        <w:t xml:space="preserve"> </w:t>
      </w:r>
      <w:r>
        <w:t xml:space="preserve">	</w:t>
      </w:r>
      <w:r>
        <w:t xml:space="preserve">Ahmed, M.</w:t>
      </w:r>
      <w:r>
        <w:t xml:space="preserve"> </w:t>
      </w:r>
      <w:r>
        <w:rPr>
          <w:i/>
          <w:iCs/>
        </w:rPr>
        <w:t xml:space="preserve">et al.</w:t>
      </w:r>
      <w:r>
        <w:t xml:space="preserve"> </w:t>
      </w:r>
      <w:hyperlink r:id="rId108">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09"/>
    <w:bookmarkStart w:id="111" w:name="ref-gouAutomaticRejectionBased2024"/>
    <w:p>
      <w:pPr>
        <w:pStyle w:val="Bibliography"/>
      </w:pPr>
      <w:r>
        <w:t xml:space="preserve">37.</w:t>
      </w:r>
      <w:r>
        <w:t xml:space="preserve"> </w:t>
      </w:r>
      <w:r>
        <w:t xml:space="preserve">	</w:t>
      </w:r>
      <w:r>
        <w:t xml:space="preserve">Gou, Y.</w:t>
      </w:r>
      <w:r>
        <w:t xml:space="preserve"> </w:t>
      </w:r>
      <w:r>
        <w:rPr>
          <w:i/>
          <w:iCs/>
        </w:rPr>
        <w:t xml:space="preserve">et al.</w:t>
      </w:r>
      <w:r>
        <w:t xml:space="preserve"> </w:t>
      </w:r>
      <w:hyperlink r:id="rId110">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11"/>
    <w:bookmarkStart w:id="113" w:name="ref-yadavImagingPutativeFoetal2018"/>
    <w:p>
      <w:pPr>
        <w:pStyle w:val="Bibliography"/>
      </w:pPr>
      <w:r>
        <w:t xml:space="preserve">38.</w:t>
      </w:r>
      <w:r>
        <w:t xml:space="preserve"> </w:t>
      </w:r>
      <w:r>
        <w:t xml:space="preserve">	</w:t>
      </w:r>
      <w:r>
        <w:t xml:space="preserve">Yadav, B. K.</w:t>
      </w:r>
      <w:r>
        <w:t xml:space="preserve"> </w:t>
      </w:r>
      <w:r>
        <w:rPr>
          <w:i/>
          <w:iCs/>
        </w:rPr>
        <w:t xml:space="preserve">et al.</w:t>
      </w:r>
      <w:r>
        <w:t xml:space="preserve"> </w:t>
      </w:r>
      <w:hyperlink r:id="rId112">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13"/>
    <w:bookmarkEnd w:id="114"/>
    <w:bookmarkStart w:id="115"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15"/>
    <w:bookmarkStart w:id="116"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16"/>
    <w:bookmarkStart w:id="117"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17"/>
    <w:bookmarkStart w:id="118" w:name="competing-interests"/>
    <w:p>
      <w:pPr>
        <w:pStyle w:val="Heading2"/>
      </w:pPr>
      <w:r>
        <w:t xml:space="preserve">Competing interests</w:t>
      </w:r>
    </w:p>
    <w:p>
      <w:pPr>
        <w:pStyle w:val="FirstParagraph"/>
      </w:pPr>
      <w:r>
        <w:t xml:space="preserve">The authors have no competing interests to declare.</w:t>
      </w:r>
    </w:p>
    <w:bookmarkEnd w:id="118"/>
    <w:bookmarkStart w:id="139"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p>
      <w:r>
        <w:br w:type="page"/>
      </w:r>
    </w:p>
    <w:tbl>
      <w:tblPr>
        <w:tblStyle w:val="Table"/>
        <w:tblW w:type="pct" w:w="5000"/>
        <w:tblLayout w:type="fixed"/>
        <w:tblLook w:firstRow="0" w:lastRow="0" w:firstColumn="0" w:lastColumn="0" w:noHBand="0" w:noVBand="0" w:val="0000"/>
      </w:tblPr>
      <w:tblGrid>
        <w:gridCol w:w="7920"/>
      </w:tblGrid>
      <w:tr>
        <w:tc>
          <w:tcPr/>
          <w:bookmarkStart w:id="122" w:name="fig-graph"/>
          <w:p>
            <w:pPr>
              <w:pStyle w:val="Compact"/>
              <w:jc w:val="center"/>
            </w:pPr>
            <w:r>
              <w:drawing>
                <wp:inline>
                  <wp:extent cx="5943600" cy="3464396"/>
                  <wp:effectExtent b="0" l="0" r="0" t="0"/>
                  <wp:docPr descr="" title="" id="120" name="Picture"/>
                  <a:graphic>
                    <a:graphicData uri="http://schemas.openxmlformats.org/drawingml/2006/picture">
                      <pic:pic>
                        <pic:nvPicPr>
                          <pic:cNvPr descr="index_files/figure-docx/notebooks-Figures-fig-graph-output-1.png" id="121" name="Picture"/>
                          <pic:cNvPicPr>
                            <a:picLocks noChangeArrowheads="1" noChangeAspect="1"/>
                          </pic:cNvPicPr>
                        </pic:nvPicPr>
                        <pic:blipFill>
                          <a:blip r:embed="rId119"/>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6" w:name="fig-masks"/>
          <w:p>
            <w:pPr>
              <w:pStyle w:val="Compact"/>
              <w:jc w:val="center"/>
            </w:pPr>
            <w:r>
              <w:drawing>
                <wp:inline>
                  <wp:extent cx="5943600" cy="2443933"/>
                  <wp:effectExtent b="0" l="0" r="0" t="0"/>
                  <wp:docPr descr="" title="" id="124" name="Picture"/>
                  <a:graphic>
                    <a:graphicData uri="http://schemas.openxmlformats.org/drawingml/2006/picture">
                      <pic:pic>
                        <pic:nvPicPr>
                          <pic:cNvPr descr="index_files/figure-docx/notebooks-Figures-fig-masks-output-1.png" id="125" name="Picture"/>
                          <pic:cNvPicPr>
                            <a:picLocks noChangeArrowheads="1" noChangeAspect="1"/>
                          </pic:cNvPicPr>
                        </pic:nvPicPr>
                        <pic:blipFill>
                          <a:blip r:embed="rId12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 displayed in coronal, sagittal, and axial view. The QSM image is used as the underlay. y, x and z values represent the slice number in each plane (coronal, sagittal, and axial, respectively).</w:t>
            </w:r>
          </w:p>
          <w:bookmarkEnd w:id="126"/>
        </w:tc>
      </w:tr>
    </w:tbl>
    <w:tbl>
      <w:tblPr>
        <w:tblStyle w:val="Table"/>
        <w:tblW w:type="pct" w:w="5000"/>
        <w:tblLayout w:type="fixed"/>
        <w:tblLook w:firstRow="0" w:lastRow="0" w:firstColumn="0" w:lastColumn="0" w:noHBand="0" w:noVBand="0" w:val="0000"/>
      </w:tblPr>
      <w:tblGrid>
        <w:gridCol w:w="7920"/>
      </w:tblGrid>
      <w:tr>
        <w:tc>
          <w:tcPr/>
          <w:bookmarkStart w:id="130" w:name="fig-sample"/>
          <w:p>
            <w:pPr>
              <w:pStyle w:val="Compact"/>
              <w:jc w:val="center"/>
            </w:pPr>
            <w:r>
              <w:drawing>
                <wp:inline>
                  <wp:extent cx="5943600" cy="6816631"/>
                  <wp:effectExtent b="0" l="0" r="0" t="0"/>
                  <wp:docPr descr="" title="" id="128" name="Picture"/>
                  <a:graphic>
                    <a:graphicData uri="http://schemas.openxmlformats.org/drawingml/2006/picture">
                      <pic:pic>
                        <pic:nvPicPr>
                          <pic:cNvPr descr="index_files/figure-docx/notebooks-Figures-fig-sample-output-1.png" id="129" name="Picture"/>
                          <pic:cNvPicPr>
                            <a:picLocks noChangeArrowheads="1" noChangeAspect="1"/>
                          </pic:cNvPicPr>
                        </pic:nvPicPr>
                        <pic:blipFill>
                          <a:blip r:embed="rId127"/>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130"/>
        </w:tc>
      </w:tr>
    </w:tbl>
    <w:tbl>
      <w:tblPr>
        <w:tblStyle w:val="Table"/>
        <w:tblW w:type="pct" w:w="5000"/>
        <w:tblLayout w:type="fixed"/>
        <w:tblLook w:firstRow="0" w:lastRow="0" w:firstColumn="0" w:lastColumn="0" w:noHBand="0" w:noVBand="0" w:val="0000"/>
      </w:tblPr>
      <w:tblGrid>
        <w:gridCol w:w="7920"/>
      </w:tblGrid>
      <w:tr>
        <w:tc>
          <w:tcPr/>
          <w:bookmarkStart w:id="134" w:name="fig-methodplot"/>
          <w:p>
            <w:pPr>
              <w:pStyle w:val="Compact"/>
              <w:jc w:val="center"/>
            </w:pPr>
            <w:r>
              <w:drawing>
                <wp:inline>
                  <wp:extent cx="5943600" cy="3714749"/>
                  <wp:effectExtent b="0" l="0" r="0" t="0"/>
                  <wp:docPr descr="" title="" id="132" name="Picture"/>
                  <a:graphic>
                    <a:graphicData uri="http://schemas.openxmlformats.org/drawingml/2006/picture">
                      <pic:pic>
                        <pic:nvPicPr>
                          <pic:cNvPr descr="index_files/figure-docx/notebooks-gavin_thesis_markdown-fig-methodplot-output-1.png" id="133" name="Picture"/>
                          <pic:cNvPicPr>
                            <a:picLocks noChangeArrowheads="1" noChangeAspect="1"/>
                          </pic:cNvPicPr>
                        </pic:nvPicPr>
                        <pic:blipFill>
                          <a:blip r:embed="rId131"/>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134"/>
        </w:tc>
      </w:tr>
    </w:tbl>
    <w:tbl>
      <w:tblPr>
        <w:tblStyle w:val="Table"/>
        <w:tblW w:type="pct" w:w="5000"/>
        <w:tblLayout w:type="fixed"/>
        <w:tblLook w:firstRow="0" w:lastRow="0" w:firstColumn="0" w:lastColumn="0" w:noHBand="0" w:noVBand="0" w:val="0000"/>
      </w:tblPr>
      <w:tblGrid>
        <w:gridCol w:w="7920"/>
      </w:tblGrid>
      <w:tr>
        <w:tc>
          <w:tcPr/>
          <w:bookmarkStart w:id="138" w:name="fig-regionplot"/>
          <w:p>
            <w:pPr>
              <w:pStyle w:val="Compact"/>
              <w:jc w:val="center"/>
            </w:pPr>
            <w:r>
              <w:drawing>
                <wp:inline>
                  <wp:extent cx="5943600" cy="3714749"/>
                  <wp:effectExtent b="0" l="0" r="0" t="0"/>
                  <wp:docPr descr="" title="" id="136" name="Picture"/>
                  <a:graphic>
                    <a:graphicData uri="http://schemas.openxmlformats.org/drawingml/2006/picture">
                      <pic:pic>
                        <pic:nvPicPr>
                          <pic:cNvPr descr="index_files/figure-docx/notebooks-gavin_thesis_markdown-fig-regionplot-output-1.png" id="137" name="Picture"/>
                          <pic:cNvPicPr>
                            <a:picLocks noChangeArrowheads="1" noChangeAspect="1"/>
                          </pic:cNvPicPr>
                        </pic:nvPicPr>
                        <pic:blipFill>
                          <a:blip r:embed="rId135"/>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138"/>
        </w:tc>
      </w:tr>
    </w:tbl>
    <w:bookmarkEnd w:id="139"/>
    <w:bookmarkEnd w:id="140"/>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2025-02-16T18:10:48Z</dcterms:created>
  <dcterms:modified xsi:type="dcterms:W3CDTF">2025-02-16T18:10:48Z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