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8.png" ContentType="image/png"/>
  <Override PartName="/word/media/rId42.png" ContentType="image/png"/>
  <Override PartName="/word/media/rId57.png" ContentType="image/png"/>
  <Override PartName="/word/media/rId69.png" ContentType="image/png"/>
  <Override PartName="/word/media/rId52.png" ContentType="image/png"/>
  <Override PartName="/word/media/rId25.png" ContentType="image/png"/>
  <Override PartName="/word/media/rId47.png" ContentType="image/png"/>
  <Override PartName="/word/media/rId64.png" ContentType="image/png"/>
  <Override PartName="/word/media/rId380.png" ContentType="image/png"/>
  <Override PartName="/word/media/rId392.png" ContentType="image/png"/>
  <Override PartName="/word/media/rId399.png" ContentType="image/png"/>
  <Override PartName="/word/media/rId403.png" ContentType="image/png"/>
  <Override PartName="/word/media/rId413.png" ContentType="image/png"/>
  <Override PartName="/word/media/rId417.png" ContentType="image/png"/>
  <Override PartName="/word/media/rId4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the</w:t>
      </w:r>
      <w:r>
        <w:t xml:space="preserve"> </w:t>
      </w:r>
      <w:r>
        <w:t xml:space="preserve">Brain’s</w:t>
      </w:r>
      <w:r>
        <w:t xml:space="preserve"> </w:t>
      </w:r>
      <w:r>
        <w:t xml:space="preserve">E:I</w:t>
      </w:r>
      <w:r>
        <w:t xml:space="preserve"> </w:t>
      </w:r>
      <w:r>
        <w:t xml:space="preserve">Balance</w:t>
      </w:r>
      <w:r>
        <w:t xml:space="preserve"> </w:t>
      </w:r>
      <w:r>
        <w:t xml:space="preserve">Really</w:t>
      </w:r>
      <w:r>
        <w:t xml:space="preserve"> </w:t>
      </w:r>
      <w:r>
        <w:t xml:space="preserve">Shape</w:t>
      </w:r>
      <w:r>
        <w:t xml:space="preserve"> </w:t>
      </w:r>
      <w:r>
        <w:t xml:space="preserve">Long-Range</w:t>
      </w:r>
      <w:r>
        <w:t xml:space="preserve"> </w:t>
      </w:r>
      <w:r>
        <w:t xml:space="preserve">Temporal</w:t>
      </w:r>
      <w:r>
        <w:t xml:space="preserve"> </w:t>
      </w:r>
      <w:r>
        <w:t xml:space="preserve">Correlations?</w:t>
      </w:r>
      <w:r>
        <w:t xml:space="preserve"> </w:t>
      </w:r>
      <w:r>
        <w:t xml:space="preserve">Lessons</w:t>
      </w:r>
      <w:r>
        <w:t xml:space="preserve"> </w:t>
      </w:r>
      <w:r>
        <w:t xml:space="preserve">Learned</w:t>
      </w:r>
      <w:r>
        <w:t xml:space="preserve"> </w:t>
      </w:r>
      <w:r>
        <w:t xml:space="preserve">from</w:t>
      </w:r>
      <w:r>
        <w:t xml:space="preserve"> </w:t>
      </w:r>
      <w:r>
        <w:t xml:space="preserve">3T</w:t>
      </w:r>
      <w:r>
        <w:t xml:space="preserve"> </w:t>
      </w:r>
      <w:r>
        <w:t xml:space="preserve">MRI</w:t>
      </w:r>
    </w:p>
    <w:p>
      <w:pPr>
        <w:pStyle w:val="Author"/>
      </w:pPr>
      <w:r>
        <w:t xml:space="preserve">Lydia</w:t>
      </w:r>
      <w:r>
        <w:t xml:space="preserve"> </w:t>
      </w:r>
      <w:r>
        <w:t xml:space="preserve">Sochan</w:t>
      </w:r>
      <w:r>
        <w:rPr>
          <w:vertAlign w:val="superscript"/>
        </w:rPr>
        <w:t xml:space="preserve">1</w:t>
      </w:r>
      <w:r>
        <w:t xml:space="preserve">,</w:t>
      </w:r>
      <w:r>
        <w:t xml:space="preserve"> </w:t>
      </w:r>
      <w:r>
        <w:t xml:space="preserve">Jessica</w:t>
      </w:r>
      <w:r>
        <w:t xml:space="preserve"> </w:t>
      </w:r>
      <w:r>
        <w:t xml:space="preserve">Archibald</w:t>
      </w:r>
      <w:r>
        <w:rPr>
          <w:vertAlign w:val="superscript"/>
        </w:rPr>
        <w:t xml:space="preserve">4</w:t>
      </w:r>
      <w:r>
        <w:t xml:space="preserve">,</w:t>
      </w:r>
      <w:r>
        <w:t xml:space="preserve"> </w:t>
      </w:r>
      <w:r>
        <w:t xml:space="preserve">and</w:t>
      </w:r>
      <w:r>
        <w:t xml:space="preserve"> </w:t>
      </w:r>
      <w:r>
        <w:t xml:space="preserve">Alexander</w:t>
      </w:r>
      <w:r>
        <w:t xml:space="preserve"> </w:t>
      </w:r>
      <w:r>
        <w:t xml:space="preserve">Mark</w:t>
      </w:r>
      <w:r>
        <w:t xml:space="preserve"> </w:t>
      </w:r>
      <w:r>
        <w:t xml:space="preserve">Weber</w:t>
      </w:r>
      <w:r>
        <w:rPr>
          <w:vertAlign w:val="superscript"/>
        </w:rPr>
        <w:t xml:space="preserve">1</w:t>
      </w:r>
      <w:r>
        <w:rPr>
          <w:vertAlign w:val="superscript"/>
        </w:rPr>
        <w:t xml:space="preserve">,</w:t>
      </w:r>
      <w:r>
        <w:rPr>
          <w:vertAlign w:val="superscript"/>
        </w:rPr>
        <w:t xml:space="preserve">2</w:t>
      </w:r>
      <w:r>
        <w:rPr>
          <w:vertAlign w:val="superscript"/>
        </w:rPr>
        <w:t xml:space="preserve">,</w:t>
      </w:r>
      <w:r>
        <w:rPr>
          <w:vertAlign w:val="superscript"/>
        </w:rPr>
        <w:t xml:space="preserve">3</w:t>
      </w:r>
      <w:r>
        <w:rPr>
          <w:vertAlign w:val="superscript"/>
        </w:rPr>
        <w:t xml:space="preserve">,</w:t>
      </w:r>
      <w:r>
        <w:rPr>
          <w:vertAlign w:val="superscript"/>
        </w:rPr>
        <w:t xml:space="preserve">✉</w:t>
      </w:r>
    </w:p>
    <w:p>
      <w:pPr>
        <w:pStyle w:val="Date"/>
      </w:pPr>
      <w:r>
        <w:t xml:space="preserve">2026-04-10</w:t>
      </w:r>
    </w:p>
    <w:p>
      <w:pPr>
        <w:pStyle w:val="FirstParagraph"/>
      </w:pPr>
      <w:r>
        <w:rPr>
          <w:vertAlign w:val="superscript"/>
        </w:rPr>
        <w:t xml:space="preserve">1</w:t>
      </w:r>
      <w:r>
        <w:t xml:space="preserve"> </w:t>
      </w:r>
      <w:r>
        <w:t xml:space="preserve">School of Biomedical Engineering, The University of British Columbia, Vancouver, BC, Canada</w:t>
      </w:r>
      <w:r>
        <w:br/>
      </w:r>
      <w:r>
        <w:rPr>
          <w:vertAlign w:val="superscript"/>
        </w:rPr>
        <w:t xml:space="preserve">2</w:t>
      </w:r>
      <w:r>
        <w:t xml:space="preserve"> </w:t>
      </w:r>
      <w:r>
        <w:t xml:space="preserve">BC Children’s Hospital Research Institute, The University of British Columbia, Vancouver, BC, Canada</w:t>
      </w:r>
      <w:r>
        <w:br/>
      </w:r>
      <w:r>
        <w:rPr>
          <w:vertAlign w:val="superscript"/>
        </w:rPr>
        <w:t xml:space="preserve">3</w:t>
      </w:r>
      <w:r>
        <w:t xml:space="preserve"> </w:t>
      </w:r>
      <w:r>
        <w:t xml:space="preserve">Pediatrics, The University of British Columbia, Vancouver, BC, Canada</w:t>
      </w:r>
      <w:r>
        <w:br/>
      </w:r>
      <w:r>
        <w:rPr>
          <w:vertAlign w:val="superscript"/>
        </w:rPr>
        <w:t xml:space="preserve">4</w:t>
      </w:r>
      <w:r>
        <w:t xml:space="preserve"> </w:t>
      </w:r>
      <w:r>
        <w:t xml:space="preserve">Department of Radiology, Weill Cornell Medicine, New York, New York, USA</w:t>
      </w:r>
    </w:p>
    <w:p>
      <w:pPr>
        <w:pStyle w:val="TextBody"/>
      </w:pPr>
      <w:r>
        <w:rPr>
          <w:vertAlign w:val="superscript"/>
        </w:rPr>
        <w:t xml:space="preserve">✉</w:t>
      </w:r>
      <w:r>
        <w:t xml:space="preserve"> </w:t>
      </w:r>
      <w:r>
        <w:t xml:space="preserve">Correspondence:</w:t>
      </w:r>
      <w:r>
        <w:t xml:space="preserve"> </w:t>
      </w:r>
      <w:hyperlink r:id="rId20">
        <w:r>
          <w:rPr>
            <w:rStyle w:val="InternetLink"/>
          </w:rPr>
          <w:t xml:space="preserve">Alexander Mark Weber &lt;aweber@bcchr.ca&gt;</w:t>
        </w:r>
      </w:hyperlink>
    </w:p>
    <w:bookmarkStart w:id="21" w:name="abstract"/>
    <w:p>
      <w:pPr>
        <w:pStyle w:val="Heading2"/>
      </w:pPr>
      <w:r>
        <w:t xml:space="preserve">Abstract</w:t>
      </w:r>
    </w:p>
    <w:p>
      <w:pPr>
        <w:pStyle w:val="FirstParagraph"/>
      </w:pPr>
      <w:r>
        <w:t xml:space="preserve">A 3T multimodal MR study of healthy adults (n=18; 10 female; 21.3 - 53.4 years) was performed to investigate the relationship between fMRI long-range temporal correlations and excitatory/inhibitory balance (via single voxel magnetic resonance spectroscopy measurements of glutamate and GABA). The study objective was to determine if the Hurst exponent (H) — an estimate of self-correlation and signal complexity — of the blood-oxygen-level-dependent signal was correlated with the excitatory-inhibitory (E:I) ratio. E:I has been proposed to serve as a control parameter for brain criticality — the theory that the brain operates near a critical point between order and disorder, optimizing information processing and adaptability — which H is believed to be a measure of. Thus, understanding if H and E:I are indeed correlated would clarify this relationship. Moreover, findings in this domain have implications for neurological and neuropsychiatric conditions with disrupted E:I balance, such as autism, schizophrenia, and Alzheimer’s disease. From a practical perspective, H is easier to accurately measure than E:I ratio at 3T MRI. If H can serve as a proxy for E:I, it may serve as a more practical clinical biomarker for this imbalance and for neuroscience research in general. The study collected functional MRI and magnetic resonance spectroscopy data during rest and movie-watching. H and E:I (glutamate/GABA) were not found to be correlated. H was found to increase with movie-watching compared to rest, while E:I did not change between conditions. This study represents the first attempt to investigate this connection</w:t>
      </w:r>
      <w:r>
        <w:t xml:space="preserve"> </w:t>
      </w:r>
      <w:r>
        <w:rPr>
          <w:i/>
          <w:iCs/>
        </w:rPr>
        <w:t xml:space="preserve">in vivo</w:t>
      </w:r>
      <w:r>
        <w:t xml:space="preserve"> </w:t>
      </w:r>
      <w:r>
        <w:t xml:space="preserve">in humans. We conclude that, at 3T and with our particular methodologies, no association was found. We end with lessons learned and suggestions for future research.</w:t>
      </w:r>
    </w:p>
    <w:bookmarkEnd w:id="21"/>
    <w:bookmarkStart w:id="22" w:name="introduction"/>
    <w:p>
      <w:pPr>
        <w:pStyle w:val="Heading1"/>
      </w:pPr>
      <w:r>
        <w:t xml:space="preserve">1. Introduction</w:t>
      </w:r>
    </w:p>
    <w:p>
      <w:pPr>
        <w:pStyle w:val="FirstParagraph"/>
      </w:pPr>
      <w:r>
        <w:t xml:space="preserve">The human brain consists of interconnected networks of neurons whose collective activity gives rise to complex behaviors and cognition. In order to understand how neural systems generate this emergent functionality, neuroscience is increasingly using tools and concepts from the science of complexity. Recent advances have led to the emergence of the Critical Brain Hypothesis, which posits that the brain — across all regions and networks — operates at a</w:t>
      </w:r>
      <w:r>
        <w:t xml:space="preserve"> </w:t>
      </w:r>
      <w:r>
        <w:t xml:space="preserve">‘</w:t>
      </w:r>
      <w:r>
        <w:t xml:space="preserve">critical point</w:t>
      </w:r>
      <w:r>
        <w:t xml:space="preserve">’</w:t>
      </w:r>
      <w:r>
        <w:t xml:space="preserve">, a state where both order and disorder are balanced to enable the most efficient information processing</w:t>
      </w:r>
      <w:r>
        <w:rPr>
          <w:vertAlign w:val="superscript"/>
        </w:rPr>
        <w:t xml:space="preserve">1–14</w:t>
      </w:r>
      <w:r>
        <w:t xml:space="preserve">.</w:t>
      </w:r>
      <w:r>
        <w:t xml:space="preserve"> </w:t>
      </w:r>
      <w:r>
        <w:t xml:space="preserve">In fact, criticality is perhaps the main way that nature produces stable complex systems</w:t>
      </w:r>
      <w:r>
        <w:rPr>
          <w:vertAlign w:val="superscript"/>
        </w:rPr>
        <w:t xml:space="preserve">15,16</w:t>
      </w:r>
      <w:r>
        <w:t xml:space="preserve">. When in a critical state, the brain is optimally responsive to both internal and external stimuli while maintaining a balance between stability and instability</w:t>
      </w:r>
      <w:r>
        <w:rPr>
          <w:vertAlign w:val="superscript"/>
        </w:rPr>
        <w:t xml:space="preserve">1,2,13,14</w:t>
      </w:r>
      <w:r>
        <w:t xml:space="preserve">.</w:t>
      </w:r>
    </w:p>
    <w:p>
      <w:pPr>
        <w:pStyle w:val="TextBody"/>
      </w:pPr>
      <w:r>
        <w:t xml:space="preserve">Currently, the most popular theory proposing how the brain achieves this delicate balance — what is known as the</w:t>
      </w:r>
      <w:r>
        <w:t xml:space="preserve"> </w:t>
      </w:r>
      <w:r>
        <w:t xml:space="preserve">‘</w:t>
      </w:r>
      <w:r>
        <w:t xml:space="preserve">control parameter</w:t>
      </w:r>
      <w:r>
        <w:t xml:space="preserve">’</w:t>
      </w:r>
      <w:r>
        <w:t xml:space="preserve"> </w:t>
      </w:r>
      <w:r>
        <w:t xml:space="preserve">— is the excitation-inhibition (E:I) ratio: the balance of excitatory and inhibitory neural activity, often operationalized as the ratio of the primary excitatory and inhibitory neurotransmitters (i.e. glutamate (Glu) and</w:t>
      </w:r>
      <w:r>
        <w:t xml:space="preserve"> </w:t>
      </w:r>
      <m:oMath>
        <m:r>
          <m:t>γ</m:t>
        </m:r>
      </m:oMath>
      <w:r>
        <w:t xml:space="preserve">-aminobutyric acid (GABA))</w:t>
      </w:r>
      <w:r>
        <w:rPr>
          <w:vertAlign w:val="superscript"/>
        </w:rPr>
        <w:t xml:space="preserve">6,8–12</w:t>
      </w:r>
      <w:r>
        <w:t xml:space="preserve">.</w:t>
      </w:r>
      <w:r>
        <w:t xml:space="preserve"> </w:t>
      </w:r>
      <w:r>
        <w:t xml:space="preserve">This theory essentially relies on the fact that E:I is a primary driver of the signal-to-noise ratio (SNR) of neuronal signalling, and hence could drive transitions between order and disorder</w:t>
      </w:r>
      <w:r>
        <w:rPr>
          <w:vertAlign w:val="superscript"/>
        </w:rPr>
        <w:t xml:space="preserve">6,17</w:t>
      </w:r>
      <w:r>
        <w:t xml:space="preserve">. Thus, the E:I theory of criticality posits that altering the E:I ratio would allow for movement between sub- and super-critical states</w:t>
      </w:r>
      <w:r>
        <w:rPr>
          <w:vertAlign w:val="superscript"/>
        </w:rPr>
        <w:t xml:space="preserve">6</w:t>
      </w:r>
      <w:r>
        <w:t xml:space="preserve">. When excitation is perfectly balanced with inhibition, the system is at a critical point, but if either excitation or inhibition are favoured, the system can become overly noisy (excess excitation) or overly controlled (excess inhibition), respectively</w:t>
      </w:r>
      <w:r>
        <w:rPr>
          <w:vertAlign w:val="superscript"/>
        </w:rPr>
        <w:t xml:space="preserve">6</w:t>
      </w:r>
      <w:r>
        <w:t xml:space="preserve">. Thus, the relationship between E:I balance and large-scale brain dynamics offers a promising link between synaptic physiology and macroscopic neural computation, and for elucidating fundamental neural computational principles. Furthermore, understanding this relationship could hold great clinical relevance, as disruptions in E:I homeostasis have been implicated in multiple neuropsychiatric and neurodevelopmental disorders — including autism, schizophrenia, and Alzheimer’s disease — making this an important target for biomarker development and therapeutic intervention</w:t>
      </w:r>
      <w:r>
        <w:rPr>
          <w:vertAlign w:val="superscript"/>
        </w:rPr>
        <w:t xml:space="preserve">10,18,19</w:t>
      </w:r>
      <w:r>
        <w:t xml:space="preserve">.</w:t>
      </w:r>
    </w:p>
    <w:p>
      <w:pPr>
        <w:pStyle w:val="TextBody"/>
      </w:pPr>
      <w:r>
        <w:rPr>
          <w:i/>
          <w:iCs/>
        </w:rPr>
        <w:t xml:space="preserve">In vivo</w:t>
      </w:r>
      <w:r>
        <w:t xml:space="preserve"> </w:t>
      </w:r>
      <w:r>
        <w:t xml:space="preserve">measurement of brain criticality can be achieved using several available methods, as systems near a critical state often exhibit fractal-like fluctuations or scale-invariance</w:t>
      </w:r>
      <w:r>
        <w:rPr>
          <w:vertAlign w:val="superscript"/>
        </w:rPr>
        <w:t xml:space="preserve">20</w:t>
      </w:r>
      <w:r>
        <w:t xml:space="preserve">. Scale-invariance has been observed extensively across various neuronal spatio-temporal scales, from dendritic branching structures</w:t>
      </w:r>
      <w:r>
        <w:rPr>
          <w:vertAlign w:val="superscript"/>
        </w:rPr>
        <w:t xml:space="preserve">21</w:t>
      </w:r>
      <w:r>
        <w:t xml:space="preserve"> </w:t>
      </w:r>
      <w:r>
        <w:t xml:space="preserve">in the spatial domain, to neurotransmitter release</w:t>
      </w:r>
      <w:r>
        <w:rPr>
          <w:vertAlign w:val="superscript"/>
        </w:rPr>
        <w:t xml:space="preserve">22</w:t>
      </w:r>
      <w:r>
        <w:t xml:space="preserve">, neuronal firing rates</w:t>
      </w:r>
      <w:r>
        <w:rPr>
          <w:vertAlign w:val="superscript"/>
        </w:rPr>
        <w:t xml:space="preserve">23</w:t>
      </w:r>
      <w:r>
        <w:t xml:space="preserve">, local field potentials</w:t>
      </w:r>
      <w:r>
        <w:rPr>
          <w:vertAlign w:val="superscript"/>
        </w:rPr>
        <w:t xml:space="preserve">24</w:t>
      </w:r>
      <w:r>
        <w:t xml:space="preserve">, electroencephalography (EEG)</w:t>
      </w:r>
      <w:r>
        <w:rPr>
          <w:vertAlign w:val="superscript"/>
        </w:rPr>
        <w:t xml:space="preserve">25</w:t>
      </w:r>
      <w:r>
        <w:t xml:space="preserve"> </w:t>
      </w:r>
      <w:r>
        <w:t xml:space="preserve">and functional magnetic resonance imaging (fMRI) — which measures the blood oxygen level-dependent (BOLD) signal</w:t>
      </w:r>
      <w:r>
        <w:rPr>
          <w:vertAlign w:val="superscript"/>
        </w:rPr>
        <w:t xml:space="preserve">26–28</w:t>
      </w:r>
      <w:r>
        <w:t xml:space="preserve"> </w:t>
      </w:r>
      <w:r>
        <w:t xml:space="preserve">— in the time domain. This fractal structure can be quantified by assessing the signal’s long-range temporal correlations (LRTC), which reflect the persistence or memory in a time series, where future values are statistically related to past values over long extended periods. The Hurst exponent (H) is a useful measure for evaluating LRTC</w:t>
      </w:r>
      <w:r>
        <w:rPr>
          <w:vertAlign w:val="superscript"/>
        </w:rPr>
        <w:t xml:space="preserve">28,29</w:t>
      </w:r>
      <w:r>
        <w:t xml:space="preserve">. An H value between 0.5 and 1 indicates a long-range positive correlation, with large values being followed by large values and small values by small ones. Conversely, an H exponent value between 0 and 0.5 indicates a long-range negative correlation, where large values are likely to be followed by small ones and vice versa. An H value of 0.5 is uncorrelated random noise</w:t>
      </w:r>
      <w:r>
        <w:rPr>
          <w:vertAlign w:val="superscript"/>
        </w:rPr>
        <w:t xml:space="preserve">30</w:t>
      </w:r>
      <w:r>
        <w:t xml:space="preserve">.</w:t>
      </w:r>
    </w:p>
    <w:p>
      <w:pPr>
        <w:pStyle w:val="TextBody"/>
      </w:pPr>
      <w:r>
        <w:t xml:space="preserve">H has emerged as a valuable tool in neuroscience and clinical research. Typically, H values reported in adult brains are above 0.5, with higher H values in grey matter than white matter or cerebrospinal fluid</w:t>
      </w:r>
      <w:r>
        <w:rPr>
          <w:vertAlign w:val="superscript"/>
        </w:rPr>
        <w:t xml:space="preserve">31,32</w:t>
      </w:r>
      <w:r>
        <w:t xml:space="preserve">. Some key findings from neuroscience research include: a decrease in H during task performance</w:t>
      </w:r>
      <w:r>
        <w:rPr>
          <w:vertAlign w:val="superscript"/>
        </w:rPr>
        <w:t xml:space="preserve">33,34</w:t>
      </w:r>
      <w:r>
        <w:t xml:space="preserve">; an increase in H during movie watching in the visual resting state network</w:t>
      </w:r>
      <w:r>
        <w:rPr>
          <w:vertAlign w:val="superscript"/>
        </w:rPr>
        <w:t xml:space="preserve">35</w:t>
      </w:r>
      <w:r>
        <w:t xml:space="preserve">; negative correlations with task novelty and difficulty</w:t>
      </w:r>
      <w:r>
        <w:rPr>
          <w:vertAlign w:val="superscript"/>
        </w:rPr>
        <w:t xml:space="preserve">36</w:t>
      </w:r>
      <w:r>
        <w:t xml:space="preserve">; increases with age in the frontal and parietal lobes</w:t>
      </w:r>
      <w:r>
        <w:rPr>
          <w:vertAlign w:val="superscript"/>
        </w:rPr>
        <w:t xml:space="preserve">31</w:t>
      </w:r>
      <w:r>
        <w:t xml:space="preserve">, and hippocampus</w:t>
      </w:r>
      <w:r>
        <w:rPr>
          <w:vertAlign w:val="superscript"/>
        </w:rPr>
        <w:t xml:space="preserve">37</w:t>
      </w:r>
      <w:r>
        <w:t xml:space="preserve">; decreases with age in the insula, and limbic, occipital and temporal lobes</w:t>
      </w:r>
      <w:r>
        <w:rPr>
          <w:vertAlign w:val="superscript"/>
        </w:rPr>
        <w:t xml:space="preserve">31</w:t>
      </w:r>
      <w:r>
        <w:t xml:space="preserve">; and H &lt; 0.5 in preterm infants</w:t>
      </w:r>
      <w:r>
        <w:rPr>
          <w:vertAlign w:val="superscript"/>
        </w:rPr>
        <w:t xml:space="preserve">38</w:t>
      </w:r>
      <w:r>
        <w:t xml:space="preserve">. For a more in depth review, see Campbell et al. (2022)</w:t>
      </w:r>
      <w:r>
        <w:rPr>
          <w:vertAlign w:val="superscript"/>
        </w:rPr>
        <w:t xml:space="preserve">28</w:t>
      </w:r>
      <w:r>
        <w:t xml:space="preserve">. In terms of clinical findings, abnormal H values have been identified in Alzheimer’s disease (AD)</w:t>
      </w:r>
      <w:r>
        <w:rPr>
          <w:vertAlign w:val="superscript"/>
        </w:rPr>
        <w:t xml:space="preserve">39,40</w:t>
      </w:r>
      <w:r>
        <w:t xml:space="preserve">, autism</w:t>
      </w:r>
      <w:r>
        <w:rPr>
          <w:vertAlign w:val="superscript"/>
        </w:rPr>
        <w:t xml:space="preserve">41–44</w:t>
      </w:r>
      <w:r>
        <w:t xml:space="preserve">, mild traumatic brain injury</w:t>
      </w:r>
      <w:r>
        <w:rPr>
          <w:vertAlign w:val="superscript"/>
        </w:rPr>
        <w:t xml:space="preserve">45</w:t>
      </w:r>
      <w:r>
        <w:t xml:space="preserve">, major depressive disorder</w:t>
      </w:r>
      <w:r>
        <w:rPr>
          <w:vertAlign w:val="superscript"/>
        </w:rPr>
        <w:t xml:space="preserve">46,47</w:t>
      </w:r>
      <w:r>
        <w:t xml:space="preserve"> </w:t>
      </w:r>
      <w:r>
        <w:t xml:space="preserve">and schizophrenia</w:t>
      </w:r>
      <w:r>
        <w:rPr>
          <w:vertAlign w:val="superscript"/>
        </w:rPr>
        <w:t xml:space="preserve">44,48</w:t>
      </w:r>
      <w:r>
        <w:t xml:space="preserve">. Crucially, these same disorders have been associated with imbalances in E:I</w:t>
      </w:r>
      <w:r>
        <w:rPr>
          <w:vertAlign w:val="superscript"/>
        </w:rPr>
        <w:t xml:space="preserve">10,18,19,49–52</w:t>
      </w:r>
      <w:r>
        <w:t xml:space="preserve">.</w:t>
      </w:r>
    </w:p>
    <w:p>
      <w:pPr>
        <w:pStyle w:val="TextBody"/>
      </w:pPr>
      <w:r>
        <w:t xml:space="preserve">In addition to its implications for the critical brain hypothesis, establishing a connection between E:I and H could facilitate simpler estimation of excitatory and inhibitory neurotransmitters, as precise measurement of E:I is technically challenging</w:t>
      </w:r>
      <w:r>
        <w:rPr>
          <w:vertAlign w:val="superscript"/>
        </w:rPr>
        <w:t xml:space="preserve">53</w:t>
      </w:r>
      <w:r>
        <w:t xml:space="preserve">. Currently, magnetic resonance spectroscopy (MRS) is the only non-invasive method for</w:t>
      </w:r>
      <w:r>
        <w:t xml:space="preserve"> </w:t>
      </w:r>
      <w:r>
        <w:rPr>
          <w:i/>
          <w:iCs/>
        </w:rPr>
        <w:t xml:space="preserve">in vivo</w:t>
      </w:r>
      <w:r>
        <w:t xml:space="preserve"> </w:t>
      </w:r>
      <w:r>
        <w:t xml:space="preserve">assessment of the Glu/GABA ratio (excitatory to inhibitory neurotransmitters) in humans</w:t>
      </w:r>
      <w:r>
        <w:rPr>
          <w:vertAlign w:val="superscript"/>
        </w:rPr>
        <w:t xml:space="preserve">54,55</w:t>
      </w:r>
      <w:r>
        <w:t xml:space="preserve">. Unfortunately, MRS suffers from limited spatial and temporal resolution, with single-voxel spectrosopy sizes between 20 and 27 cm</w:t>
      </w:r>
      <w:r>
        <w:rPr>
          <w:vertAlign w:val="superscript"/>
        </w:rPr>
        <w:t xml:space="preserve">3</w:t>
      </w:r>
      <w:r>
        <w:t xml:space="preserve">, and scan times between 5-10 minutes</w:t>
      </w:r>
      <w:r>
        <w:rPr>
          <w:vertAlign w:val="superscript"/>
        </w:rPr>
        <w:t xml:space="preserve">12,53,54</w:t>
      </w:r>
      <w:r>
        <w:t xml:space="preserve">. In addition, quantification of GABA at 3T necessitates the use of a specialized J-difference spectral-editing sequence (such as MEGA-PRESS), in order to isolate GABA (at 3 ppm, 2.3 ppm, and 1.9 ppm) from overlapping peaks (e.g. creatine and glutamate)</w:t>
      </w:r>
      <w:r>
        <w:rPr>
          <w:vertAlign w:val="superscript"/>
        </w:rPr>
        <w:t xml:space="preserve">56</w:t>
      </w:r>
      <w:r>
        <w:t xml:space="preserve">. The need for this additional sequence therefore reduces the temporal resolution further. If H could function as a substitute for E:I, it could simplify the estimation of E:I.</w:t>
      </w:r>
    </w:p>
    <w:p>
      <w:pPr>
        <w:pStyle w:val="TextBody"/>
      </w:pPr>
      <w:r>
        <w:t xml:space="preserve">Beyond clinical observations suggesting that both H and E:I imbalance are altered in neuropsychiatric conditions, several studies have attempted to show that critical-state dynamics emerge when excitation and inhibition are balanced. Indirect evidence comes from pharmacological manipulation of GABAergic neurotransmission, which has been shown to change the strength of LRTC</w:t>
      </w:r>
      <w:r>
        <w:t xml:space="preserve"> </w:t>
      </w:r>
      <w:r>
        <w:rPr>
          <w:i/>
          <w:iCs/>
        </w:rPr>
        <w:t xml:space="preserve">in vitro</w:t>
      </w:r>
      <w:r>
        <w:rPr>
          <w:vertAlign w:val="superscript"/>
        </w:rPr>
        <w:t xml:space="preserve">57</w:t>
      </w:r>
      <w:r>
        <w:t xml:space="preserve"> </w:t>
      </w:r>
      <w:r>
        <w:t xml:space="preserve">and in the beta-frequency range in humans using EEG</w:t>
      </w:r>
      <w:r>
        <w:rPr>
          <w:vertAlign w:val="superscript"/>
        </w:rPr>
        <w:t xml:space="preserve">58</w:t>
      </w:r>
      <w:r>
        <w:t xml:space="preserve">; and to eliminate the power-law scaling of neuronal avalanches in rats</w:t>
      </w:r>
      <w:r>
        <w:rPr>
          <w:vertAlign w:val="superscript"/>
        </w:rPr>
        <w:t xml:space="preserve">59–61</w:t>
      </w:r>
      <w:r>
        <w:t xml:space="preserve">.</w:t>
      </w:r>
      <w:r>
        <w:t xml:space="preserve"> </w:t>
      </w:r>
      <w:r>
        <w:t xml:space="preserve">More direct efforts linking H and E:I have mostly relied on computational models or animal studies</w:t>
      </w:r>
      <w:r>
        <w:rPr>
          <w:vertAlign w:val="superscript"/>
        </w:rPr>
        <w:t xml:space="preserve">6–12</w:t>
      </w:r>
      <w:r>
        <w:t xml:space="preserve">, and the results remain inconsistent, ranging from positive to negative or even U-shaped associations. These discrepancies may reflect differences in model systems (e.g., animal vs. computer simulations), methodological choices (such as how H or E:I are estimated), or may represent counter evidence against the theory that these measures are systematically related. Indeed, other theories for how the brain maintains criticality exist, such as neuromodulator regulation</w:t>
      </w:r>
      <w:r>
        <w:rPr>
          <w:vertAlign w:val="superscript"/>
        </w:rPr>
        <w:t xml:space="preserve">62–64</w:t>
      </w:r>
      <w:r>
        <w:t xml:space="preserve"> </w:t>
      </w:r>
      <w:r>
        <w:t xml:space="preserve">or synaptic plasticity</w:t>
      </w:r>
      <w:r>
        <w:rPr>
          <w:vertAlign w:val="superscript"/>
        </w:rPr>
        <w:t xml:space="preserve">65,66</w:t>
      </w:r>
      <w:r>
        <w:t xml:space="preserve">, to name a few.</w:t>
      </w:r>
      <w:r>
        <w:t xml:space="preserve"> </w:t>
      </w:r>
      <w:r>
        <w:t xml:space="preserve">Despite the lack of direct evidence, several recent human studies have used fMRI-derived H as a direct proxy for E:I balance</w:t>
      </w:r>
      <w:r>
        <w:rPr>
          <w:vertAlign w:val="superscript"/>
        </w:rPr>
        <w:t xml:space="preserve">43,44,67,68</w:t>
      </w:r>
      <w:r>
        <w:t xml:space="preserve">; yet, no study to date has tested the empirical relationship between H and neurochemical estimates of E:I (e.g., Glu/GABA ratio)</w:t>
      </w:r>
      <w:r>
        <w:t xml:space="preserve"> </w:t>
      </w:r>
      <w:r>
        <w:rPr>
          <w:i/>
          <w:iCs/>
        </w:rPr>
        <w:t xml:space="preserve">in vivo</w:t>
      </w:r>
      <w:r>
        <w:t xml:space="preserve"> </w:t>
      </w:r>
      <w:r>
        <w:t xml:space="preserve">in humans.</w:t>
      </w:r>
    </w:p>
    <w:p>
      <w:pPr>
        <w:pStyle w:val="TextBody"/>
      </w:pPr>
      <w:r>
        <w:t xml:space="preserve">The theory that E:I serves as the primary control parameter governing H — and, by extension, brain criticality — offers a framework with clear, falsifiable predictions that can be directly tested.</w:t>
      </w:r>
      <w:r>
        <w:t xml:space="preserve"> </w:t>
      </w:r>
      <w:r>
        <w:t xml:space="preserve">Specifically, if this framework holds, E:I and H should covary systematically in the human brain across individuals, age, brain regions, and cognitive states.</w:t>
      </w:r>
      <w:r>
        <w:t xml:space="preserve"> </w:t>
      </w:r>
      <w:r>
        <w:t xml:space="preserve">To empirically test this prediction, the present study examined the E:I–Hurst relationship in the human visual cortex during rest and naturalistic movie-watching.</w:t>
      </w:r>
      <w:r>
        <w:t xml:space="preserve"> </w:t>
      </w:r>
      <w:r>
        <w:t xml:space="preserve">Although a single condition would be sufficient to test the correlation between E:I and H, we included two conditions to broaden the dynamic range of neural and neurochemical measures — thereby increasing our sensitivity to detect a correlation — and to provide validation that our metrics behave as expected across qualitatively different brain states.</w:t>
      </w:r>
      <w:r>
        <w:t xml:space="preserve"> </w:t>
      </w:r>
      <w:r>
        <w:t xml:space="preserve">Naturalistic movie-watching is known to reliably engage the visual cortex with complex, temporally structured input, making it a useful condition for probing changes in the temporal dynamics of neural activity</w:t>
      </w:r>
      <w:r>
        <w:rPr>
          <w:vertAlign w:val="superscript"/>
        </w:rPr>
        <w:t xml:space="preserve">35,69</w:t>
      </w:r>
      <w:r>
        <w:t xml:space="preserve">. Prior work from our group has shown that H values increased during movie-watching compared to rest</w:t>
      </w:r>
      <w:r>
        <w:rPr>
          <w:vertAlign w:val="superscript"/>
        </w:rPr>
        <w:t xml:space="preserve">35</w:t>
      </w:r>
      <w:r>
        <w:t xml:space="preserve">, while work from others have found changes in Glu and GABA with sustained visual stimulation</w:t>
      </w:r>
      <w:r>
        <w:rPr>
          <w:vertAlign w:val="superscript"/>
        </w:rPr>
        <w:t xml:space="preserve">70–73</w:t>
      </w:r>
      <w:r>
        <w:t xml:space="preserve">. We hypothesized that H and Glu would increase during movie-watching</w:t>
      </w:r>
      <w:r>
        <w:rPr>
          <w:vertAlign w:val="superscript"/>
        </w:rPr>
        <w:t xml:space="preserve">35,70,71</w:t>
      </w:r>
      <w:r>
        <w:t xml:space="preserve">, that GABA would decrease</w:t>
      </w:r>
      <w:r>
        <w:rPr>
          <w:vertAlign w:val="superscript"/>
        </w:rPr>
        <w:t xml:space="preserve">72,73</w:t>
      </w:r>
      <w:r>
        <w:t xml:space="preserve">, and that H would be positively correlated with E:I in both conditions</w:t>
      </w:r>
      <w:r>
        <w:rPr>
          <w:vertAlign w:val="superscript"/>
        </w:rPr>
        <w:t xml:space="preserve">12</w:t>
      </w:r>
      <w:r>
        <w:t xml:space="preserve">.</w:t>
      </w:r>
    </w:p>
    <w:bookmarkEnd w:id="22"/>
    <w:bookmarkStart w:id="41" w:name="methods"/>
    <w:p>
      <w:pPr>
        <w:pStyle w:val="Heading1"/>
      </w:pPr>
      <w:r>
        <w:t xml:space="preserve">2. Methods</w:t>
      </w:r>
    </w:p>
    <w:bookmarkStart w:id="23" w:name="participants"/>
    <w:p>
      <w:pPr>
        <w:pStyle w:val="Heading2"/>
      </w:pPr>
      <w:r>
        <w:t xml:space="preserve">2.1 Participants</w:t>
      </w:r>
    </w:p>
    <w:p>
      <w:pPr>
        <w:pStyle w:val="FirstParagraph"/>
      </w:pPr>
      <w:r>
        <w:t xml:space="preserve">Twenty-seven healthy adult participants were recruited to the study. One participant was not scanned due to claustrophobia while in the scanner. After our analysis and performing quality assurance (see below for details), a further eight participants were removed, leaving eighteen final participants, between the ages of 21.3 and 53.4 (mean age ± sd: 29.6 ± 8.7 years; 8 males). Sex, handedness and date of birth were recorded on the day of the scan.</w:t>
      </w:r>
    </w:p>
    <w:bookmarkEnd w:id="23"/>
    <w:bookmarkStart w:id="24" w:name="ethics-statement"/>
    <w:p>
      <w:pPr>
        <w:pStyle w:val="Heading2"/>
      </w:pPr>
      <w:r>
        <w:t xml:space="preserve">2.2 Ethics Statement</w:t>
      </w:r>
    </w:p>
    <w:p>
      <w:pPr>
        <w:pStyle w:val="FirstParagraph"/>
      </w:pPr>
      <w:r>
        <w:t xml:space="preserve">Written informed consent was obtained from all participants. Ethics approval was granted by the Clinical Research Ethics Board at the University of British Columbia and BC Children’s &amp; Women’s Hospital (H21-02686).</w:t>
      </w:r>
    </w:p>
    <w:bookmarkEnd w:id="24"/>
    <w:bookmarkStart w:id="30" w:name="scanning-procedure"/>
    <w:p>
      <w:pPr>
        <w:pStyle w:val="Heading2"/>
      </w:pPr>
      <w:r>
        <w:t xml:space="preserve">2.3 Scanning Procedure</w:t>
      </w:r>
    </w:p>
    <w:p>
      <w:pPr>
        <w:pStyle w:val="FirstParagraph"/>
      </w:pPr>
      <w:r>
        <w:t xml:space="preserve">After two anatomical sequences were acquired, participants were instructed to visually fixate on a cross-hair for 24 minutes (see</w:t>
      </w:r>
      <w:r>
        <w:t xml:space="preserve"> </w:t>
      </w:r>
      <w:hyperlink w:anchor="tbl-mriacq">
        <w:r>
          <w:rPr>
            <w:rStyle w:val="InternetLink"/>
          </w:rPr>
          <w:t xml:space="preserve">Table 1</w:t>
        </w:r>
      </w:hyperlink>
      <w:r>
        <w:t xml:space="preserve"> </w:t>
      </w:r>
      <w:r>
        <w:t xml:space="preserve">and below for more details). During this period, an fMRI, single-voxel semi Localization by Adiabatic SElective Refocusing (sLASER)</w:t>
      </w:r>
      <w:r>
        <w:rPr>
          <w:vertAlign w:val="superscript"/>
        </w:rPr>
        <w:t xml:space="preserve">74</w:t>
      </w:r>
      <w:r>
        <w:t xml:space="preserve">, and single-voxel MEscher-Garwood Point-REsolved SpectroScopy (MEGA-PRESS)</w:t>
      </w:r>
      <w:r>
        <w:rPr>
          <w:vertAlign w:val="superscript"/>
        </w:rPr>
        <w:t xml:space="preserve">75</w:t>
      </w:r>
      <w:r>
        <w:t xml:space="preserve"> </w:t>
      </w:r>
      <w:r>
        <w:t xml:space="preserve">sequences were acquired (see</w:t>
      </w:r>
      <w:r>
        <w:t xml:space="preserve"> </w:t>
      </w:r>
      <w:hyperlink w:anchor="fig-method">
        <w:r>
          <w:rPr>
            <w:rStyle w:val="InternetLink"/>
          </w:rPr>
          <w:t xml:space="preserve">Figure 1</w:t>
        </w:r>
      </w:hyperlink>
      <w:r>
        <w:t xml:space="preserve"> </w:t>
      </w:r>
      <w:r>
        <w:t xml:space="preserve">A and</w:t>
      </w:r>
      <w:r>
        <w:t xml:space="preserve"> </w:t>
      </w:r>
      <w:hyperlink w:anchor="sec-mriacq">
        <w:r>
          <w:rPr>
            <w:rStyle w:val="InternetLink"/>
          </w:rPr>
          <w:t xml:space="preserve">Section 2.4</w:t>
        </w:r>
      </w:hyperlink>
      <w:r>
        <w:t xml:space="preserve">). Next, participants were instructed to watch a nature documentary (Our Planet (2019), Episode 3,</w:t>
      </w:r>
      <w:r>
        <w:t xml:space="preserve"> </w:t>
      </w:r>
      <w:r>
        <w:t xml:space="preserve">“</w:t>
      </w:r>
      <w:r>
        <w:t xml:space="preserve">Jungles</w:t>
      </w:r>
      <w:r>
        <w:t xml:space="preserve">”</w:t>
      </w:r>
      <w:r>
        <w:rPr>
          <w:vertAlign w:val="superscript"/>
        </w:rPr>
        <w:t xml:space="preserve">76</w:t>
      </w:r>
      <w:r>
        <w:t xml:space="preserve">) for 24 minutes. During this period, another set of fMRI, sLASER, and MEGA-PRESS sequences were acquired. See</w:t>
      </w:r>
      <w:r>
        <w:t xml:space="preserve"> </w:t>
      </w:r>
      <w:hyperlink w:anchor="fig-method">
        <w:r>
          <w:rPr>
            <w:rStyle w:val="InternetLink"/>
          </w:rPr>
          <w:t xml:space="preserve">Figure 1</w:t>
        </w:r>
      </w:hyperlink>
      <w:r>
        <w:t xml:space="preserve"> </w:t>
      </w:r>
      <w:r>
        <w:t xml:space="preserve">B for a visual representation of the scanning protocol. Total scan duration was approximately 1 hour of uninterrupted scanning (i.e. subjects were not removed from the scanner). All participants followed the same order of conditions: rest then movie; all participants saw the same movie segment, beginning at the same time during the scan.</w:t>
      </w:r>
    </w:p>
    <w:bookmarkStart w:id="29" w:name="cell-fig-method"/>
    <w:tbl>
      <w:tblPr>
        <w:tblStyle w:val="Table"/>
        <w:tblW w:type="pct" w:w="5000"/>
        <w:tblLayout w:type="fixed"/>
        <w:tblLook w:firstRow="0" w:lastRow="0" w:firstColumn="0" w:lastColumn="0" w:noHBand="0" w:noVBand="0" w:val="0000"/>
      </w:tblPr>
      <w:tblGrid>
        <w:gridCol w:w="7920"/>
      </w:tblGrid>
      <w:tr>
        <w:tc>
          <w:tcPr/>
          <w:bookmarkStart w:id="28" w:name="fig-method"/>
          <w:p>
            <w:pPr>
              <w:pStyle w:val="Compact"/>
              <w:jc w:val="center"/>
            </w:pPr>
            <w:r>
              <w:drawing>
                <wp:inline>
                  <wp:extent cx="4620126" cy="3696101"/>
                  <wp:effectExtent b="0" l="0" r="0" t="0"/>
                  <wp:docPr descr="" title="" id="26" name="Picture"/>
                  <a:graphic>
                    <a:graphicData uri="http://schemas.openxmlformats.org/drawingml/2006/picture">
                      <pic:pic>
                        <pic:nvPicPr>
                          <pic:cNvPr descr="index_files/figure-docx/fig-method-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1</w:t>
            </w:r>
            <w:r>
              <w:rPr>
                <w:b/>
                <w:bCs/>
              </w:rPr>
              <w:t xml:space="preserve">.</w:t>
            </w:r>
            <w:r>
              <w:t xml:space="preserve"> </w:t>
            </w:r>
            <w:r>
              <w:rPr>
                <w:b/>
                <w:bCs/>
              </w:rPr>
              <w:t xml:space="preserve">Overview of the MRI acquisition protocol.</w:t>
            </w:r>
            <w:r>
              <w:t xml:space="preserve"> </w:t>
            </w:r>
            <w:r>
              <w:t xml:space="preserve">A) fMRI coverage was across the whole-brain (example coverage in red). MRS voxels were placed in the visual cortex (blue). Background image is of a T1w acquisition from a sample subject. Figure was inspired by Ip et al. (2017)</w:t>
            </w:r>
            <w:r>
              <w:rPr>
                <w:vertAlign w:val="superscript"/>
              </w:rPr>
              <w:t xml:space="preserve">77</w:t>
            </w:r>
            <w:r>
              <w:t xml:space="preserve">. B) fMRI, sLASER, and MEGA-PRESS were acquired first with participants looking at a white cross for 24 minutes. Next, the same sequences were acquired with the participants viewing a nature documentary for an identical period of time.</w:t>
            </w:r>
          </w:p>
          <w:bookmarkEnd w:id="28"/>
        </w:tc>
      </w:tr>
    </w:tbl>
    <w:bookmarkEnd w:id="29"/>
    <w:bookmarkEnd w:id="30"/>
    <w:bookmarkStart w:id="32" w:name="sec-mriacq"/>
    <w:p>
      <w:pPr>
        <w:pStyle w:val="Heading2"/>
      </w:pPr>
      <w:r>
        <w:t xml:space="preserve">2.4 Acquisition Details</w:t>
      </w:r>
    </w:p>
    <w:p>
      <w:pPr>
        <w:pStyle w:val="FirstParagraph"/>
      </w:pPr>
      <w:r>
        <w:t xml:space="preserve">Scans were performed at BC Children’s Hospital MRI Research Facility on a 3.0 Tesla GE Discovery MR750 scanner (scanner software version: DV26.0_R03) with a Nova Medical 32 channel head coil. Participants changed into scrubs and were screened by an MRI technologist. Participants were given wax earplugs and a fiducial was placed on their left temple. Participants were provided with an audio headset and blanket once lying down on the scanner bed. Since visual stimuli were rear-projected, position and angle of mirror above patient eyes was adjusted for optimal movie viewing.</w:t>
      </w:r>
    </w:p>
    <w:p>
      <w:pPr>
        <w:pStyle w:val="TextBody"/>
      </w:pPr>
      <w:r>
        <w:t xml:space="preserve">The following MRI scans were acquired. A 3D T1-weighted sagittal fast spoiled gradient echo (FSPGR) sequence;</w:t>
      </w:r>
      <w:r>
        <w:t xml:space="preserve"> </w:t>
      </w:r>
      <w:r>
        <w:t xml:space="preserve">a 3D T2-weighted sagittal CUBE;</w:t>
      </w:r>
      <w:r>
        <w:t xml:space="preserve"> </w:t>
      </w:r>
      <w:r>
        <w:t xml:space="preserve">a 2D echo-planar imaging (EPI) multi-echo gradient-echo fMRI sequence;</w:t>
      </w:r>
      <w:r>
        <w:t xml:space="preserve"> </w:t>
      </w:r>
      <w:r>
        <w:t xml:space="preserve">a single-voxel MEGA-PRESS sequence with CHESS (CHEmical Shift Selective saturation) water suppression;</w:t>
      </w:r>
      <w:r>
        <w:t xml:space="preserve"> </w:t>
      </w:r>
      <w:r>
        <w:t xml:space="preserve">and a single-voxel sLASER sequence with VAPOR (VAriable Power and Optimized Relaxations) water suppression. Details are listed in</w:t>
      </w:r>
      <w:r>
        <w:t xml:space="preserve"> </w:t>
      </w:r>
      <w:hyperlink w:anchor="tbl-mriacq">
        <w:r>
          <w:rPr>
            <w:rStyle w:val="Internet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mriacq"/>
          <w:tbl>
            <w:tblPr>
              <w:tblStyle w:val="Table"/>
              <w:tblW w:type="pct" w:w="5000"/>
              <w:tblLayout w:type="fixed"/>
              <w:tblLook w:firstRow="1" w:lastRow="0" w:firstColumn="0" w:lastColumn="0" w:noHBand="0" w:noVBand="0" w:val="0020"/>
            </w:tblPr>
            <w:tblGrid>
              <w:gridCol w:w="1460"/>
              <w:gridCol w:w="663"/>
              <w:gridCol w:w="530"/>
              <w:gridCol w:w="530"/>
              <w:gridCol w:w="707"/>
              <w:gridCol w:w="973"/>
              <w:gridCol w:w="1238"/>
              <w:gridCol w:w="1637"/>
              <w:gridCol w:w="176"/>
            </w:tblGrid>
            <w:tr>
              <w:trPr>
                <w:tblHeader w:val="on"/>
              </w:trPr>
              <w:tc>
                <w:tcPr/>
                <w:p>
                  <w:pPr>
                    <w:pStyle w:val="Compact"/>
                    <w:jc w:val="left"/>
                    <w:jc w:val="center"/>
                  </w:pPr>
                  <w:r>
                    <w:t xml:space="preserve">Sequence</w:t>
                  </w:r>
                </w:p>
              </w:tc>
              <w:tc>
                <w:tcPr/>
                <w:p>
                  <w:pPr>
                    <w:pStyle w:val="Compact"/>
                    <w:jc w:val="left"/>
                    <w:jc w:val="center"/>
                  </w:pPr>
                  <w:r>
                    <w:t xml:space="preserve">TE (ms)</w:t>
                  </w:r>
                </w:p>
              </w:tc>
              <w:tc>
                <w:tcPr/>
                <w:p>
                  <w:pPr>
                    <w:pStyle w:val="Compact"/>
                    <w:jc w:val="left"/>
                    <w:jc w:val="center"/>
                  </w:pPr>
                  <w:r>
                    <w:t xml:space="preserve">TR (ms)</w:t>
                  </w:r>
                </w:p>
              </w:tc>
              <w:tc>
                <w:tcPr/>
                <w:p>
                  <w:pPr>
                    <w:pStyle w:val="Compact"/>
                    <w:jc w:val="left"/>
                    <w:jc w:val="center"/>
                  </w:pPr>
                  <w:r>
                    <w:t xml:space="preserve">Flip Angle</w:t>
                  </w:r>
                </w:p>
              </w:tc>
              <w:tc>
                <w:tcPr/>
                <w:p>
                  <w:pPr>
                    <w:pStyle w:val="Compact"/>
                    <w:jc w:val="left"/>
                    <w:jc w:val="center"/>
                  </w:pPr>
                  <w:r>
                    <w:t xml:space="preserve">FOV</w:t>
                  </w:r>
                </w:p>
              </w:tc>
              <w:tc>
                <w:tcPr/>
                <w:p>
                  <w:pPr>
                    <w:pStyle w:val="Compact"/>
                    <w:jc w:val="left"/>
                    <w:jc w:val="center"/>
                  </w:pPr>
                  <w:r>
                    <w:t xml:space="preserve">Slice Thickness (mm)</w:t>
                  </w:r>
                </w:p>
              </w:tc>
              <w:tc>
                <w:tcPr/>
                <w:p>
                  <w:pPr>
                    <w:pStyle w:val="Compact"/>
                    <w:jc w:val="left"/>
                    <w:jc w:val="center"/>
                  </w:pPr>
                  <w:r>
                    <w:t xml:space="preserve">In-Plane Resolution (mm²)</w:t>
                  </w:r>
                </w:p>
              </w:tc>
              <w:tc>
                <w:tcPr/>
                <w:p>
                  <w:pPr>
                    <w:pStyle w:val="Compact"/>
                    <w:jc w:val="left"/>
                    <w:jc w:val="center"/>
                  </w:pPr>
                  <w:r>
                    <w:t xml:space="preserve">Other Parameters</w:t>
                  </w:r>
                </w:p>
              </w:tc>
              <w:tc>
                <w:tcPr/>
                <w:p>
                  <w:pPr>
                    <w:pStyle w:val="Compact"/>
                    <w:jc w:val="left"/>
                    <w:jc w:val="center"/>
                  </w:pPr>
                  <w:r>
                    <w:t xml:space="preserve">Time (mins)</w:t>
                  </w:r>
                </w:p>
              </w:tc>
            </w:tr>
            <w:tr>
              <w:tc>
                <w:tcPr/>
                <w:p>
                  <w:pPr>
                    <w:pStyle w:val="Compact"/>
                    <w:jc w:val="left"/>
                    <w:jc w:val="center"/>
                  </w:pPr>
                  <w:r>
                    <w:t xml:space="preserve">3D T1-weighted FSPGR</w:t>
                  </w:r>
                </w:p>
              </w:tc>
              <w:tc>
                <w:tcPr/>
                <w:p>
                  <w:pPr>
                    <w:pStyle w:val="Compact"/>
                    <w:jc w:val="left"/>
                    <w:jc w:val="center"/>
                  </w:pPr>
                  <w:r>
                    <w:t xml:space="preserve">2.176</w:t>
                  </w:r>
                </w:p>
              </w:tc>
              <w:tc>
                <w:tcPr/>
                <w:p>
                  <w:pPr>
                    <w:pStyle w:val="Compact"/>
                    <w:jc w:val="left"/>
                    <w:jc w:val="center"/>
                  </w:pPr>
                  <w:r>
                    <w:t xml:space="preserve">7.216</w:t>
                  </w:r>
                </w:p>
              </w:tc>
              <w:tc>
                <w:tcPr/>
                <w:p>
                  <w:pPr>
                    <w:pStyle w:val="Compact"/>
                    <w:jc w:val="left"/>
                    <w:jc w:val="center"/>
                  </w:pPr>
                  <w:r>
                    <w:t xml:space="preserve">12</w:t>
                  </w:r>
                </w:p>
              </w:tc>
              <w:tc>
                <w:tcPr/>
                <w:p>
                  <w:pPr>
                    <w:pStyle w:val="Compact"/>
                    <w:jc w:val="left"/>
                    <w:jc w:val="center"/>
                  </w:pPr>
                  <w:r>
                    <w:t xml:space="preserve">256 × 256</w:t>
                  </w:r>
                </w:p>
              </w:tc>
              <w:tc>
                <w:tcPr/>
                <w:p>
                  <w:pPr>
                    <w:pStyle w:val="Compact"/>
                    <w:jc w:val="left"/>
                    <w:jc w:val="center"/>
                  </w:pPr>
                  <w:r>
                    <w:t xml:space="preserve">0.9</w:t>
                  </w:r>
                </w:p>
              </w:tc>
              <w:tc>
                <w:tcPr/>
                <w:p>
                  <w:pPr>
                    <w:pStyle w:val="Compact"/>
                    <w:jc w:val="left"/>
                    <w:jc w:val="center"/>
                  </w:pPr>
                  <w:r>
                    <w:t xml:space="preserve">0.9375 × 0.9375</w:t>
                  </w:r>
                </w:p>
              </w:tc>
              <w:tc>
                <w:tcPr/>
                <w:p>
                  <w:pPr>
                    <w:pStyle w:val="Compact"/>
                    <w:jc w:val="left"/>
                    <w:jc w:val="center"/>
                  </w:pPr>
                  <w:r>
                    <w:t xml:space="preserve">-</w:t>
                  </w:r>
                </w:p>
              </w:tc>
              <w:tc>
                <w:tcPr/>
                <w:p>
                  <w:pPr>
                    <w:pStyle w:val="Compact"/>
                    <w:jc w:val="left"/>
                    <w:jc w:val="center"/>
                  </w:pPr>
                  <w:r>
                    <w:t xml:space="preserve">5</w:t>
                  </w:r>
                </w:p>
              </w:tc>
            </w:tr>
            <w:tr>
              <w:tc>
                <w:tcPr/>
                <w:p>
                  <w:pPr>
                    <w:pStyle w:val="Compact"/>
                    <w:jc w:val="left"/>
                    <w:jc w:val="center"/>
                  </w:pPr>
                  <w:r>
                    <w:t xml:space="preserve">3D T2-weighted CUBE</w:t>
                  </w:r>
                </w:p>
              </w:tc>
              <w:tc>
                <w:tcPr/>
                <w:p>
                  <w:pPr>
                    <w:pStyle w:val="Compact"/>
                    <w:jc w:val="left"/>
                    <w:jc w:val="center"/>
                  </w:pPr>
                  <w:r>
                    <w:t xml:space="preserve">75.242</w:t>
                  </w:r>
                </w:p>
              </w:tc>
              <w:tc>
                <w:tcPr/>
                <w:p>
                  <w:pPr>
                    <w:pStyle w:val="Compact"/>
                    <w:jc w:val="left"/>
                    <w:jc w:val="center"/>
                  </w:pPr>
                  <w:r>
                    <w:t xml:space="preserve">2,504.0</w:t>
                  </w:r>
                </w:p>
              </w:tc>
              <w:tc>
                <w:tcPr/>
                <w:p>
                  <w:pPr>
                    <w:pStyle w:val="Compact"/>
                    <w:jc w:val="left"/>
                    <w:jc w:val="center"/>
                  </w:pPr>
                  <w:r>
                    <w:t xml:space="preserve">90</w:t>
                  </w:r>
                </w:p>
              </w:tc>
              <w:tc>
                <w:tcPr/>
                <w:p>
                  <w:pPr>
                    <w:pStyle w:val="Compact"/>
                    <w:jc w:val="left"/>
                    <w:jc w:val="center"/>
                  </w:pPr>
                  <w:r>
                    <w:t xml:space="preserve">256 x 256</w:t>
                  </w:r>
                </w:p>
              </w:tc>
              <w:tc>
                <w:tcPr/>
                <w:p>
                  <w:pPr>
                    <w:pStyle w:val="Compact"/>
                    <w:jc w:val="left"/>
                    <w:jc w:val="center"/>
                  </w:pPr>
                  <w:r>
                    <w:t xml:space="preserve">0.9</w:t>
                  </w:r>
                </w:p>
              </w:tc>
              <w:tc>
                <w:tcPr/>
                <w:p>
                  <w:pPr>
                    <w:pStyle w:val="Compact"/>
                    <w:jc w:val="left"/>
                    <w:jc w:val="center"/>
                  </w:pPr>
                  <w:r>
                    <w:t xml:space="preserve">0.9375 × 0.9375</w:t>
                  </w:r>
                </w:p>
              </w:tc>
              <w:tc>
                <w:tcPr/>
                <w:p>
                  <w:pPr>
                    <w:pStyle w:val="Compact"/>
                    <w:jc w:val="left"/>
                    <w:jc w:val="center"/>
                  </w:pPr>
                  <w:r>
                    <w:t xml:space="preserve">-</w:t>
                  </w:r>
                </w:p>
              </w:tc>
              <w:tc>
                <w:tcPr/>
                <w:p>
                  <w:pPr>
                    <w:pStyle w:val="Compact"/>
                    <w:jc w:val="left"/>
                    <w:jc w:val="center"/>
                  </w:pPr>
                  <w:r>
                    <w:t xml:space="preserve">4</w:t>
                  </w:r>
                </w:p>
              </w:tc>
            </w:tr>
            <w:tr>
              <w:tc>
                <w:tcPr/>
                <w:p>
                  <w:pPr>
                    <w:pStyle w:val="Compact"/>
                    <w:jc w:val="left"/>
                    <w:jc w:val="center"/>
                  </w:pPr>
                  <w:r>
                    <w:t xml:space="preserve">2D EPI Multi-Echo fMRI</w:t>
                  </w:r>
                </w:p>
              </w:tc>
              <w:tc>
                <w:tcPr/>
                <w:p>
                  <w:pPr>
                    <w:pStyle w:val="Compact"/>
                    <w:jc w:val="left"/>
                    <w:jc w:val="center"/>
                  </w:pPr>
                  <w:r>
                    <w:t xml:space="preserve">12.2, 35.352, 58.504</w:t>
                  </w:r>
                </w:p>
              </w:tc>
              <w:tc>
                <w:tcPr/>
                <w:p>
                  <w:pPr>
                    <w:pStyle w:val="Compact"/>
                    <w:jc w:val="left"/>
                    <w:jc w:val="center"/>
                  </w:pPr>
                  <w:r>
                    <w:t xml:space="preserve">1,500</w:t>
                  </w:r>
                </w:p>
              </w:tc>
              <w:tc>
                <w:tcPr/>
                <w:p>
                  <w:pPr>
                    <w:pStyle w:val="Compact"/>
                    <w:jc w:val="left"/>
                    <w:jc w:val="center"/>
                  </w:pPr>
                  <w:r>
                    <w:t xml:space="preserve">52</w:t>
                  </w:r>
                </w:p>
              </w:tc>
              <w:tc>
                <w:tcPr/>
                <w:p>
                  <w:pPr>
                    <w:pStyle w:val="Compact"/>
                    <w:jc w:val="left"/>
                    <w:jc w:val="center"/>
                  </w:pPr>
                  <w:r>
                    <w:t xml:space="preserve">64 x 64</w:t>
                  </w:r>
                </w:p>
              </w:tc>
              <w:tc>
                <w:tcPr/>
                <w:p>
                  <w:pPr>
                    <w:pStyle w:val="Compact"/>
                    <w:jc w:val="left"/>
                    <w:jc w:val="center"/>
                  </w:pPr>
                  <w:r>
                    <w:t xml:space="preserve">3.6</w:t>
                  </w:r>
                </w:p>
              </w:tc>
              <w:tc>
                <w:tcPr/>
                <w:p>
                  <w:pPr>
                    <w:pStyle w:val="Compact"/>
                    <w:jc w:val="left"/>
                    <w:jc w:val="center"/>
                  </w:pPr>
                  <w:r>
                    <w:t xml:space="preserve">3.5938 × 3.5938</w:t>
                  </w:r>
                </w:p>
              </w:tc>
              <w:tc>
                <w:tcPr/>
                <w:p>
                  <w:pPr>
                    <w:pStyle w:val="Compact"/>
                    <w:jc w:val="left"/>
                    <w:jc w:val="center"/>
                  </w:pPr>
                  <w:r>
                    <w:t xml:space="preserve">Acceleration factor = 6</w:t>
                  </w:r>
                </w:p>
              </w:tc>
              <w:tc>
                <w:tcPr/>
                <w:p>
                  <w:pPr>
                    <w:pStyle w:val="Compact"/>
                    <w:jc w:val="left"/>
                    <w:jc w:val="center"/>
                  </w:pPr>
                  <w:r>
                    <w:t xml:space="preserve">12</w:t>
                  </w:r>
                </w:p>
              </w:tc>
            </w:tr>
            <w:tr>
              <w:tc>
                <w:tcPr/>
                <w:p>
                  <w:pPr>
                    <w:pStyle w:val="Compact"/>
                    <w:jc w:val="left"/>
                    <w:jc w:val="center"/>
                  </w:pPr>
                  <w:r>
                    <w:t xml:space="preserve">sLASER</w:t>
                  </w:r>
                </w:p>
              </w:tc>
              <w:tc>
                <w:tcPr/>
                <w:p>
                  <w:pPr>
                    <w:pStyle w:val="Compact"/>
                    <w:jc w:val="left"/>
                    <w:jc w:val="center"/>
                  </w:pPr>
                  <w:r>
                    <w:t xml:space="preserve">35</w:t>
                  </w:r>
                </w:p>
              </w:tc>
              <w:tc>
                <w:tcPr/>
                <w:p>
                  <w:pPr>
                    <w:pStyle w:val="Compact"/>
                    <w:jc w:val="left"/>
                    <w:jc w:val="center"/>
                  </w:pPr>
                  <w:r>
                    <w:t xml:space="preserve">2,000</w:t>
                  </w:r>
                </w:p>
              </w:tc>
              <w:tc>
                <w:tcPr/>
                <w:p>
                  <w:pPr>
                    <w:pStyle w:val="Compact"/>
                    <w:jc w:val="left"/>
                    <w:jc w:val="center"/>
                  </w:pPr>
                  <w:r>
                    <w:t xml:space="preserve">90</w:t>
                  </w:r>
                </w:p>
              </w:tc>
              <w:tc>
                <w:tcPr/>
                <w:p>
                  <w:pPr>
                    <w:pStyle w:val="Compact"/>
                    <w:jc w:val="left"/>
                    <w:jc w:val="center"/>
                  </w:pPr>
                  <w:r>
                    <w:t xml:space="preserve">-</w:t>
                  </w:r>
                </w:p>
              </w:tc>
              <w:tc>
                <w:tcPr/>
                <w:p>
                  <w:pPr>
                    <w:pStyle w:val="Compact"/>
                    <w:jc w:val="left"/>
                    <w:jc w:val="center"/>
                  </w:pPr>
                  <w:r>
                    <w:t xml:space="preserve">28.0</w:t>
                  </w:r>
                </w:p>
              </w:tc>
              <w:tc>
                <w:tcPr/>
                <w:p>
                  <w:pPr>
                    <w:pStyle w:val="Compact"/>
                    <w:jc w:val="left"/>
                    <w:jc w:val="center"/>
                  </w:pPr>
                  <w:r>
                    <w:t xml:space="preserve">28.0 x 28.0</w:t>
                  </w:r>
                </w:p>
              </w:tc>
              <w:tc>
                <w:tcPr/>
                <w:p>
                  <w:pPr>
                    <w:pStyle w:val="Compact"/>
                    <w:jc w:val="left"/>
                    <w:jc w:val="center"/>
                  </w:pPr>
                  <w:r>
                    <w:t xml:space="preserve">Transients = 128*; Spectral width = 5,000 Hz; Data points = 4,096</w:t>
                  </w:r>
                </w:p>
              </w:tc>
              <w:tc>
                <w:tcPr/>
                <w:p>
                  <w:pPr>
                    <w:pStyle w:val="Compact"/>
                    <w:jc w:val="left"/>
                    <w:jc w:val="center"/>
                  </w:pPr>
                  <w:r>
                    <w:t xml:space="preserve">4</w:t>
                  </w:r>
                </w:p>
              </w:tc>
            </w:tr>
            <w:tr>
              <w:tc>
                <w:tcPr/>
                <w:p>
                  <w:pPr>
                    <w:pStyle w:val="Compact"/>
                    <w:jc w:val="left"/>
                    <w:jc w:val="center"/>
                  </w:pPr>
                  <w:r>
                    <w:t xml:space="preserve">MEGA-PRESS</w:t>
                  </w:r>
                </w:p>
              </w:tc>
              <w:tc>
                <w:tcPr/>
                <w:p>
                  <w:pPr>
                    <w:pStyle w:val="Compact"/>
                    <w:jc w:val="left"/>
                    <w:jc w:val="center"/>
                  </w:pPr>
                  <w:r>
                    <w:t xml:space="preserve">68</w:t>
                  </w:r>
                </w:p>
              </w:tc>
              <w:tc>
                <w:tcPr/>
                <w:p>
                  <w:pPr>
                    <w:pStyle w:val="Compact"/>
                    <w:jc w:val="left"/>
                    <w:jc w:val="center"/>
                  </w:pPr>
                  <w:r>
                    <w:t xml:space="preserve">1,800</w:t>
                  </w:r>
                </w:p>
              </w:tc>
              <w:tc>
                <w:tcPr/>
                <w:p>
                  <w:pPr>
                    <w:pStyle w:val="Compact"/>
                    <w:jc w:val="left"/>
                    <w:jc w:val="center"/>
                  </w:pPr>
                  <w:r>
                    <w:t xml:space="preserve">90</w:t>
                  </w:r>
                </w:p>
              </w:tc>
              <w:tc>
                <w:tcPr/>
                <w:p>
                  <w:pPr>
                    <w:pStyle w:val="Compact"/>
                    <w:jc w:val="left"/>
                    <w:jc w:val="center"/>
                  </w:pPr>
                  <w:r>
                    <w:t xml:space="preserve">-</w:t>
                  </w:r>
                </w:p>
              </w:tc>
              <w:tc>
                <w:tcPr/>
                <w:p>
                  <w:pPr>
                    <w:pStyle w:val="Compact"/>
                    <w:jc w:val="left"/>
                    <w:jc w:val="center"/>
                  </w:pPr>
                  <w:r>
                    <w:t xml:space="preserve">28.0</w:t>
                  </w:r>
                </w:p>
              </w:tc>
              <w:tc>
                <w:tcPr/>
                <w:p>
                  <w:pPr>
                    <w:pStyle w:val="Compact"/>
                    <w:jc w:val="left"/>
                    <w:jc w:val="center"/>
                  </w:pPr>
                  <w:r>
                    <w:t xml:space="preserve">28.0 x 28.0</w:t>
                  </w:r>
                </w:p>
              </w:tc>
              <w:tc>
                <w:tcPr/>
                <w:p>
                  <w:pPr>
                    <w:pStyle w:val="Compact"/>
                    <w:jc w:val="left"/>
                    <w:jc w:val="center"/>
                  </w:pPr>
                  <w:r>
                    <w:t xml:space="preserve">Transients = 128 ON, 128 OFF; Spectral width = 5,000 Hz; Data points = 4,096</w:t>
                  </w:r>
                </w:p>
              </w:tc>
              <w:tc>
                <w:tcPr/>
                <w:p>
                  <w:pPr>
                    <w:pStyle w:val="Compact"/>
                    <w:jc w:val="left"/>
                    <w:jc w:val="center"/>
                  </w:pPr>
                  <w:r>
                    <w:t xml:space="preserve">8</w:t>
                  </w:r>
                </w:p>
              </w:tc>
            </w:tr>
          </w:tbl>
          <w:p>
            <w:pPr>
              <w:jc w:val="center"/>
            </w:pPr>
            <w:pPr>
              <w:jc w:val="start"/>
              <w:spacing w:before="200"/>
              <w:pStyle w:val="ImageCaption"/>
            </w:pPr>
            <w:r>
              <w:rPr>
                <w:b/>
                <w:bCs/>
              </w:rPr>
              <w:t xml:space="preserve">Table</w:t>
            </w:r>
            <w:r>
              <w:t xml:space="preserve"> 1</w:t>
            </w:r>
            <w:r>
              <w:rPr>
                <w:b/>
                <w:bCs/>
              </w:rPr>
              <w:t xml:space="preserve">.</w:t>
            </w:r>
            <w:r>
              <w:t xml:space="preserve"> </w:t>
            </w:r>
            <w:r>
              <w:rPr>
                <w:b/>
                <w:bCs/>
              </w:rPr>
              <w:t xml:space="preserve">Summary of MRI acquisition details</w:t>
            </w:r>
            <w:r>
              <w:t xml:space="preserve"> </w:t>
            </w:r>
            <w:r>
              <w:t xml:space="preserve">TE = echo time; TR = repetition time; FOV = field of view; FSPGD = fast spoiled gradient-echo; CUBE = a GE acronym; EPI = echo-planar imaging; fMRI = functional magnetic resonance imaging; sLASER = semi localization by adiabatic selective refocusing; MEGA-PRESS = Mescher-Garwood point-resolved spectroscopy. *Note, the GE semi-LASER sequence averaged the 128 transients into groups of 4, each with 32 transients, before being saved as raw P-file.</w:t>
            </w:r>
          </w:p>
          <w:bookmarkEnd w:id="31"/>
        </w:tc>
      </w:tr>
    </w:tbl>
    <w:p>
      <w:pPr>
        <w:pStyle w:val="TextBody"/>
      </w:pPr>
      <w:r>
        <w:t xml:space="preserve">For both MRS sequences, the voxel size was set to 2.8 x 2.8 x 2.8 cm</w:t>
      </w:r>
      <w:r>
        <w:rPr>
          <w:vertAlign w:val="superscript"/>
        </w:rPr>
        <w:t xml:space="preserve">3</w:t>
      </w:r>
      <w:r>
        <w:t xml:space="preserve">. MRS voxels were rotated and placed in the occipital lobe, aligned along the calcarine fissure, using the high resolution T1w sequence as anatomical guide. Voxel placement was set once at the beginning and copied for the remaining MRS sequences. Glutamate was quantified from semi-LASER acquisitions as it offers the highest quality spectra for unedited metabolites</w:t>
      </w:r>
      <w:r>
        <w:rPr>
          <w:vertAlign w:val="superscript"/>
        </w:rPr>
        <w:t xml:space="preserve">78</w:t>
      </w:r>
      <w:r>
        <w:t xml:space="preserve">. The GE semi-LASER sequence automatically aligned and averaged every 32 transients, resulting in 4 averaged transients to process. GABA was measured using MEGA-PRESS, which applies frequency-selective editing pulses to isolate GABA from overlapping signals</w:t>
      </w:r>
      <w:r>
        <w:rPr>
          <w:vertAlign w:val="superscript"/>
        </w:rPr>
        <w:t xml:space="preserve">56</w:t>
      </w:r>
      <w:r>
        <w:t xml:space="preserve">. This dual-sequence approach is standard in the field and reflects the differing spectral requirements of each metabolite</w:t>
      </w:r>
      <w:r>
        <w:rPr>
          <w:vertAlign w:val="superscript"/>
        </w:rPr>
        <w:t xml:space="preserve">79</w:t>
      </w:r>
      <w:r>
        <w:t xml:space="preserve">. Finally, blip-up and blip-down spin-echo versions of the fMRI sequence were acquired at the end to estimate the B0 non-uniformity map for fMRI phase distortion correction.</w:t>
      </w:r>
    </w:p>
    <w:bookmarkEnd w:id="32"/>
    <w:bookmarkStart w:id="36" w:name="image-processing"/>
    <w:p>
      <w:pPr>
        <w:pStyle w:val="Heading2"/>
      </w:pPr>
      <w:r>
        <w:t xml:space="preserve">2.5 Image Processing</w:t>
      </w:r>
    </w:p>
    <w:p>
      <w:pPr>
        <w:pStyle w:val="FirstParagraph"/>
      </w:pPr>
      <w:r>
        <w:t xml:space="preserve">Our full image processing pipeline has been can be accessed from our Github account page:</w:t>
      </w:r>
      <w:r>
        <w:t xml:space="preserve"> </w:t>
      </w:r>
      <w:hyperlink r:id="rId33">
        <w:r>
          <w:rPr>
            <w:rStyle w:val="InternetLink"/>
          </w:rPr>
          <w:t xml:space="preserve">github.com/WeberLab/EI_Hurst_Analysis</w:t>
        </w:r>
      </w:hyperlink>
    </w:p>
    <w:p>
      <w:pPr>
        <w:pStyle w:val="TextBody"/>
      </w:pPr>
      <w:r>
        <w:t xml:space="preserve">Images were downloaded offline from the scanner in raw Digital Imaging and Communications in Medicine (DICOM) format. DICOM files were then converted to Neuroimaging Informatics Technology Initiative (NIfTI) using Chris Rorden’s</w:t>
      </w:r>
      <w:r>
        <w:t xml:space="preserve"> </w:t>
      </w:r>
      <w:r>
        <w:rPr>
          <w:rStyle w:val="VerbatimChar"/>
        </w:rPr>
        <w:t xml:space="preserve">dcm2niix</w:t>
      </w:r>
      <w:r>
        <w:rPr>
          <w:vertAlign w:val="superscript"/>
        </w:rPr>
        <w:t xml:space="preserve">80</w:t>
      </w:r>
      <w:r>
        <w:t xml:space="preserve"> </w:t>
      </w:r>
      <w:r>
        <w:t xml:space="preserve">(v1.0.20211006) and then to Brain Imaging Data Structure (BIDS)</w:t>
      </w:r>
      <w:r>
        <w:rPr>
          <w:vertAlign w:val="superscript"/>
        </w:rPr>
        <w:t xml:space="preserve">81</w:t>
      </w:r>
      <w:r>
        <w:t xml:space="preserve"> </w:t>
      </w:r>
      <w:r>
        <w:t xml:space="preserve">format using</w:t>
      </w:r>
      <w:r>
        <w:t xml:space="preserve"> </w:t>
      </w:r>
      <w:r>
        <w:rPr>
          <w:rStyle w:val="VerbatimChar"/>
        </w:rPr>
        <w:t xml:space="preserve">dcm2bids</w:t>
      </w:r>
      <w:r>
        <w:rPr>
          <w:vertAlign w:val="superscript"/>
        </w:rPr>
        <w:t xml:space="preserve">82</w:t>
      </w:r>
      <w:r>
        <w:t xml:space="preserve"> </w:t>
      </w:r>
      <w:r>
        <w:t xml:space="preserve">(v2.1.6). MRS files were downloaded as raw P files.</w:t>
      </w:r>
    </w:p>
    <w:bookmarkStart w:id="34" w:name="structural-images"/>
    <w:p>
      <w:pPr>
        <w:pStyle w:val="Heading3"/>
      </w:pPr>
      <w:r>
        <w:t xml:space="preserve">2.5.1 Structural Images</w:t>
      </w:r>
    </w:p>
    <w:p>
      <w:pPr>
        <w:pStyle w:val="FirstParagraph"/>
      </w:pPr>
      <w:r>
        <w:t xml:space="preserve">The T1w image was corrected for intensity non-uniformity with</w:t>
      </w:r>
      <w:r>
        <w:t xml:space="preserve"> </w:t>
      </w:r>
      <w:r>
        <w:rPr>
          <w:rStyle w:val="VerbatimChar"/>
        </w:rPr>
        <w:t xml:space="preserve">N4BiasFieldCorrection</w:t>
      </w:r>
      <w:r>
        <w:rPr>
          <w:vertAlign w:val="superscript"/>
        </w:rPr>
        <w:t xml:space="preserve">83</w:t>
      </w:r>
      <w:r>
        <w:t xml:space="preserve"> </w:t>
      </w:r>
      <w:r>
        <w:t xml:space="preserve">(</w:t>
      </w:r>
      <w:r>
        <w:rPr>
          <w:rStyle w:val="VerbatimChar"/>
        </w:rPr>
        <w:t xml:space="preserve">ANTs</w:t>
      </w:r>
      <w:r>
        <w:rPr>
          <w:vertAlign w:val="superscript"/>
        </w:rPr>
        <w:t xml:space="preserve">84</w:t>
      </w:r>
      <w:r>
        <w:t xml:space="preserve">; v2.3.335) to be used as a T1w-reference for the rest of the workflow. The T1w-reference was skull-stripped using a</w:t>
      </w:r>
      <w:r>
        <w:t xml:space="preserve"> </w:t>
      </w:r>
      <w:r>
        <w:rPr>
          <w:rStyle w:val="VerbatimChar"/>
        </w:rPr>
        <w:t xml:space="preserve">Nipype</w:t>
      </w:r>
      <w:r>
        <w:rPr>
          <w:vertAlign w:val="superscript"/>
        </w:rPr>
        <w:t xml:space="preserve">85</w:t>
      </w:r>
      <w:r>
        <w:t xml:space="preserve"> </w:t>
      </w:r>
      <w:r>
        <w:t xml:space="preserve">implementation of</w:t>
      </w:r>
      <w:r>
        <w:t xml:space="preserve"> </w:t>
      </w:r>
      <w:r>
        <w:rPr>
          <w:rStyle w:val="VerbatimChar"/>
        </w:rPr>
        <w:t xml:space="preserve">antsBrainExtraction.sh</w:t>
      </w:r>
      <w:r>
        <w:t xml:space="preserve"> </w:t>
      </w:r>
      <w:r>
        <w:t xml:space="preserve">from</w:t>
      </w:r>
      <w:r>
        <w:t xml:space="preserve"> </w:t>
      </w:r>
      <w:r>
        <w:rPr>
          <w:rStyle w:val="VerbatimChar"/>
        </w:rPr>
        <w:t xml:space="preserve">ANTs</w:t>
      </w:r>
      <w:r>
        <w:t xml:space="preserve">;</w:t>
      </w:r>
      <w:r>
        <w:t xml:space="preserve"> </w:t>
      </w:r>
      <w:r>
        <w:rPr>
          <w:rStyle w:val="VerbatimChar"/>
        </w:rPr>
        <w:t xml:space="preserve">OASIS30ANTs</w:t>
      </w:r>
      <w:r>
        <w:t xml:space="preserve"> </w:t>
      </w:r>
      <w:r>
        <w:t xml:space="preserve">was used as a target template.</w:t>
      </w:r>
      <w:r>
        <w:t xml:space="preserve"> </w:t>
      </w:r>
      <w:r>
        <w:rPr>
          <w:rStyle w:val="VerbatimChar"/>
        </w:rPr>
        <w:t xml:space="preserve">Fast</w:t>
      </w:r>
      <w:r>
        <w:rPr>
          <w:vertAlign w:val="superscript"/>
        </w:rPr>
        <w:t xml:space="preserve">86</w:t>
      </w:r>
      <w:r>
        <w:t xml:space="preserve"> </w:t>
      </w:r>
      <w:r>
        <w:t xml:space="preserve">(</w:t>
      </w:r>
      <w:r>
        <w:rPr>
          <w:rStyle w:val="VerbatimChar"/>
        </w:rPr>
        <w:t xml:space="preserve">FSL</w:t>
      </w:r>
      <w:r>
        <w:rPr>
          <w:vertAlign w:val="superscript"/>
        </w:rPr>
        <w:t xml:space="preserve">87</w:t>
      </w:r>
      <w:r>
        <w:t xml:space="preserve"> </w:t>
      </w:r>
      <w:r>
        <w:t xml:space="preserve">v.6.0.5.1:57b01774, RRID: SCR_002823) was used for brain tissue segmentation into cerebrospinal fluid (CSF), white matter (WM), and gray matter (GM). Brain surfaces were reconstructed with</w:t>
      </w:r>
      <w:r>
        <w:t xml:space="preserve"> </w:t>
      </w:r>
      <w:r>
        <w:rPr>
          <w:rStyle w:val="VerbatimChar"/>
        </w:rPr>
        <w:t xml:space="preserve">recon-all</w:t>
      </w:r>
      <w:r>
        <w:rPr>
          <w:vertAlign w:val="superscript"/>
        </w:rPr>
        <w:t xml:space="preserve">88</w:t>
      </w:r>
      <w:r>
        <w:t xml:space="preserve"> </w:t>
      </w:r>
      <w:r>
        <w:t xml:space="preserve">(</w:t>
      </w:r>
      <w:r>
        <w:rPr>
          <w:rStyle w:val="VerbatimChar"/>
        </w:rPr>
        <w:t xml:space="preserve">FreeSurfer</w:t>
      </w:r>
      <w:r>
        <w:rPr>
          <w:vertAlign w:val="superscript"/>
        </w:rPr>
        <w:t xml:space="preserve">88</w:t>
      </w:r>
      <w:r>
        <w:t xml:space="preserve"> </w:t>
      </w:r>
      <w:r>
        <w:t xml:space="preserve">7.3.2, RRID: SCR_001847). The previously-estimated brain mask was refined with</w:t>
      </w:r>
      <w:r>
        <w:t xml:space="preserve"> </w:t>
      </w:r>
      <w:r>
        <w:rPr>
          <w:rStyle w:val="VerbatimChar"/>
        </w:rPr>
        <w:t xml:space="preserve">Mindboggle</w:t>
      </w:r>
      <w:r>
        <w:rPr>
          <w:vertAlign w:val="superscript"/>
        </w:rPr>
        <w:t xml:space="preserve">89</w:t>
      </w:r>
      <w:r>
        <w:t xml:space="preserve"> </w:t>
      </w:r>
      <w:r>
        <w:t xml:space="preserve">(RRID:SCR_002438) to reconcile ANTs-derived and FreeSurfer-derived segmentations of cortical GM.</w:t>
      </w:r>
      <w:r>
        <w:t xml:space="preserve"> </w:t>
      </w:r>
      <w:r>
        <w:rPr>
          <w:rStyle w:val="VerbatimChar"/>
        </w:rPr>
        <w:t xml:space="preserve">AntsRegistration</w:t>
      </w:r>
      <w:r>
        <w:rPr>
          <w:vertAlign w:val="superscript"/>
        </w:rPr>
        <w:t xml:space="preserve">84</w:t>
      </w:r>
      <w:r>
        <w:t xml:space="preserve"> </w:t>
      </w:r>
      <w:r>
        <w:t xml:space="preserve">(</w:t>
      </w:r>
      <w:r>
        <w:rPr>
          <w:rStyle w:val="VerbatimChar"/>
        </w:rPr>
        <w:t xml:space="preserve">ANTs</w:t>
      </w:r>
      <w:r>
        <w:t xml:space="preserve"> </w:t>
      </w:r>
      <w:r>
        <w:t xml:space="preserve">2.3.3) was used to perform volume-based spatial normalization to two standard spaces: MNI152NLin2009cAsym and MNI152NLin6Asym. Normalization used brain-extracted versions of both T1w reference and T1w template.</w:t>
      </w:r>
    </w:p>
    <w:bookmarkEnd w:id="34"/>
    <w:bookmarkStart w:id="35" w:name="fmri"/>
    <w:p>
      <w:pPr>
        <w:pStyle w:val="Heading3"/>
      </w:pPr>
      <w:r>
        <w:t xml:space="preserve">2.5.2 fMRI</w:t>
      </w:r>
    </w:p>
    <w:p>
      <w:pPr>
        <w:pStyle w:val="FirstParagraph"/>
      </w:pPr>
      <w:r>
        <w:t xml:space="preserve">Using</w:t>
      </w:r>
      <w:r>
        <w:t xml:space="preserve"> </w:t>
      </w:r>
      <w:r>
        <w:rPr>
          <w:rStyle w:val="VerbatimChar"/>
        </w:rPr>
        <w:t xml:space="preserve">fMRIPrep</w:t>
      </w:r>
      <w:r>
        <w:rPr>
          <w:vertAlign w:val="superscript"/>
        </w:rPr>
        <w:t xml:space="preserve">90</w:t>
      </w:r>
      <w:r>
        <w:t xml:space="preserve">, the shortest echo of the BOLD run was used to generate a reference volume (both skull-stripped and skull-included). Head-motion parameters with respect to the BOLD reference (transformation matrices as well as six corresponding rotation and translation parameters) were estimated before spatiotemporal filtering using</w:t>
      </w:r>
      <w:r>
        <w:t xml:space="preserve"> </w:t>
      </w:r>
      <w:r>
        <w:rPr>
          <w:rStyle w:val="VerbatimChar"/>
        </w:rPr>
        <w:t xml:space="preserve">mcflirt</w:t>
      </w:r>
      <w:r>
        <w:rPr>
          <w:vertAlign w:val="superscript"/>
        </w:rPr>
        <w:t xml:space="preserve">91</w:t>
      </w:r>
      <w:r>
        <w:t xml:space="preserve"> </w:t>
      </w:r>
      <w:r>
        <w:t xml:space="preserve">(</w:t>
      </w:r>
      <w:r>
        <w:rPr>
          <w:rStyle w:val="VerbatimChar"/>
        </w:rPr>
        <w:t xml:space="preserve">FSL</w:t>
      </w:r>
      <w:r>
        <w:t xml:space="preserve"> </w:t>
      </w:r>
      <w:r>
        <w:t xml:space="preserve">v6.0.5.1:57b01774). The fieldmap was aligned with rigid registration to the target EPI reference run. Field coefficients were mapped to the reference EPI using the transform. BOLD runs were slice-time corrected to 643 ms (half of slice acquisition range of 0-1290 ms) using</w:t>
      </w:r>
      <w:r>
        <w:t xml:space="preserve"> </w:t>
      </w:r>
      <w:r>
        <w:rPr>
          <w:rStyle w:val="VerbatimChar"/>
        </w:rPr>
        <w:t xml:space="preserve">3dTshift</w:t>
      </w:r>
      <w:r>
        <w:t xml:space="preserve"> </w:t>
      </w:r>
      <w:r>
        <w:t xml:space="preserve">from</w:t>
      </w:r>
      <w:r>
        <w:t xml:space="preserve"> </w:t>
      </w:r>
      <w:r>
        <w:rPr>
          <w:rStyle w:val="VerbatimChar"/>
        </w:rPr>
        <w:t xml:space="preserve">AFNI</w:t>
      </w:r>
      <w:r>
        <w:rPr>
          <w:vertAlign w:val="superscript"/>
        </w:rPr>
        <w:t xml:space="preserve">92</w:t>
      </w:r>
      <w:r>
        <w:t xml:space="preserve"> </w:t>
      </w:r>
      <w:r>
        <w:t xml:space="preserve">(RRIS: SCR_005927). To estimate T2* map from preprocessed EPI echoes, a voxel-wise fitting was performed by fitting the maximum number of echoes with reliable echoes in a particular voxel to a monoexponential signal decay model with nonlinear regression. Initial values were T2</w:t>
      </w:r>
      <w:r>
        <w:rPr>
          <w:i/>
          <w:iCs/>
        </w:rPr>
        <w:t xml:space="preserve">/S0 estimates from a log-linear regression fit. This calculated T2</w:t>
      </w:r>
      <w:r>
        <w:t xml:space="preserve"> </w:t>
      </w:r>
      <w:r>
        <w:t xml:space="preserve">map was then used to optimally combine preprocessed BOLD across echoes using the method by Posse et al. (1999)</w:t>
      </w:r>
      <w:r>
        <w:rPr>
          <w:vertAlign w:val="superscript"/>
        </w:rPr>
        <w:t xml:space="preserve">93</w:t>
      </w:r>
      <w:r>
        <w:t xml:space="preserve">. The generated BOLD reference was then co-registered (6 degrees of freedom) to the T1w reference with</w:t>
      </w:r>
      <w:r>
        <w:t xml:space="preserve"> </w:t>
      </w:r>
      <w:r>
        <w:rPr>
          <w:rStyle w:val="VerbatimChar"/>
        </w:rPr>
        <w:t xml:space="preserve">bbregister</w:t>
      </w:r>
      <w:r>
        <w:t xml:space="preserve"> </w:t>
      </w:r>
      <w:r>
        <w:t xml:space="preserve">(</w:t>
      </w:r>
      <w:r>
        <w:rPr>
          <w:rStyle w:val="VerbatimChar"/>
        </w:rPr>
        <w:t xml:space="preserve">FreeSurfer</w:t>
      </w:r>
      <w:r>
        <w:rPr>
          <w:vertAlign w:val="superscript"/>
        </w:rPr>
        <w:t xml:space="preserve">88</w:t>
      </w:r>
      <w:r>
        <w:t xml:space="preserve">) using boundary-based registration. First, a reference volume and its skull-stripped equivalent were generated with</w:t>
      </w:r>
      <w:r>
        <w:t xml:space="preserve"> </w:t>
      </w:r>
      <w:r>
        <w:rPr>
          <w:rStyle w:val="VerbatimChar"/>
        </w:rPr>
        <w:t xml:space="preserve">fMRIPrep</w:t>
      </w:r>
      <w:r>
        <w:t xml:space="preserve">. Confounding time series were calculated from preprocessed BOLD: framewise displacement (FD), DVARS, and three region-wise global signals.</w:t>
      </w:r>
      <w:r>
        <w:t xml:space="preserve"> </w:t>
      </w:r>
      <w:r>
        <w:rPr>
          <w:rStyle w:val="VerbatimChar"/>
        </w:rPr>
        <w:t xml:space="preserve">Tedana</w:t>
      </w:r>
      <w:r>
        <w:rPr>
          <w:vertAlign w:val="superscript"/>
        </w:rPr>
        <w:t xml:space="preserve">94</w:t>
      </w:r>
      <w:r>
        <w:t xml:space="preserve"> </w:t>
      </w:r>
      <w:r>
        <w:t xml:space="preserve">was then used to denoise the data by decomposing the multi-echo BOLD data via principal component analysis (PCA) and independent component analysis (ICA). The resulting components are automatically analyzed to determine whether they are TE-dependent or -independent. TE-dependent components were classified as BOLD, while TE-independent components were classified as non-BOLD and were discarded as part of data cleaning.</w:t>
      </w:r>
    </w:p>
    <w:p>
      <w:pPr>
        <w:pStyle w:val="TextBody"/>
      </w:pPr>
      <w:r>
        <w:t xml:space="preserve">Participants were excluded from further analysis if their mean FD was &gt; 0.15 mm.</w:t>
      </w:r>
    </w:p>
    <w:bookmarkEnd w:id="35"/>
    <w:bookmarkEnd w:id="36"/>
    <w:bookmarkStart w:id="38" w:name="mrs"/>
    <w:p>
      <w:pPr>
        <w:pStyle w:val="Heading2"/>
      </w:pPr>
      <w:r>
        <w:t xml:space="preserve">2.6 MRS</w:t>
      </w:r>
    </w:p>
    <w:p>
      <w:pPr>
        <w:pStyle w:val="FirstParagraph"/>
      </w:pPr>
      <w:r>
        <w:t xml:space="preserve">sLASER data were processed using</w:t>
      </w:r>
      <w:r>
        <w:t xml:space="preserve"> </w:t>
      </w:r>
      <w:r>
        <w:rPr>
          <w:rStyle w:val="VerbatimChar"/>
        </w:rPr>
        <w:t xml:space="preserve">Osprey</w:t>
      </w:r>
      <w:r>
        <w:rPr>
          <w:vertAlign w:val="superscript"/>
        </w:rPr>
        <w:t xml:space="preserve">95</w:t>
      </w:r>
      <w:r>
        <w:t xml:space="preserve"> </w:t>
      </w:r>
      <w:r>
        <w:t xml:space="preserve">(v2.9.5) and fit via the embedded</w:t>
      </w:r>
      <w:r>
        <w:t xml:space="preserve"> </w:t>
      </w:r>
      <w:r>
        <w:rPr>
          <w:rStyle w:val="VerbatimChar"/>
        </w:rPr>
        <w:t xml:space="preserve">LCModel</w:t>
      </w:r>
      <w:r>
        <w:t xml:space="preserve"> </w:t>
      </w:r>
      <w:r>
        <w:t xml:space="preserve">(v6.3-1N) wrapper</w:t>
      </w:r>
      <w:r>
        <w:rPr>
          <w:vertAlign w:val="superscript"/>
        </w:rPr>
        <w:t xml:space="preserve">96</w:t>
      </w:r>
      <w:r>
        <w:t xml:space="preserve">.</w:t>
      </w:r>
      <w:r>
        <w:t xml:space="preserve"> </w:t>
      </w:r>
      <w:r>
        <w:t xml:space="preserve">Because of substantial overlap among Glu and Gln resonances</w:t>
      </w:r>
      <w:r>
        <w:rPr>
          <w:vertAlign w:val="superscript"/>
        </w:rPr>
        <w:t xml:space="preserve">97,98</w:t>
      </w:r>
      <w:r>
        <w:t xml:space="preserve">, in order to avoid errors in spectral assignment — especially since it is controversial whether Glu can reliably be separated from Gln at 3T</w:t>
      </w:r>
      <w:r>
        <w:rPr>
          <w:vertAlign w:val="superscript"/>
        </w:rPr>
        <w:t xml:space="preserve">99,100</w:t>
      </w:r>
      <w:r>
        <w:t xml:space="preserve"> </w:t>
      </w:r>
      <w:r>
        <w:t xml:space="preserve">— we report Glx (Glu+ Glu) as the primary outcome measure. Individual Glu estimates are provided in Supplementary Materials</w:t>
      </w:r>
      <w:r>
        <w:t xml:space="preserve"> </w:t>
      </w:r>
      <w:hyperlink w:anchor="supptbl-metabolites">
        <w:r>
          <w:rPr>
            <w:rStyle w:val="InternetLink"/>
          </w:rPr>
          <w:t xml:space="preserve">Table S5</w:t>
        </w:r>
      </w:hyperlink>
      <w:r>
        <w:t xml:space="preserve">, alongside all other quantified metabolites.</w:t>
      </w:r>
      <w:r>
        <w:t xml:space="preserve"> </w:t>
      </w:r>
      <w:r>
        <w:t xml:space="preserve">Several Osprey functions were modified to accommodate scanner-specific features of the GE implementation, where individual transients had been averaged by the scanner into four sub-spectra prior to export. These changes primarily affected</w:t>
      </w:r>
      <w:r>
        <w:t xml:space="preserve"> </w:t>
      </w:r>
      <w:r>
        <w:rPr>
          <w:rStyle w:val="VerbatimChar"/>
        </w:rPr>
        <w:t xml:space="preserve">GEload.m</w:t>
      </w:r>
      <w:r>
        <w:t xml:space="preserve"> </w:t>
      </w:r>
      <w:r>
        <w:t xml:space="preserve">to correct water-scaling inconsistencies. RF coil combination was performed using generalized least squares (GLS) weighting, following An et al. (2013)</w:t>
      </w:r>
      <w:r>
        <w:rPr>
          <w:vertAlign w:val="superscript"/>
        </w:rPr>
        <w:t xml:space="preserve">101,102</w:t>
      </w:r>
      <w:r>
        <w:t xml:space="preserve">.</w:t>
      </w:r>
    </w:p>
    <w:p>
      <w:pPr>
        <w:pStyle w:val="TextBody"/>
      </w:pPr>
      <w:r>
        <w:t xml:space="preserve">MEGA-PRESS data were processed with</w:t>
      </w:r>
      <w:r>
        <w:t xml:space="preserve"> </w:t>
      </w:r>
      <w:r>
        <w:rPr>
          <w:rStyle w:val="VerbatimChar"/>
        </w:rPr>
        <w:t xml:space="preserve">Osprey</w:t>
      </w:r>
      <w:r>
        <w:t xml:space="preserve">, and the difference of the ON and OFF sequences were fit the</w:t>
      </w:r>
      <w:r>
        <w:t xml:space="preserve"> </w:t>
      </w:r>
      <w:r>
        <w:rPr>
          <w:rStyle w:val="VerbatimChar"/>
        </w:rPr>
        <w:t xml:space="preserve">LCModel</w:t>
      </w:r>
      <w:r>
        <w:t xml:space="preserve"> </w:t>
      </w:r>
      <w:r>
        <w:t xml:space="preserve">algorithm.</w:t>
      </w:r>
      <w:r>
        <w:t xml:space="preserve"> </w:t>
      </w:r>
      <w:r>
        <w:t xml:space="preserve">Due to the J-editing sequence of MEGA-PRESS, a challenge of GABA quantification is macromolecule quantification</w:t>
      </w:r>
      <w:r>
        <w:rPr>
          <w:vertAlign w:val="superscript"/>
        </w:rPr>
        <w:t xml:space="preserve">103</w:t>
      </w:r>
      <w:r>
        <w:t xml:space="preserve">. As a result, we report GABA+, a measure which co-reports GABA with macromolecules. Macromolecules (MM) are expected to account for approximately 45% of the GABA+ signal</w:t>
      </w:r>
      <w:r>
        <w:rPr>
          <w:vertAlign w:val="superscript"/>
        </w:rPr>
        <w:t xml:space="preserve">103</w:t>
      </w:r>
      <w:r>
        <w:t xml:space="preserve">. While a macromolecule-suppressed estimate of GABA seems ideal, a recent 25-site and multi-vendor study conducted at 3T found that GABA+ showed much lower coefficient of variation than MM-suppressed GABA, meaning that GABA+ is more consistent across research sites and MRI vendors (i.e., Philips, GE, Siemens)</w:t>
      </w:r>
      <w:r>
        <w:rPr>
          <w:vertAlign w:val="superscript"/>
        </w:rPr>
        <w:t xml:space="preserve">104</w:t>
      </w:r>
      <w:r>
        <w:t xml:space="preserve">. Moreover, GABA+ shows greater reliability for both creatine-referenced and water-suppressed estimates</w:t>
      </w:r>
      <w:r>
        <w:rPr>
          <w:vertAlign w:val="superscript"/>
        </w:rPr>
        <w:t xml:space="preserve">104,105</w:t>
      </w:r>
      <w:r>
        <w:t xml:space="preserve">. MM-suppressed GABA and GABA+ estimates are also correlated, albeit weakly- to moderately-so</w:t>
      </w:r>
      <w:r>
        <w:rPr>
          <w:vertAlign w:val="superscript"/>
        </w:rPr>
        <w:t xml:space="preserve">103–105</w:t>
      </w:r>
      <w:r>
        <w:t xml:space="preserve">. Consequently, we report GABA+ to allow for easier comparison of our results to other studies as well as reproducibility. All metabolite values, including GABA, are reported in the Supplementary Materials</w:t>
      </w:r>
      <w:r>
        <w:t xml:space="preserve"> </w:t>
      </w:r>
      <w:hyperlink w:anchor="supptbl-megapressmetabs">
        <w:r>
          <w:rPr>
            <w:rStyle w:val="InternetLink"/>
          </w:rPr>
          <w:t xml:space="preserve">Table S6</w:t>
        </w:r>
      </w:hyperlink>
      <w:r>
        <w:t xml:space="preserve">.</w:t>
      </w:r>
    </w:p>
    <w:p>
      <w:pPr>
        <w:pStyle w:val="TextBody"/>
      </w:pPr>
      <w:r>
        <w:t xml:space="preserve">MRS voxels were co-registered to the T1w reference image and segmented by</w:t>
      </w:r>
      <w:r>
        <w:t xml:space="preserve"> </w:t>
      </w:r>
      <w:r>
        <w:rPr>
          <w:rStyle w:val="VerbatimChar"/>
        </w:rPr>
        <w:t xml:space="preserve">SPM12</w:t>
      </w:r>
      <w:r>
        <w:rPr>
          <w:vertAlign w:val="superscript"/>
        </w:rPr>
        <w:t xml:space="preserve">106</w:t>
      </w:r>
      <w:r>
        <w:t xml:space="preserve"> </w:t>
      </w:r>
      <w:r>
        <w:t xml:space="preserve">into CSF, GM, and WM.</w:t>
      </w:r>
      <w:r>
        <w:t xml:space="preserve"> </w:t>
      </w:r>
      <w:r>
        <w:t xml:space="preserve">sLASER and MEGA-PRESS data were were water-scaled as well as tissue- and relaxation-corrected by the Gasparovic et al. (2006) method</w:t>
      </w:r>
      <w:r>
        <w:rPr>
          <w:vertAlign w:val="superscript"/>
        </w:rPr>
        <w:t xml:space="preserve">107</w:t>
      </w:r>
      <w:r>
        <w:t xml:space="preserve">. Concentrations are reported in millimoles.</w:t>
      </w:r>
      <w:r>
        <w:t xml:space="preserve"> </w:t>
      </w:r>
      <w:r>
        <w:t xml:space="preserve">Full width half-maximum (FWHM) of the single-Lorentzian fit of the water peak, signal-to-noise (SNR) ratio of the creatine signal, frequency shift, and Cramer-Rao lower bounds (CRLB) were calculated for quality assurance purposes.</w:t>
      </w:r>
      <w:r>
        <w:t xml:space="preserve"> </w:t>
      </w:r>
      <w:r>
        <w:rPr>
          <w:rStyle w:val="VerbatimChar"/>
        </w:rPr>
        <w:t xml:space="preserve">Osprey</w:t>
      </w:r>
      <w:r>
        <w:t xml:space="preserve"> </w:t>
      </w:r>
      <w:r>
        <w:t xml:space="preserve">basis sets were used for linear combination. Metabolites included for both basis sets were: Asc, Asp, Cr, CrCH2, EA, GABA, GPC, GSH, Gln, Glu, Gly, H2O, Lac, NAA, NAAG, PCh, PCr, PE, Ser, Tau, mI, and sI. Excitatory-inhibitory ratio (E:I) was calculated as [Glx from sLASER]/[GABA+ from MEGA-PRESS], a common practice to report E:I using MRS</w:t>
      </w:r>
      <w:r>
        <w:rPr>
          <w:vertAlign w:val="superscript"/>
        </w:rPr>
        <w:t xml:space="preserve">108</w:t>
      </w:r>
      <w:r>
        <w:t xml:space="preserve">.</w:t>
      </w:r>
      <w:r>
        <w:t xml:space="preserve"> </w:t>
      </w:r>
    </w:p>
    <w:p>
      <w:pPr>
        <w:pStyle w:val="TextBody"/>
      </w:pPr>
      <w:r>
        <w:t xml:space="preserve">Participants were excluded from further analysis if any of their MRS scans had a water peak FWHM &gt; 10</w:t>
      </w:r>
      <w:r>
        <w:rPr>
          <w:vertAlign w:val="superscript"/>
        </w:rPr>
        <w:t xml:space="preserve">109</w:t>
      </w:r>
      <w:r>
        <w:t xml:space="preserve">.</w:t>
      </w:r>
    </w:p>
    <w:p>
      <w:pPr>
        <w:pStyle w:val="TextBody"/>
      </w:pPr>
      <w:r>
        <w:t xml:space="preserve">To quantify the inter-subject consistency across the MRS masks, we computed a consensus mask using majority voting and calculated the mean Dice coefficient between each individual mask and the consensus.</w:t>
      </w:r>
    </w:p>
    <w:bookmarkStart w:id="37" w:name="re-analysis-using-gannet"/>
    <w:p>
      <w:pPr>
        <w:pStyle w:val="Heading3"/>
      </w:pPr>
      <w:r>
        <w:t xml:space="preserve">2.6.1 Re-analysis using Gannet</w:t>
      </w:r>
    </w:p>
    <w:p>
      <w:pPr>
        <w:pStyle w:val="FirstParagraph"/>
      </w:pPr>
      <w:r>
        <w:t xml:space="preserve">Glutamate and GABA were acquired using different MRS sequences and in separate blocks during the same scan session. While acquisitions were closely timed and performed under similar conditions, we cannot fully exclude the possibility of session-related variability affecting E:I ratio estimates. Therefore, we re-ran our analysis using the Glx and GABA+ values from the MEGA-PRESS sequence alone using</w:t>
      </w:r>
      <w:r>
        <w:t xml:space="preserve"> </w:t>
      </w:r>
      <w:r>
        <w:rPr>
          <w:rStyle w:val="VerbatimChar"/>
        </w:rPr>
        <w:t xml:space="preserve">Gannet</w:t>
      </w:r>
      <w:r>
        <w:rPr>
          <w:vertAlign w:val="superscript"/>
        </w:rPr>
        <w:t xml:space="preserve">110</w:t>
      </w:r>
      <w:r>
        <w:t xml:space="preserve"> </w:t>
      </w:r>
      <w:r>
        <w:t xml:space="preserve">(v3.3.0).</w:t>
      </w:r>
    </w:p>
    <w:bookmarkEnd w:id="37"/>
    <w:bookmarkEnd w:id="38"/>
    <w:bookmarkStart w:id="39" w:name="hurst-exponent-calculation"/>
    <w:p>
      <w:pPr>
        <w:pStyle w:val="Heading2"/>
      </w:pPr>
      <w:r>
        <w:t xml:space="preserve">2.7 Hurst Exponent Calculation</w:t>
      </w:r>
    </w:p>
    <w:p>
      <w:pPr>
        <w:pStyle w:val="FirstParagraph"/>
      </w:pPr>
      <w:r>
        <w:t xml:space="preserve">Hurst exponent was calculated from the power spectrum density (PSD) of the BOLD signal. A log-log plot was used, where log power was plotted against log frequency; generally, if a log-log plot results in a linear relationship, it is assumed that the mean slope of this line represents the power-law exponent</w:t>
      </w:r>
      <w:r>
        <w:rPr>
          <w:vertAlign w:val="superscript"/>
        </w:rPr>
        <w:t xml:space="preserve">5</w:t>
      </w:r>
      <w:r>
        <w:t xml:space="preserve">. A PSD shows the distribution of signal variance (</w:t>
      </w:r>
      <w:r>
        <w:t xml:space="preserve">‘</w:t>
      </w:r>
      <w:r>
        <w:t xml:space="preserve">power</w:t>
      </w:r>
      <w:r>
        <w:t xml:space="preserve">’</w:t>
      </w:r>
      <w:r>
        <w:t xml:space="preserve">) across frequencies. Complex signals are classified into two categories: fractional Gaussian noise (fGn) and fractional Brownian motion (fBm)</w:t>
      </w:r>
      <w:r>
        <w:rPr>
          <w:vertAlign w:val="superscript"/>
        </w:rPr>
        <w:t xml:space="preserve">29,111</w:t>
      </w:r>
      <w:r>
        <w:t xml:space="preserve">. The former is a stationary signal (i.e., does not vary over time), while the latter is non-stationary with stationary increments</w:t>
      </w:r>
      <w:r>
        <w:rPr>
          <w:vertAlign w:val="superscript"/>
        </w:rPr>
        <w:t xml:space="preserve">29</w:t>
      </w:r>
      <w:r>
        <w:t xml:space="preserve">. Most physiological signals consist of fBm, but fMRI BOLD is typically conceptualized as fGn once motion-corrected; otherwise put, unprocessed BOLD signal is initially fBm which is converted to fGn with appropriate processing</w:t>
      </w:r>
      <w:r>
        <w:rPr>
          <w:vertAlign w:val="superscript"/>
        </w:rPr>
        <w:t xml:space="preserve">112</w:t>
      </w:r>
      <w:r>
        <w:t xml:space="preserve">. fBm and fGn require distinct H calculation methods</w:t>
      </w:r>
      <w:r>
        <w:rPr>
          <w:vertAlign w:val="superscript"/>
        </w:rPr>
        <w:t xml:space="preserve">29</w:t>
      </w:r>
      <w:r>
        <w:t xml:space="preserve">. PSD was estimated using Welch’s method</w:t>
      </w:r>
      <w:r>
        <w:rPr>
          <w:vertAlign w:val="superscript"/>
        </w:rPr>
        <w:t xml:space="preserve">113</w:t>
      </w:r>
      <w:r>
        <w:t xml:space="preserve"> </w:t>
      </w:r>
      <w:r>
        <w:t xml:space="preserve">from the Python</w:t>
      </w:r>
      <w:r>
        <w:t xml:space="preserve"> </w:t>
      </w:r>
      <w:r>
        <w:rPr>
          <w:rStyle w:val="VerbatimChar"/>
        </w:rPr>
        <w:t xml:space="preserve">Scipy.Signal</w:t>
      </w:r>
      <w:r>
        <w:t xml:space="preserve"> </w:t>
      </w:r>
      <w:r>
        <w:t xml:space="preserve">library</w:t>
      </w:r>
      <w:r>
        <w:rPr>
          <w:vertAlign w:val="superscript"/>
        </w:rPr>
        <w:t xml:space="preserve">114</w:t>
      </w:r>
      <w:r>
        <w:t xml:space="preserve">. Data were divided into 8 windows of 50% overlap and averaged within each window, as is standard</w:t>
      </w:r>
      <w:r>
        <w:rPr>
          <w:vertAlign w:val="superscript"/>
        </w:rPr>
        <w:t xml:space="preserve">115</w:t>
      </w:r>
      <w:r>
        <w:t xml:space="preserve">. Welch’s method was selected based on prior comparisons with other Hurst exponent algorithms, which found it to perform best across all evaluation criteria</w:t>
      </w:r>
      <w:r>
        <w:rPr>
          <w:vertAlign w:val="superscript"/>
        </w:rPr>
        <w:t xml:space="preserve">115</w:t>
      </w:r>
      <w:r>
        <w:t xml:space="preserve">. The spectral index,</w:t>
      </w:r>
      <w:r>
        <w:t xml:space="preserve"> </w:t>
      </w:r>
      <m:oMath>
        <m:r>
          <m:t>β</m:t>
        </m:r>
      </m:oMath>
      <w:r>
        <w:t xml:space="preserve">, was calculated from the full frequency spectrum. The spectral index was then converted to H using the following equation</w:t>
      </w:r>
      <w:r>
        <w:rPr>
          <w:vertAlign w:val="superscript"/>
        </w:rPr>
        <w:t xml:space="preserve">29,116</w:t>
      </w:r>
      <w:r>
        <w:t xml:space="preserve">:</w:t>
      </w:r>
    </w:p>
    <w:p>
      <w:pPr>
        <w:pStyle w:val="TextBody"/>
      </w:pPr>
      <m:oMathPara>
        <m:oMathParaPr>
          <m:jc m:val="center"/>
        </m:oMathParaPr>
        <m:oMath>
          <m:r>
            <m:t>H</m:t>
          </m:r>
          <m:r>
            <m:rPr>
              <m:sty m:val="p"/>
            </m:rPr>
            <m:t>=</m:t>
          </m:r>
          <m:f>
            <m:fPr>
              <m:type m:val="bar"/>
            </m:fPr>
            <m:num>
              <m:r>
                <m:t>1</m:t>
              </m:r>
              <m:r>
                <m:rPr>
                  <m:sty m:val="p"/>
                </m:rPr>
                <m:t>+</m:t>
              </m:r>
              <m:r>
                <m:t>β</m:t>
              </m:r>
            </m:num>
            <m:den>
              <m:r>
                <m:t>2</m:t>
              </m:r>
            </m:den>
          </m:f>
        </m:oMath>
      </m:oMathPara>
    </w:p>
    <w:p>
      <w:pPr>
        <w:pStyle w:val="FirstParagraph"/>
      </w:pPr>
      <w:r>
        <w:t xml:space="preserve">Since it cannot be assumed that all fBm is removed from the signal, we employed the</w:t>
      </w:r>
      <w:r>
        <w:t xml:space="preserve"> </w:t>
      </w:r>
      <w:r>
        <w:t xml:space="preserve">‘</w:t>
      </w:r>
      <w:r>
        <w:t xml:space="preserve">extended Hurst</w:t>
      </w:r>
      <w:r>
        <w:t xml:space="preserve">’</w:t>
      </w:r>
      <w:r>
        <w:t xml:space="preserve"> </w:t>
      </w:r>
      <w:r>
        <w:t xml:space="preserve">(H’) concept in this study: for 0 &lt; H &lt; 1, the signal is understood as fGn, while for 1 &lt; H &lt; 2, the signal is understood to be fBm</w:t>
      </w:r>
      <w:r>
        <w:rPr>
          <w:vertAlign w:val="superscript"/>
        </w:rPr>
        <w:t xml:space="preserve">35,117,118</w:t>
      </w:r>
      <w:r>
        <w:t xml:space="preserve">. More generally, it is assumed that when 0.5 &lt; H &lt; 1.5, the signal displays 1/f behaviour</w:t>
      </w:r>
      <w:r>
        <w:rPr>
          <w:vertAlign w:val="superscript"/>
        </w:rPr>
        <w:t xml:space="preserve">5</w:t>
      </w:r>
      <w:r>
        <w:t xml:space="preserve">. H was calculated for all voxels in the brain of each subject. A brain mask was then applied which included only GM and the region of the MRS voxel in the visual cortex. H was averaged across the brain mask area, using only non-zero voxels.</w:t>
      </w:r>
    </w:p>
    <w:bookmarkEnd w:id="39"/>
    <w:bookmarkStart w:id="40" w:name="statistics"/>
    <w:p>
      <w:pPr>
        <w:pStyle w:val="Heading2"/>
      </w:pPr>
      <w:r>
        <w:t xml:space="preserve">2.8 Statistics</w:t>
      </w:r>
    </w:p>
    <w:p>
      <w:pPr>
        <w:pStyle w:val="FirstParagraph"/>
      </w:pPr>
      <w:r>
        <w:t xml:space="preserve">All statistical analyses were performed using</w:t>
      </w:r>
      <w:r>
        <w:t xml:space="preserve"> </w:t>
      </w:r>
      <w:r>
        <w:rPr>
          <w:rStyle w:val="VerbatimChar"/>
        </w:rPr>
        <w:t xml:space="preserve">R</w:t>
      </w:r>
      <w:r>
        <w:rPr>
          <w:vertAlign w:val="superscript"/>
        </w:rPr>
        <w:t xml:space="preserve">119</w:t>
      </w:r>
      <w:r>
        <w:t xml:space="preserve"> </w:t>
      </w:r>
      <w:r>
        <w:t xml:space="preserve">(v4.5.1) and</w:t>
      </w:r>
      <w:r>
        <w:t xml:space="preserve"> </w:t>
      </w:r>
      <w:r>
        <w:rPr>
          <w:rStyle w:val="VerbatimChar"/>
        </w:rPr>
        <w:t xml:space="preserve">RStudio</w:t>
      </w:r>
      <w:r>
        <w:t xml:space="preserve">.</w:t>
      </w:r>
    </w:p>
    <w:p>
      <w:pPr>
        <w:pStyle w:val="TextBody"/>
      </w:pPr>
      <w:r>
        <w:t xml:space="preserve">A linear mixed-effect model was used to test for the correlation of H and E:I, with H as the dependent variable, Glx/GABA+ as the primary predictor of interest, and Condition (rest vs. movie) as a fixed effect. Mean FD, FWHM(sLASER), FWHM(MEGA-PRESS), Frequency Shift (sLASER), Frequency Shift (MEGA-PRESS) were included as covariates, and subjects were modeled as random effects:</w:t>
      </w:r>
    </w:p>
    <w:p>
      <w:pPr>
        <w:pStyle w:val="TextBody"/>
      </w:pPr>
      <m:oMathPara>
        <m:oMathParaPr>
          <m:jc m:val="center"/>
        </m:oMathParaPr>
        <m:oMath>
          <m:m>
            <m:mPr>
              <m:baseJc m:val="center"/>
              <m:plcHide m:val="on"/>
              <m:mcs>
                <m:mc>
                  <m:mcPr>
                    <m:mcJc m:val="right"/>
                    <m:count m:val="1"/>
                  </m:mcPr>
                </m:mc>
                <m:mc>
                  <m:mcPr>
                    <m:mcJc m:val="left"/>
                    <m:count m:val="1"/>
                  </m:mcPr>
                </m:mc>
              </m:mcs>
            </m:mPr>
            <m:mr>
              <m:e>
                <m:r>
                  <m:rPr>
                    <m:sty m:val="p"/>
                  </m:rPr>
                  <m:t>H</m:t>
                </m:r>
                <m:r>
                  <m:rPr>
                    <m:sty m:val="p"/>
                  </m:rPr>
                  <m:t>∼</m:t>
                </m:r>
                <m:r>
                  <m:t> </m:t>
                </m:r>
              </m:e>
              <m:e>
                <m:f>
                  <m:fPr>
                    <m:type m:val="bar"/>
                  </m:fPr>
                  <m:num>
                    <m:r>
                      <m:rPr>
                        <m:sty m:val="p"/>
                      </m:rPr>
                      <m:t>G</m:t>
                    </m:r>
                    <m:r>
                      <m:rPr>
                        <m:sty m:val="p"/>
                      </m:rPr>
                      <m:t>l</m:t>
                    </m:r>
                    <m:r>
                      <m:rPr>
                        <m:sty m:val="p"/>
                      </m:rPr>
                      <m:t>x</m:t>
                    </m:r>
                  </m:num>
                  <m:den>
                    <m:r>
                      <m:rPr>
                        <m:sty m:val="p"/>
                      </m:rPr>
                      <m:t>G</m:t>
                    </m:r>
                    <m:r>
                      <m:rPr>
                        <m:sty m:val="p"/>
                      </m:rPr>
                      <m:t>A</m:t>
                    </m:r>
                    <m:r>
                      <m:rPr>
                        <m:sty m:val="p"/>
                      </m:rPr>
                      <m:t>B</m:t>
                    </m:r>
                    <m:r>
                      <m:rPr>
                        <m:sty m:val="p"/>
                      </m:rPr>
                      <m:t>A</m:t>
                    </m:r>
                    <m:r>
                      <m:rPr>
                        <m:nor/>
                        <m:sty m:val="p"/>
                      </m:rPr>
                      <m:t>+</m:t>
                    </m:r>
                  </m:den>
                </m:f>
                <m:r>
                  <m:rPr>
                    <m:sty m:val="p"/>
                  </m:rPr>
                  <m:t>+</m:t>
                </m:r>
                <m:r>
                  <m:rPr>
                    <m:sty m:val="p"/>
                  </m:rPr>
                  <m:t>C</m:t>
                </m:r>
                <m:r>
                  <m:rPr>
                    <m:sty m:val="p"/>
                  </m:rPr>
                  <m:t>o</m:t>
                </m:r>
                <m:r>
                  <m:rPr>
                    <m:sty m:val="p"/>
                  </m:rPr>
                  <m:t>n</m:t>
                </m:r>
                <m:r>
                  <m:rPr>
                    <m:sty m:val="p"/>
                  </m:rPr>
                  <m:t>d</m:t>
                </m:r>
                <m:r>
                  <m:rPr>
                    <m:sty m:val="p"/>
                  </m:rPr>
                  <m:t>i</m:t>
                </m:r>
                <m:r>
                  <m:rPr>
                    <m:sty m:val="p"/>
                  </m:rPr>
                  <m:t>t</m:t>
                </m:r>
                <m:r>
                  <m:rPr>
                    <m:sty m:val="p"/>
                  </m:rPr>
                  <m:t>i</m:t>
                </m:r>
                <m:r>
                  <m:rPr>
                    <m:sty m:val="p"/>
                  </m:rPr>
                  <m:t>o</m:t>
                </m:r>
                <m:r>
                  <m:rPr>
                    <m:sty m:val="p"/>
                  </m:rPr>
                  <m:t>n</m:t>
                </m:r>
                <m:r>
                  <m:rPr>
                    <m:sty m:val="p"/>
                  </m:rPr>
                  <m:t>+</m:t>
                </m:r>
                <m:r>
                  <m:rPr>
                    <m:sty m:val="p"/>
                  </m:rPr>
                  <m:t>m</m:t>
                </m:r>
                <m:r>
                  <m:rPr>
                    <m:sty m:val="p"/>
                  </m:rPr>
                  <m:t>e</m:t>
                </m:r>
                <m:r>
                  <m:rPr>
                    <m:sty m:val="p"/>
                  </m:rPr>
                  <m:t>a</m:t>
                </m:r>
                <m:r>
                  <m:rPr>
                    <m:sty m:val="p"/>
                  </m:rPr>
                  <m:t>n</m:t>
                </m:r>
                <m:r>
                  <m:rPr>
                    <m:sty m:val="p"/>
                  </m:rPr>
                  <m:t>F</m:t>
                </m:r>
                <m:r>
                  <m:rPr>
                    <m:sty m:val="p"/>
                  </m:rPr>
                  <m:t>D</m:t>
                </m:r>
              </m:e>
            </m:mr>
            <m:mr>
              <m:e/>
              <m:e>
                <m:r>
                  <m:rPr>
                    <m:sty m:val="p"/>
                  </m:rPr>
                  <m:t>+</m:t>
                </m:r>
                <m:r>
                  <m:rPr>
                    <m:sty m:val="p"/>
                  </m:rPr>
                  <m:t>F</m:t>
                </m:r>
                <m:r>
                  <m:rPr>
                    <m:sty m:val="p"/>
                  </m:rPr>
                  <m:t>W</m:t>
                </m:r>
                <m:r>
                  <m:rPr>
                    <m:sty m:val="p"/>
                  </m:rPr>
                  <m:t>H</m:t>
                </m:r>
                <m:sSub>
                  <m:e>
                    <m:r>
                      <m:rPr>
                        <m:sty m:val="p"/>
                      </m:rPr>
                      <m:t>M</m:t>
                    </m:r>
                  </m:e>
                  <m:sub>
                    <m:r>
                      <m:rPr>
                        <m:sty m:val="p"/>
                      </m:rPr>
                      <m:t>s</m:t>
                    </m:r>
                    <m:r>
                      <m:rPr>
                        <m:sty m:val="p"/>
                      </m:rPr>
                      <m:t>L</m:t>
                    </m:r>
                    <m:r>
                      <m:rPr>
                        <m:sty m:val="p"/>
                      </m:rPr>
                      <m:t>A</m:t>
                    </m:r>
                    <m:r>
                      <m:rPr>
                        <m:sty m:val="p"/>
                      </m:rPr>
                      <m:t>S</m:t>
                    </m:r>
                    <m:r>
                      <m:rPr>
                        <m:sty m:val="p"/>
                      </m:rPr>
                      <m:t>E</m:t>
                    </m:r>
                    <m:r>
                      <m:rPr>
                        <m:sty m:val="p"/>
                      </m:rPr>
                      <m:t>R</m:t>
                    </m:r>
                  </m:sub>
                </m:sSub>
                <m:r>
                  <m:rPr>
                    <m:sty m:val="p"/>
                  </m:rPr>
                  <m:t>+</m:t>
                </m:r>
                <m:r>
                  <m:rPr>
                    <m:sty m:val="p"/>
                  </m:rPr>
                  <m:t>F</m:t>
                </m:r>
                <m:r>
                  <m:rPr>
                    <m:sty m:val="p"/>
                  </m:rPr>
                  <m:t>W</m:t>
                </m:r>
                <m:r>
                  <m:rPr>
                    <m:sty m:val="p"/>
                  </m:rPr>
                  <m:t>H</m:t>
                </m:r>
                <m:sSub>
                  <m:e>
                    <m:r>
                      <m:rPr>
                        <m:sty m:val="p"/>
                      </m:rPr>
                      <m:t>M</m:t>
                    </m:r>
                  </m:e>
                  <m:sub>
                    <m:r>
                      <m:rPr>
                        <m:sty m:val="p"/>
                      </m:rPr>
                      <m:t>M</m:t>
                    </m:r>
                    <m:r>
                      <m:rPr>
                        <m:sty m:val="p"/>
                      </m:rPr>
                      <m:t>E</m:t>
                    </m:r>
                    <m:r>
                      <m:rPr>
                        <m:sty m:val="p"/>
                      </m:rPr>
                      <m:t>G</m:t>
                    </m:r>
                    <m:r>
                      <m:rPr>
                        <m:sty m:val="p"/>
                      </m:rPr>
                      <m:t>A</m:t>
                    </m:r>
                    <m:r>
                      <m:rPr>
                        <m:nor/>
                        <m:sty m:val="p"/>
                      </m:rPr>
                      <m:t>-</m:t>
                    </m:r>
                    <m:r>
                      <m:rPr>
                        <m:sty m:val="p"/>
                      </m:rPr>
                      <m:t>P</m:t>
                    </m:r>
                    <m:r>
                      <m:rPr>
                        <m:sty m:val="p"/>
                      </m:rPr>
                      <m:t>R</m:t>
                    </m:r>
                    <m:r>
                      <m:rPr>
                        <m:sty m:val="p"/>
                      </m:rPr>
                      <m:t>E</m:t>
                    </m:r>
                    <m:r>
                      <m:rPr>
                        <m:sty m:val="p"/>
                      </m:rPr>
                      <m:t>S</m:t>
                    </m:r>
                    <m:r>
                      <m:rPr>
                        <m:sty m:val="p"/>
                      </m:rPr>
                      <m:t>S</m:t>
                    </m:r>
                  </m:sub>
                </m:sSub>
              </m:e>
            </m:mr>
            <m:mr>
              <m:e/>
              <m:e>
                <m:r>
                  <m:rPr>
                    <m:sty m:val="p"/>
                  </m:rPr>
                  <m:t>+</m:t>
                </m:r>
                <m:r>
                  <m:rPr>
                    <m:sty m:val="p"/>
                  </m:rPr>
                  <m:t>F</m:t>
                </m:r>
                <m:r>
                  <m:rPr>
                    <m:sty m:val="p"/>
                  </m:rPr>
                  <m:t>r</m:t>
                </m:r>
                <m:r>
                  <m:rPr>
                    <m:sty m:val="p"/>
                  </m:rPr>
                  <m:t>e</m:t>
                </m:r>
                <m:r>
                  <m:rPr>
                    <m:sty m:val="p"/>
                  </m:rPr>
                  <m:t>q</m:t>
                </m:r>
                <m:r>
                  <m:rPr>
                    <m:sty m:val="p"/>
                  </m:rPr>
                  <m:t>S</m:t>
                </m:r>
                <m:r>
                  <m:rPr>
                    <m:sty m:val="p"/>
                  </m:rPr>
                  <m:t>h</m:t>
                </m:r>
                <m:r>
                  <m:rPr>
                    <m:sty m:val="p"/>
                  </m:rPr>
                  <m:t>i</m:t>
                </m:r>
                <m:r>
                  <m:rPr>
                    <m:sty m:val="p"/>
                  </m:rPr>
                  <m:t>f</m:t>
                </m:r>
                <m:sSub>
                  <m:e>
                    <m:r>
                      <m:rPr>
                        <m:sty m:val="p"/>
                      </m:rPr>
                      <m:t>t</m:t>
                    </m:r>
                  </m:e>
                  <m:sub>
                    <m:r>
                      <m:rPr>
                        <m:sty m:val="p"/>
                      </m:rPr>
                      <m:t>s</m:t>
                    </m:r>
                    <m:r>
                      <m:rPr>
                        <m:sty m:val="p"/>
                      </m:rPr>
                      <m:t>L</m:t>
                    </m:r>
                    <m:r>
                      <m:rPr>
                        <m:sty m:val="p"/>
                      </m:rPr>
                      <m:t>A</m:t>
                    </m:r>
                    <m:r>
                      <m:rPr>
                        <m:sty m:val="p"/>
                      </m:rPr>
                      <m:t>S</m:t>
                    </m:r>
                    <m:r>
                      <m:rPr>
                        <m:sty m:val="p"/>
                      </m:rPr>
                      <m:t>E</m:t>
                    </m:r>
                    <m:r>
                      <m:rPr>
                        <m:sty m:val="p"/>
                      </m:rPr>
                      <m:t>R</m:t>
                    </m:r>
                  </m:sub>
                </m:sSub>
                <m:r>
                  <m:rPr>
                    <m:sty m:val="p"/>
                  </m:rPr>
                  <m:t>+</m:t>
                </m:r>
                <m:r>
                  <m:rPr>
                    <m:sty m:val="p"/>
                  </m:rPr>
                  <m:t>F</m:t>
                </m:r>
                <m:r>
                  <m:rPr>
                    <m:sty m:val="p"/>
                  </m:rPr>
                  <m:t>r</m:t>
                </m:r>
                <m:r>
                  <m:rPr>
                    <m:sty m:val="p"/>
                  </m:rPr>
                  <m:t>e</m:t>
                </m:r>
                <m:r>
                  <m:rPr>
                    <m:sty m:val="p"/>
                  </m:rPr>
                  <m:t>q</m:t>
                </m:r>
                <m:r>
                  <m:rPr>
                    <m:sty m:val="p"/>
                  </m:rPr>
                  <m:t>S</m:t>
                </m:r>
                <m:r>
                  <m:rPr>
                    <m:sty m:val="p"/>
                  </m:rPr>
                  <m:t>h</m:t>
                </m:r>
                <m:r>
                  <m:rPr>
                    <m:sty m:val="p"/>
                  </m:rPr>
                  <m:t>i</m:t>
                </m:r>
                <m:r>
                  <m:rPr>
                    <m:sty m:val="p"/>
                  </m:rPr>
                  <m:t>f</m:t>
                </m:r>
                <m:sSub>
                  <m:e>
                    <m:r>
                      <m:rPr>
                        <m:sty m:val="p"/>
                      </m:rPr>
                      <m:t>t</m:t>
                    </m:r>
                  </m:e>
                  <m:sub>
                    <m:r>
                      <m:rPr>
                        <m:sty m:val="p"/>
                      </m:rPr>
                      <m:t>M</m:t>
                    </m:r>
                    <m:r>
                      <m:rPr>
                        <m:sty m:val="p"/>
                      </m:rPr>
                      <m:t>E</m:t>
                    </m:r>
                    <m:r>
                      <m:rPr>
                        <m:sty m:val="p"/>
                      </m:rPr>
                      <m:t>G</m:t>
                    </m:r>
                    <m:r>
                      <m:rPr>
                        <m:sty m:val="p"/>
                      </m:rPr>
                      <m:t>A</m:t>
                    </m:r>
                    <m:r>
                      <m:rPr>
                        <m:nor/>
                        <m:sty m:val="p"/>
                      </m:rPr>
                      <m:t>-</m:t>
                    </m:r>
                    <m:r>
                      <m:rPr>
                        <m:sty m:val="p"/>
                      </m:rPr>
                      <m:t>P</m:t>
                    </m:r>
                    <m:r>
                      <m:rPr>
                        <m:sty m:val="p"/>
                      </m:rPr>
                      <m:t>R</m:t>
                    </m:r>
                    <m:r>
                      <m:rPr>
                        <m:sty m:val="p"/>
                      </m:rPr>
                      <m:t>E</m:t>
                    </m:r>
                    <m:r>
                      <m:rPr>
                        <m:sty m:val="p"/>
                      </m:rPr>
                      <m:t>S</m:t>
                    </m:r>
                    <m:r>
                      <m:rPr>
                        <m:sty m:val="p"/>
                      </m:rPr>
                      <m:t>S</m:t>
                    </m:r>
                  </m:sub>
                </m:sSub>
              </m:e>
            </m:mr>
            <m:mr>
              <m:e/>
              <m:e>
                <m:r>
                  <m:rPr>
                    <m:sty m:val="p"/>
                  </m:rPr>
                  <m:t>+</m:t>
                </m:r>
                <m:d>
                  <m:dPr>
                    <m:begChr m:val="("/>
                    <m:endChr m:val=")"/>
                    <m:sepChr m:val=""/>
                    <m:grow/>
                  </m:dPr>
                  <m:e>
                    <m:r>
                      <m:t>1</m:t>
                    </m:r>
                    <m:r>
                      <m:rPr>
                        <m:sty m:val="p"/>
                      </m:rPr>
                      <m:t>|</m:t>
                    </m:r>
                    <m:r>
                      <m:rPr>
                        <m:sty m:val="p"/>
                      </m:rPr>
                      <m:t>S</m:t>
                    </m:r>
                    <m:r>
                      <m:rPr>
                        <m:sty m:val="p"/>
                      </m:rPr>
                      <m:t>u</m:t>
                    </m:r>
                    <m:r>
                      <m:rPr>
                        <m:sty m:val="p"/>
                      </m:rPr>
                      <m:t>b</m:t>
                    </m:r>
                    <m:r>
                      <m:rPr>
                        <m:sty m:val="p"/>
                      </m:rPr>
                      <m:t>j</m:t>
                    </m:r>
                    <m:r>
                      <m:rPr>
                        <m:sty m:val="p"/>
                      </m:rPr>
                      <m:t>e</m:t>
                    </m:r>
                    <m:r>
                      <m:rPr>
                        <m:sty m:val="p"/>
                      </m:rPr>
                      <m:t>c</m:t>
                    </m:r>
                    <m:r>
                      <m:rPr>
                        <m:sty m:val="p"/>
                      </m:rPr>
                      <m:t>t</m:t>
                    </m:r>
                  </m:e>
                </m:d>
              </m:e>
            </m:mr>
          </m:m>
        </m:oMath>
      </m:oMathPara>
    </w:p>
    <w:p>
      <w:pPr>
        <w:pStyle w:val="FirstParagraph"/>
      </w:pPr>
      <w:r>
        <w:t xml:space="preserve">A post-hoc calculation of the power of the model was calculated using</w:t>
      </w:r>
      <w:r>
        <w:t xml:space="preserve"> </w:t>
      </w:r>
      <w:r>
        <w:rPr>
          <w:rStyle w:val="VerbatimChar"/>
        </w:rPr>
        <w:t xml:space="preserve">powerSim</w:t>
      </w:r>
      <w:r>
        <w:t xml:space="preserve"> </w:t>
      </w:r>
      <w:r>
        <w:t xml:space="preserve">from the</w:t>
      </w:r>
      <w:r>
        <w:t xml:space="preserve"> </w:t>
      </w:r>
      <w:r>
        <w:rPr>
          <w:rStyle w:val="VerbatimChar"/>
        </w:rPr>
        <w:t xml:space="preserve">simr</w:t>
      </w:r>
      <w:r>
        <w:t xml:space="preserve"> </w:t>
      </w:r>
      <w:r>
        <w:t xml:space="preserve">package using 1,000 simulations.</w:t>
      </w:r>
    </w:p>
    <w:p>
      <w:pPr>
        <w:pStyle w:val="TextBody"/>
      </w:pPr>
      <w:r>
        <w:t xml:space="preserve">Exploratory post hoc analyses were then performed. Difference in the means of H, Glx, and GABA+ between rest and movie conditions were assessed using paired Student’s t-tests</w:t>
      </w:r>
      <w:r>
        <w:rPr>
          <w:vertAlign w:val="superscript"/>
        </w:rPr>
        <w:t xml:space="preserve">120</w:t>
      </w:r>
      <w:r>
        <w:t xml:space="preserve">. Correlations between H and Glx, GABA+ and E:I were calculated using Pearson’s method</w:t>
      </w:r>
      <w:r>
        <w:rPr>
          <w:vertAlign w:val="superscript"/>
        </w:rPr>
        <w:t xml:space="preserve">121</w:t>
      </w:r>
      <w:r>
        <w:t xml:space="preserve">.</w:t>
      </w:r>
    </w:p>
    <w:bookmarkEnd w:id="40"/>
    <w:bookmarkEnd w:id="41"/>
    <w:bookmarkStart w:id="77" w:name="results"/>
    <w:p>
      <w:pPr>
        <w:pStyle w:val="Heading1"/>
      </w:pPr>
      <w:r>
        <w:t xml:space="preserve">3. Results</w:t>
      </w:r>
    </w:p>
    <w:bookmarkStart w:id="46" w:name="participant-demographics"/>
    <w:p>
      <w:pPr>
        <w:pStyle w:val="Heading2"/>
      </w:pPr>
      <w:r>
        <w:t xml:space="preserve">3.1 Participant Demographics</w:t>
      </w:r>
    </w:p>
    <w:p>
      <w:pPr>
        <w:pStyle w:val="FirstParagraph"/>
      </w:pPr>
      <w:r>
        <w:t xml:space="preserve">Twenty-seven participants were originally recruited for the study. Twenty-six of these participants were successfully scanned, but one participant experienced claustrophobia and chose not to continue. Of the remaining 26 participants, 18 were included in the final analysis: three were removed due to low MRS quality (FWHM &gt; 10) and five were removed due to low fMRI quality (mean FD &gt; 0.15 mm). See</w:t>
      </w:r>
      <w:r>
        <w:t xml:space="preserve"> </w:t>
      </w:r>
      <w:hyperlink w:anchor="fig-partflow">
        <w:r>
          <w:rPr>
            <w:rStyle w:val="Internet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partflow"/>
          <w:p>
            <w:pPr>
              <w:pStyle w:val="Compact"/>
              <w:jc w:val="center"/>
            </w:pPr>
            <w:r>
              <w:drawing>
                <wp:inline>
                  <wp:extent cx="5943600" cy="2547257"/>
                  <wp:effectExtent b="0" l="0" r="0" t="0"/>
                  <wp:docPr descr="" title="" id="43" name="Picture"/>
                  <a:graphic>
                    <a:graphicData uri="http://schemas.openxmlformats.org/drawingml/2006/picture">
                      <pic:pic>
                        <pic:nvPicPr>
                          <pic:cNvPr descr="./images/ParticipantFlow.png" id="44" name="Picture"/>
                          <pic:cNvPicPr>
                            <a:picLocks noChangeArrowheads="1" noChangeAspect="1"/>
                          </pic:cNvPicPr>
                        </pic:nvPicPr>
                        <pic:blipFill>
                          <a:blip r:embed="rId42"/>
                          <a:stretch>
                            <a:fillRect/>
                          </a:stretch>
                        </pic:blipFill>
                        <pic:spPr bwMode="auto">
                          <a:xfrm>
                            <a:off x="0" y="0"/>
                            <a:ext cx="5943600" cy="2547257"/>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2</w:t>
            </w:r>
            <w:r>
              <w:rPr>
                <w:b/>
                <w:bCs/>
              </w:rPr>
              <w:t xml:space="preserve">.</w:t>
            </w:r>
            <w:r>
              <w:t xml:space="preserve"> </w:t>
            </w:r>
            <w:r>
              <w:rPr>
                <w:b/>
                <w:bCs/>
              </w:rPr>
              <w:t xml:space="preserve">Flowchart of participant, recruitment, scanning and exclusion</w:t>
            </w:r>
            <w:r>
              <w:t xml:space="preserve">. The number of participants at each stage is indicated within each node. Participants were excluded based on MRS FWHM and fMRI Mean FD thresholds, resulting in 18 participants included in the final analysis</w:t>
            </w:r>
          </w:p>
          <w:bookmarkEnd w:id="45"/>
        </w:tc>
      </w:tr>
    </w:tbl>
    <w:p>
      <w:pPr>
        <w:pStyle w:val="TextBody"/>
      </w:pPr>
      <w:r>
        <w:t xml:space="preserve">The final study sample included 8 males and 10 females between ages 21.3 and 53.4, with a mean age and standard deviation of 29.6 ± 8.7 years.</w:t>
      </w:r>
    </w:p>
    <w:bookmarkEnd w:id="46"/>
    <w:bookmarkStart w:id="61" w:name="data-summary"/>
    <w:p>
      <w:pPr>
        <w:pStyle w:val="Heading2"/>
      </w:pPr>
      <w:r>
        <w:t xml:space="preserve">3.2 Data Summary</w:t>
      </w:r>
    </w:p>
    <w:p>
      <w:pPr>
        <w:pStyle w:val="FirstParagraph"/>
      </w:pPr>
      <w:r>
        <w:t xml:space="preserve">An average of all MRS voxel placements can be seen in</w:t>
      </w:r>
      <w:r>
        <w:t xml:space="preserve"> </w:t>
      </w:r>
      <w:hyperlink w:anchor="fig-mrsquality">
        <w:r>
          <w:rPr>
            <w:rStyle w:val="InternetLink"/>
          </w:rPr>
          <w:t xml:space="preserve">Figure 3</w:t>
        </w:r>
      </w:hyperlink>
      <w:r>
        <w:t xml:space="preserve"> </w:t>
      </w:r>
      <w:r>
        <w:t xml:space="preserve">A, and a sample of the</w:t>
      </w:r>
      <w:r>
        <w:t xml:space="preserve"> </w:t>
      </w:r>
      <w:r>
        <w:rPr>
          <w:rStyle w:val="VerbatimChar"/>
        </w:rPr>
        <w:t xml:space="preserve">Osprey</w:t>
      </w:r>
      <w:r>
        <w:t xml:space="preserve"> </w:t>
      </w:r>
      <w:r>
        <w:t xml:space="preserve">sLASER and MEGA-PRESS spectrum fits at rest can be seen in</w:t>
      </w:r>
      <w:r>
        <w:t xml:space="preserve"> </w:t>
      </w:r>
      <w:hyperlink w:anchor="fig-mrsquality">
        <w:r>
          <w:rPr>
            <w:rStyle w:val="InternetLink"/>
          </w:rPr>
          <w:t xml:space="preserve">Figure 3</w:t>
        </w:r>
      </w:hyperlink>
      <w:r>
        <w:t xml:space="preserve"> </w:t>
      </w:r>
      <w:r>
        <w:t xml:space="preserve">B and C, respectively. The mean consensus-based inter-subject Dice score for MRS voxel placements was 0.77</w:t>
      </w:r>
      <w:r>
        <w:t xml:space="preserve"> </w:t>
      </w:r>
      <m:oMath>
        <m:r>
          <m:rPr>
            <m:sty m:val="p"/>
          </m:rPr>
          <m:t>±</m:t>
        </m:r>
      </m:oMath>
      <w:r>
        <w:t xml:space="preserve"> </w:t>
      </w:r>
      <w:r>
        <w:t xml:space="preserve">0.14 (range: [0.35, 0.95]).</w:t>
      </w:r>
    </w:p>
    <w:bookmarkStart w:id="51" w:name="cell-fig-mrsquality"/>
    <w:tbl>
      <w:tblPr>
        <w:tblStyle w:val="Table"/>
        <w:tblW w:type="pct" w:w="5000"/>
        <w:tblLayout w:type="fixed"/>
        <w:tblLook w:firstRow="0" w:lastRow="0" w:firstColumn="0" w:lastColumn="0" w:noHBand="0" w:noVBand="0" w:val="0000"/>
      </w:tblPr>
      <w:tblGrid>
        <w:gridCol w:w="7920"/>
      </w:tblGrid>
      <w:tr>
        <w:tc>
          <w:tcPr/>
          <w:bookmarkStart w:id="50" w:name="fig-mrsquality"/>
          <w:p>
            <w:pPr>
              <w:pStyle w:val="Compact"/>
              <w:jc w:val="center"/>
            </w:pPr>
            <w:r>
              <w:drawing>
                <wp:inline>
                  <wp:extent cx="5544151" cy="4620126"/>
                  <wp:effectExtent b="0" l="0" r="0" t="0"/>
                  <wp:docPr descr="" title="" id="48" name="Picture"/>
                  <a:graphic>
                    <a:graphicData uri="http://schemas.openxmlformats.org/drawingml/2006/picture">
                      <pic:pic>
                        <pic:nvPicPr>
                          <pic:cNvPr descr="index_files/figure-docx/fig-mrsquality-1.png" id="49" name="Picture"/>
                          <pic:cNvPicPr>
                            <a:picLocks noChangeArrowheads="1" noChangeAspect="1"/>
                          </pic:cNvPicPr>
                        </pic:nvPicPr>
                        <pic:blipFill>
                          <a:blip r:embed="rId47"/>
                          <a:stretch>
                            <a:fillRect/>
                          </a:stretch>
                        </pic:blipFill>
                        <pic:spPr bwMode="auto">
                          <a:xfrm>
                            <a:off x="0" y="0"/>
                            <a:ext cx="5544151" cy="4620126"/>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3</w:t>
            </w:r>
            <w:r>
              <w:rPr>
                <w:b/>
                <w:bCs/>
              </w:rPr>
              <w:t xml:space="preserve">.</w:t>
            </w:r>
            <w:r>
              <w:t xml:space="preserve"> </w:t>
            </w:r>
            <w:r>
              <w:rPr>
                <w:b/>
                <w:bCs/>
              </w:rPr>
              <w:t xml:space="preserve">MRS data quality</w:t>
            </w:r>
            <w:r>
              <w:t xml:space="preserve"> </w:t>
            </w:r>
            <w:r>
              <w:t xml:space="preserve">A) Average MRS location. Colored overlay of the average voxel location across all nineteen participants, from 0 (black) to 1 (white). Brighter yellow represents voxel locations shared by all participants, while darker purple represents voxel locations unique to participants. MRS voxels were registered to MNI space and averaged. Underlay is T1w MNI152 at 0.5 mm resolution. B) Sample Osprey sLASER Spectrum. Red spectrum indicates overall model fit. Model fits for individual metabolites are shown in blue below overall fit. C) Sample Osprey MEGA-PRESS Spectrum. Yellow spectrum indicates overall model fit. Model fits for individual metabolites are shown in blue below overall fit.</w:t>
            </w:r>
          </w:p>
          <w:bookmarkEnd w:id="50"/>
        </w:tc>
      </w:tr>
    </w:tbl>
    <w:bookmarkEnd w:id="51"/>
    <w:p>
      <w:pPr>
        <w:pStyle w:val="TextBody"/>
      </w:pPr>
      <w:r>
        <w:t xml:space="preserve">Average water FWHM, creatine SNR, and frequency shift are reported in Supplementary Material</w:t>
      </w:r>
      <w:r>
        <w:t xml:space="preserve"> </w:t>
      </w:r>
      <w:hyperlink w:anchor="supptbl-quality">
        <w:r>
          <w:rPr>
            <w:rStyle w:val="InternetLink"/>
          </w:rPr>
          <w:t xml:space="preserve">Table S1</w:t>
        </w:r>
      </w:hyperlink>
      <w:r>
        <w:t xml:space="preserve">.</w:t>
      </w:r>
    </w:p>
    <w:p>
      <w:pPr>
        <w:pStyle w:val="TextBody"/>
      </w:pPr>
      <w:r>
        <w:t xml:space="preserve">Average voxel rotation along the x-axis, along with average tissue fractions are reported in Supplementary Material</w:t>
      </w:r>
      <w:r>
        <w:t xml:space="preserve"> </w:t>
      </w:r>
      <w:hyperlink w:anchor="supptbl-singlevoxel">
        <w:r>
          <w:rPr>
            <w:rStyle w:val="InternetLink"/>
          </w:rPr>
          <w:t xml:space="preserve">Table S2</w:t>
        </w:r>
      </w:hyperlink>
      <w:r>
        <w:t xml:space="preserve">.</w:t>
      </w:r>
    </w:p>
    <w:p>
      <w:pPr>
        <w:pStyle w:val="TextBody"/>
      </w:pPr>
      <w:r>
        <w:t xml:space="preserve">A sample of the combined grey-matter and MRS voxel mask used to average H values, along with a sample Hurst exponent map, and sample fits for H calculation during rest can be found in</w:t>
      </w:r>
      <w:r>
        <w:t xml:space="preserve"> </w:t>
      </w:r>
      <w:hyperlink w:anchor="fig-hurstsamp">
        <w:r>
          <w:rPr>
            <w:rStyle w:val="InternetLink"/>
          </w:rPr>
          <w:t xml:space="preserve">Figure 4</w:t>
        </w:r>
      </w:hyperlink>
      <w:r>
        <w:t xml:space="preserve"> </w:t>
      </w:r>
      <w:r>
        <w:t xml:space="preserve">A, B, and C, respectively.</w:t>
      </w:r>
    </w:p>
    <w:bookmarkStart w:id="56" w:name="cell-fig-hurstsamp"/>
    <w:tbl>
      <w:tblPr>
        <w:tblStyle w:val="Table"/>
        <w:tblW w:type="pct" w:w="5000"/>
        <w:tblLayout w:type="fixed"/>
        <w:tblLook w:firstRow="0" w:lastRow="0" w:firstColumn="0" w:lastColumn="0" w:noHBand="0" w:noVBand="0" w:val="0000"/>
      </w:tblPr>
      <w:tblGrid>
        <w:gridCol w:w="7920"/>
      </w:tblGrid>
      <w:tr>
        <w:tc>
          <w:tcPr/>
          <w:bookmarkStart w:id="55" w:name="fig-hurstsamp"/>
          <w:p>
            <w:pPr>
              <w:pStyle w:val="Compact"/>
              <w:jc w:val="center"/>
            </w:pPr>
            <w:r>
              <w:drawing>
                <wp:inline>
                  <wp:extent cx="5544151" cy="5544151"/>
                  <wp:effectExtent b="0" l="0" r="0" t="0"/>
                  <wp:docPr descr="" title="" id="53" name="Picture"/>
                  <a:graphic>
                    <a:graphicData uri="http://schemas.openxmlformats.org/drawingml/2006/picture">
                      <pic:pic>
                        <pic:nvPicPr>
                          <pic:cNvPr descr="index_files/figure-docx/fig-hurstsamp-1.png" id="54" name="Picture"/>
                          <pic:cNvPicPr>
                            <a:picLocks noChangeArrowheads="1" noChangeAspect="1"/>
                          </pic:cNvPicPr>
                        </pic:nvPicPr>
                        <pic:blipFill>
                          <a:blip r:embed="rId52"/>
                          <a:stretch>
                            <a:fillRect/>
                          </a:stretch>
                        </pic:blipFill>
                        <pic:spPr bwMode="auto">
                          <a:xfrm>
                            <a:off x="0" y="0"/>
                            <a:ext cx="5544151" cy="5544151"/>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4</w:t>
            </w:r>
            <w:r>
              <w:rPr>
                <w:b/>
                <w:bCs/>
              </w:rPr>
              <w:t xml:space="preserve">.</w:t>
            </w:r>
            <w:r>
              <w:t xml:space="preserve"> </w:t>
            </w:r>
            <w:r>
              <w:rPr>
                <w:b/>
                <w:bCs/>
              </w:rPr>
              <w:t xml:space="preserve">fMRI data quality.</w:t>
            </w:r>
            <w:r>
              <w:t xml:space="preserve"> </w:t>
            </w:r>
            <w:r>
              <w:t xml:space="preserve">A) sample fMRI grey-matter mask within the MRS voxel. Background: a sample coronal, sagittal, and axial slice is displayed of the mean fMRI scan from the rest acquisition. Foreground: the greymatter/MRS mask used to calculate mean H. B) Sample H map for whole brain. Coronal, sagittal, and axial views of are shown, colour-coded by H values. Colour-coding shows evident tissue differentiation by H value (i.e., gray matter (red), white matter (light red), and cerebrospinal fluid (white)). C) Sample PSD spectrum. All participants’ PSD spectrums during rest are plotted using light grey lines. Mean PSD is plotted in solid red Mean linear regression line is plotted in dashed blue. H for each participant was calculated from the slope of their mean linear regression line.</w:t>
            </w:r>
          </w:p>
          <w:bookmarkEnd w:id="55"/>
        </w:tc>
      </w:tr>
    </w:tbl>
    <w:bookmarkEnd w:id="56"/>
    <w:p>
      <w:pPr>
        <w:pStyle w:val="TextBody"/>
      </w:pPr>
      <w:hyperlink w:anchor="fig-averagehurst">
        <w:r>
          <w:rPr>
            <w:rStyle w:val="InternetLink"/>
          </w:rPr>
          <w:t xml:space="preserve">Figure 5</w:t>
        </w:r>
      </w:hyperlink>
      <w:r>
        <w:t xml:space="preserve"> </w:t>
      </w:r>
      <w:r>
        <w:t xml:space="preserve">shows the average Hurst maps during rest and movie watching.</w:t>
      </w:r>
    </w:p>
    <w:tbl>
      <w:tblPr>
        <w:tblStyle w:val="Table"/>
        <w:tblW w:type="pct" w:w="5000"/>
        <w:tblLayout w:type="fixed"/>
        <w:tblLook w:firstRow="0" w:lastRow="0" w:firstColumn="0" w:lastColumn="0" w:noHBand="0" w:noVBand="0" w:val="0000"/>
      </w:tblPr>
      <w:tblGrid>
        <w:gridCol w:w="7920"/>
      </w:tblGrid>
      <w:tr>
        <w:tc>
          <w:tcPr/>
          <w:bookmarkStart w:id="60" w:name="fig-averagehurst"/>
          <w:p>
            <w:pPr>
              <w:pStyle w:val="Compact"/>
              <w:jc w:val="center"/>
            </w:pPr>
            <w:r>
              <w:drawing>
                <wp:inline>
                  <wp:extent cx="4754880" cy="3572639"/>
                  <wp:effectExtent b="0" l="0" r="0" t="0"/>
                  <wp:docPr descr="" title="" id="58" name="Picture"/>
                  <a:graphic>
                    <a:graphicData uri="http://schemas.openxmlformats.org/drawingml/2006/picture">
                      <pic:pic>
                        <pic:nvPicPr>
                          <pic:cNvPr descr="./images/RestMovieHurstAverage.png" id="59" name="Picture"/>
                          <pic:cNvPicPr>
                            <a:picLocks noChangeArrowheads="1" noChangeAspect="1"/>
                          </pic:cNvPicPr>
                        </pic:nvPicPr>
                        <pic:blipFill>
                          <a:blip r:embed="rId57"/>
                          <a:stretch>
                            <a:fillRect/>
                          </a:stretch>
                        </pic:blipFill>
                        <pic:spPr bwMode="auto">
                          <a:xfrm>
                            <a:off x="0" y="0"/>
                            <a:ext cx="4754880" cy="3572639"/>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5</w:t>
            </w:r>
            <w:r>
              <w:rPr>
                <w:b/>
                <w:bCs/>
              </w:rPr>
              <w:t xml:space="preserve">.</w:t>
            </w:r>
            <w:r>
              <w:t xml:space="preserve"> </w:t>
            </w:r>
            <w:r>
              <w:rPr>
                <w:b/>
                <w:bCs/>
              </w:rPr>
              <w:t xml:space="preserve">Average Hurst maps for rest and movie conditions</w:t>
            </w:r>
            <w:r>
              <w:t xml:space="preserve"> </w:t>
            </w:r>
            <w:r>
              <w:t xml:space="preserve">Group averaged maps of the Hurst exponent computed to visualize whole-brain patterns across sessions: rest (top) and movie watching (bottom.)</w:t>
            </w:r>
          </w:p>
          <w:bookmarkEnd w:id="60"/>
        </w:tc>
      </w:tr>
    </w:tbl>
    <w:bookmarkEnd w:id="61"/>
    <w:bookmarkStart w:id="62" w:name="linear-mixed-effects-model-h-and-ei"/>
    <w:p>
      <w:pPr>
        <w:pStyle w:val="Heading2"/>
      </w:pPr>
      <w:r>
        <w:t xml:space="preserve">3.3 Linear-mixed effects model: H and E:I</w:t>
      </w:r>
    </w:p>
    <w:p>
      <w:pPr>
        <w:pStyle w:val="FirstParagraph"/>
      </w:pPr>
      <w:r>
        <w:t xml:space="preserve">To examine the relationship between H and E:I, we ran a linear mixed-effects model.</w:t>
      </w:r>
      <w:r>
        <w:t xml:space="preserve"> </w:t>
      </w:r>
      <w:r>
        <w:t xml:space="preserve">The model’s total explanatory power was substantial (conditional r</w:t>
      </w:r>
      <w:r>
        <w:rPr>
          <w:vertAlign w:val="superscript"/>
        </w:rPr>
        <w:t xml:space="preserve">2</w:t>
      </w:r>
      <w:r>
        <w:t xml:space="preserve"> </w:t>
      </w:r>
      <w:r>
        <w:t xml:space="preserve">= 0.79), with fixed effects (marginal r</w:t>
      </w:r>
      <w:r>
        <w:rPr>
          <w:vertAlign w:val="superscript"/>
        </w:rPr>
        <w:t xml:space="preserve">2</w:t>
      </w:r>
      <w:r>
        <w:t xml:space="preserve">) equal to 0.22. The model’s intercept, corresponding to EI = 0, Condition = Movie, FWHM</w:t>
      </w:r>
      <w:r>
        <w:rPr>
          <w:vertAlign w:val="subscript"/>
        </w:rPr>
        <w:t xml:space="preserve">sLASER</w:t>
      </w:r>
      <w:r>
        <w:t xml:space="preserve"> </w:t>
      </w:r>
      <w:r>
        <w:t xml:space="preserve">= 0, FWHM</w:t>
      </w:r>
      <w:r>
        <w:rPr>
          <w:vertAlign w:val="subscript"/>
        </w:rPr>
        <w:t xml:space="preserve">MEGA-PRESS</w:t>
      </w:r>
      <w:r>
        <w:t xml:space="preserve"> </w:t>
      </w:r>
      <w:r>
        <w:t xml:space="preserve">= 0, FreqShift</w:t>
      </w:r>
      <w:r>
        <w:rPr>
          <w:vertAlign w:val="subscript"/>
        </w:rPr>
        <w:t xml:space="preserve">sLASER</w:t>
      </w:r>
      <w:r>
        <w:t xml:space="preserve"> </w:t>
      </w:r>
      <w:r>
        <w:t xml:space="preserve">= 0, FreqShift</w:t>
      </w:r>
      <w:r>
        <w:rPr>
          <w:vertAlign w:val="subscript"/>
        </w:rPr>
        <w:t xml:space="preserve">MEGA-PRESS</w:t>
      </w:r>
      <w:r>
        <w:t xml:space="preserve"> </w:t>
      </w:r>
      <w:r>
        <w:t xml:space="preserve">= 0, and meanFD = 0, was 1.3 (95%</w:t>
      </w:r>
      <w:r>
        <w:t xml:space="preserve"> </w:t>
      </w:r>
      <w:r>
        <w:t xml:space="preserve">CI [0.66, 1.95], t(26) = 3.95, p &lt; 0.01).</w:t>
      </w:r>
    </w:p>
    <w:p>
      <w:pPr>
        <w:pStyle w:val="TextBody"/>
      </w:pPr>
      <w:r>
        <w:t xml:space="preserve">Among the fixed effects, only the effect of Condition [Rest] (beta = -0.07, 95% CI [-0.11, -0.02], t(26) = -2.84, p = 0.02); and Frequency Shift (sLASER) (beta = 0.03, 95% CI [0.01, 0.06], t(26) = 2.31, p = 0.05) were statistically significant. All other predictors — including E:I (beta = 0.07, 95% CI [-0.05, 0.19], t(26) = 1.12, p = 0.28);</w:t>
      </w:r>
      <w:r>
        <w:t xml:space="preserve"> </w:t>
      </w:r>
      <w:r>
        <w:t xml:space="preserve">along with FWHM</w:t>
      </w:r>
      <w:r>
        <w:rPr>
          <w:vertAlign w:val="subscript"/>
        </w:rPr>
        <w:t xml:space="preserve">MEGA-PRESS</w:t>
      </w:r>
      <w:r>
        <w:t xml:space="preserve"> </w:t>
      </w:r>
      <w:r>
        <w:t xml:space="preserve">(beta = 0.01, 95% CI [-0.05, 0.07], t(26) = 0.28, p = 0.78);</w:t>
      </w:r>
      <w:r>
        <w:t xml:space="preserve"> </w:t>
      </w:r>
      <w:r>
        <w:t xml:space="preserve">FWHM</w:t>
      </w:r>
      <w:r>
        <w:rPr>
          <w:vertAlign w:val="subscript"/>
        </w:rPr>
        <w:t xml:space="preserve">sLASER</w:t>
      </w:r>
      <w:r>
        <w:t xml:space="preserve"> </w:t>
      </w:r>
      <w:r>
        <w:t xml:space="preserve">(beta = -0.02, 95% CI [-0.09, 0.05], t(26) = -0.58, p = 0.57);</w:t>
      </w:r>
      <w:r>
        <w:t xml:space="preserve"> </w:t>
      </w:r>
      <w:r>
        <w:t xml:space="preserve">FreqShift</w:t>
      </w:r>
      <w:r>
        <w:rPr>
          <w:vertAlign w:val="subscript"/>
        </w:rPr>
        <w:t xml:space="preserve">MEGA-PRESS</w:t>
      </w:r>
      <w:r>
        <w:t xml:space="preserve"> </w:t>
      </w:r>
      <w:r>
        <w:t xml:space="preserve">(beta = 0.03, 95% CI [-0.01, 0.06], t(26) = 1.56, p = 0.14);</w:t>
      </w:r>
      <w:r>
        <w:t xml:space="preserve"> </w:t>
      </w:r>
      <w:r>
        <w:t xml:space="preserve">FreqShift</w:t>
      </w:r>
      <w:r>
        <w:rPr>
          <w:vertAlign w:val="subscript"/>
        </w:rPr>
        <w:t xml:space="preserve">sLASER</w:t>
      </w:r>
      <w:r>
        <w:t xml:space="preserve"> </w:t>
      </w:r>
      <w:r>
        <w:t xml:space="preserve">(beta = 0.03, 95% CI [0.01, 0.06], t(26) = 2.31, p = 0.05);</w:t>
      </w:r>
      <w:r>
        <w:t xml:space="preserve"> </w:t>
      </w:r>
      <w:r>
        <w:t xml:space="preserve">and meanFD (beta = -0.59, 95% CI [-2.14, 0.96], t(26) = -0.75, p = 0.46) — were not statistically significant.</w:t>
      </w:r>
    </w:p>
    <w:bookmarkEnd w:id="62"/>
    <w:bookmarkStart w:id="75" w:name="post-hoc-analyses"/>
    <w:p>
      <w:pPr>
        <w:pStyle w:val="Heading2"/>
      </w:pPr>
      <w:r>
        <w:t xml:space="preserve">3.4 Post-hoc analyses</w:t>
      </w:r>
    </w:p>
    <w:p>
      <w:pPr>
        <w:pStyle w:val="FirstParagraph"/>
      </w:pPr>
      <w:r>
        <w:t xml:space="preserve">Diagnostics of our linear-mixed effects model can be found in the Supplementary Materials (</w:t>
      </w:r>
      <w:hyperlink w:anchor="suppfig-lmemdiag">
        <w:r>
          <w:rPr>
            <w:rStyle w:val="InternetLink"/>
          </w:rPr>
          <w:t xml:space="preserve">Figure S1</w:t>
        </w:r>
      </w:hyperlink>
      <w:r>
        <w:t xml:space="preserve">;</w:t>
      </w:r>
      <w:r>
        <w:t xml:space="preserve"> </w:t>
      </w:r>
      <w:hyperlink w:anchor="supptbl-spearmanresults">
        <w:r>
          <w:rPr>
            <w:rStyle w:val="InternetLink"/>
          </w:rPr>
          <w:t xml:space="preserve">Table S3</w:t>
        </w:r>
      </w:hyperlink>
      <w:r>
        <w:t xml:space="preserve">; and</w:t>
      </w:r>
      <w:r>
        <w:t xml:space="preserve"> </w:t>
      </w:r>
      <w:hyperlink w:anchor="supptbl-robusteffects">
        <w:r>
          <w:rPr>
            <w:rStyle w:val="InternetLink"/>
          </w:rPr>
          <w:t xml:space="preserve">Table S4</w:t>
        </w:r>
      </w:hyperlink>
      <w:r>
        <w:t xml:space="preserve">)</w:t>
      </w:r>
    </w:p>
    <w:p>
      <w:pPr>
        <w:pStyle w:val="TextBody"/>
      </w:pPr>
      <w:r>
        <w:t xml:space="preserve">To calculate the post-hoc power of our model, we required an effect size. While</w:t>
      </w:r>
      <w:r>
        <w:t xml:space="preserve"> </w:t>
      </w:r>
      <w:r>
        <w:rPr>
          <w:i/>
          <w:iCs/>
        </w:rPr>
        <w:t xml:space="preserve">in silico</w:t>
      </w:r>
      <w:r>
        <w:t xml:space="preserve"> </w:t>
      </w:r>
      <w:r>
        <w:t xml:space="preserve">and animal studies indicate that changes in E:I ratio influence the Hurst exponent</w:t>
      </w:r>
      <w:r>
        <w:rPr>
          <w:vertAlign w:val="superscript"/>
        </w:rPr>
        <w:t xml:space="preserve">11</w:t>
      </w:r>
      <w:r>
        <w:t xml:space="preserve">, these models do not provide standardized effect sizes, and translation to human neuroimaging remains uncertain. Therefore, we used several effect sizes, and report here the power of each. The effect sizes we used to calculate power were: the value calculated from our model (beta = 0.07); and beta values two and three times that size: 0.14 and 0.21.</w:t>
      </w:r>
      <w:r>
        <w:t xml:space="preserve"> </w:t>
      </w:r>
      <w:r>
        <w:t xml:space="preserve">As a reminder, beta represents the increase of H by that amount per every increase of E:I by 1.</w:t>
      </w:r>
      <w:r>
        <w:t xml:space="preserve"> </w:t>
      </w:r>
      <w:r>
        <w:t xml:space="preserve">The power for these effect sizes were 22.3%, 65.1%, and 90.6%, respectively.</w:t>
      </w:r>
    </w:p>
    <w:p>
      <w:pPr>
        <w:pStyle w:val="TextBody"/>
      </w:pPr>
      <w:r>
        <w:t xml:space="preserve">Furthermore, as our spectroscopy quality metrics could be highly correlated with each other (e.g., FWHM measures from the two sequences, or frequency shifts), we checked variance inflation factors (VIFs) to ensure all values were &lt; 5 (generally acceptable). VIFs were: EI = 1.24, Condition = 1.55, FWHMsLASER = 1.76, FWHMMEGA = 1.45, FreqShiftsLASER = 1.15, FreqShiftMEGA = 1.48, and MeanFD = 1.28.</w:t>
      </w:r>
    </w:p>
    <w:p>
      <w:pPr>
        <w:pStyle w:val="TextBody"/>
      </w:pPr>
      <w:r>
        <w:t xml:space="preserve">Mean ± sd of the main metabolites, their Cramer-Rao lower bounds, E:I, and H during rest and movie are reported in</w:t>
      </w:r>
      <w:r>
        <w:t xml:space="preserve"> </w:t>
      </w:r>
      <w:hyperlink w:anchor="tbl-results">
        <w:r>
          <w:rPr>
            <w:rStyle w:val="InternetLink"/>
          </w:rPr>
          <w:t xml:space="preserve">Table 2</w:t>
        </w:r>
      </w:hyperlink>
      <w:r>
        <w:t xml:space="preserve">. Boxplots between rest and movie can be seen in</w:t>
      </w:r>
      <w:r>
        <w:t xml:space="preserve"> </w:t>
      </w:r>
      <w:hyperlink w:anchor="fig-results">
        <w:r>
          <w:rPr>
            <w:rStyle w:val="InternetLink"/>
          </w:rPr>
          <w:t xml:space="preserve">Figure 6</w:t>
        </w:r>
      </w:hyperlink>
      <w:r>
        <w:t xml:space="preserve">. Neither Glx nor GABA+ were different between movie and rest conditions. E:I ratio did not change between conditions either. H was found to be greater during movie watching than rest.</w:t>
      </w:r>
    </w:p>
    <w:tbl>
      <w:tblPr>
        <w:tblStyle w:val="Table"/>
        <w:tblW w:type="pct" w:w="5000"/>
        <w:tblLayout w:type="fixed"/>
        <w:tblLook w:firstRow="0" w:lastRow="0" w:firstColumn="0" w:lastColumn="0" w:noHBand="0" w:noVBand="0" w:val="0000"/>
      </w:tblPr>
      <w:tblGrid>
        <w:gridCol w:w="7920"/>
      </w:tblGrid>
      <w:tr>
        <w:tc>
          <w:tcPr/>
          <w:bookmarkStart w:id="63" w:name="tbl-results"/>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jc w:val="center"/>
                  </w:pPr>
                  <w:r>
                    <w:t xml:space="preserve">Rest</w:t>
                  </w:r>
                </w:p>
              </w:tc>
              <w:tc>
                <w:tcPr/>
                <w:p>
                  <w:pPr>
                    <w:pStyle w:val="Compact"/>
                    <w:jc w:val="left"/>
                    <w:jc w:val="center"/>
                  </w:pPr>
                  <w:r>
                    <w:t xml:space="preserve">Movie</w:t>
                  </w:r>
                </w:p>
              </w:tc>
              <w:tc>
                <w:tcPr/>
                <w:p>
                  <w:pPr>
                    <w:pStyle w:val="Compact"/>
                    <w:jc w:val="left"/>
                    <w:jc w:val="center"/>
                  </w:pPr>
                  <w:r>
                    <w:t xml:space="preserve">p-value</w:t>
                  </w:r>
                </w:p>
              </w:tc>
            </w:tr>
            <w:tr>
              <w:tc>
                <w:tcPr/>
                <w:p>
                  <w:pPr>
                    <w:pStyle w:val="Compact"/>
                    <w:jc w:val="left"/>
                    <w:jc w:val="center"/>
                  </w:pPr>
                  <w:r>
                    <w:rPr>
                      <w:b/>
                      <w:bCs/>
                    </w:rPr>
                    <w:t xml:space="preserve">Glx</w:t>
                  </w:r>
                </w:p>
              </w:tc>
              <w:tc>
                <w:tcPr/>
                <w:p>
                  <w:pPr>
                    <w:pStyle w:val="Compact"/>
                    <w:jc w:val="left"/>
                    <w:jc w:val="center"/>
                  </w:pPr>
                  <w:r>
                    <w:t xml:space="preserve">9.84 ± 1.06</w:t>
                  </w:r>
                </w:p>
              </w:tc>
              <w:tc>
                <w:tcPr/>
                <w:p>
                  <w:pPr>
                    <w:pStyle w:val="Compact"/>
                    <w:jc w:val="left"/>
                    <w:jc w:val="center"/>
                  </w:pPr>
                  <w:r>
                    <w:t xml:space="preserve">10.04 ± 0.79</w:t>
                  </w:r>
                </w:p>
              </w:tc>
              <w:tc>
                <w:tcPr/>
                <w:p>
                  <w:pPr>
                    <w:pStyle w:val="Compact"/>
                    <w:jc w:val="left"/>
                    <w:jc w:val="center"/>
                  </w:pPr>
                  <w:r>
                    <w:t xml:space="preserve">0.26</w:t>
                  </w:r>
                </w:p>
              </w:tc>
            </w:tr>
            <w:tr>
              <w:tc>
                <w:tcPr/>
                <w:p>
                  <w:pPr>
                    <w:pStyle w:val="Compact"/>
                    <w:jc w:val="left"/>
                    <w:jc w:val="center"/>
                  </w:pPr>
                  <w:r>
                    <w:rPr>
                      <w:b/>
                      <w:bCs/>
                    </w:rPr>
                    <w:t xml:space="preserve">GABA+</w:t>
                  </w:r>
                </w:p>
              </w:tc>
              <w:tc>
                <w:tcPr/>
                <w:p>
                  <w:pPr>
                    <w:pStyle w:val="Compact"/>
                    <w:jc w:val="left"/>
                    <w:jc w:val="center"/>
                  </w:pPr>
                  <w:r>
                    <w:t xml:space="preserve">5.48 ± 0.77</w:t>
                  </w:r>
                </w:p>
              </w:tc>
              <w:tc>
                <w:tcPr/>
                <w:p>
                  <w:pPr>
                    <w:pStyle w:val="Compact"/>
                    <w:jc w:val="left"/>
                    <w:jc w:val="center"/>
                  </w:pPr>
                  <w:r>
                    <w:t xml:space="preserve">5.23 ± 0.71</w:t>
                  </w:r>
                </w:p>
              </w:tc>
              <w:tc>
                <w:tcPr/>
                <w:p>
                  <w:pPr>
                    <w:pStyle w:val="Compact"/>
                    <w:jc w:val="left"/>
                    <w:jc w:val="center"/>
                  </w:pPr>
                  <w:r>
                    <w:t xml:space="preserve">0.17</w:t>
                  </w:r>
                </w:p>
              </w:tc>
            </w:tr>
            <w:tr>
              <w:tc>
                <w:tcPr/>
                <w:p>
                  <w:pPr>
                    <w:pStyle w:val="Compact"/>
                    <w:jc w:val="left"/>
                    <w:jc w:val="center"/>
                  </w:pPr>
                  <w:r>
                    <w:rPr>
                      <w:b/>
                      <w:bCs/>
                    </w:rPr>
                    <w:t xml:space="preserve">E:I Ratio</w:t>
                  </w:r>
                </w:p>
              </w:tc>
              <w:tc>
                <w:tcPr/>
                <w:p>
                  <w:pPr>
                    <w:pStyle w:val="Compact"/>
                    <w:jc w:val="left"/>
                    <w:jc w:val="center"/>
                  </w:pPr>
                  <w:r>
                    <w:t xml:space="preserve">1.82 ± 0.25</w:t>
                  </w:r>
                </w:p>
              </w:tc>
              <w:tc>
                <w:tcPr/>
                <w:p>
                  <w:pPr>
                    <w:pStyle w:val="Compact"/>
                    <w:jc w:val="left"/>
                    <w:jc w:val="center"/>
                  </w:pPr>
                  <w:r>
                    <w:t xml:space="preserve">1.94 ± 0.25</w:t>
                  </w:r>
                </w:p>
              </w:tc>
              <w:tc>
                <w:tcPr/>
                <w:p>
                  <w:pPr>
                    <w:pStyle w:val="Compact"/>
                    <w:jc w:val="left"/>
                    <w:jc w:val="center"/>
                  </w:pPr>
                  <w:r>
                    <w:t xml:space="preserve">0.08</w:t>
                  </w:r>
                </w:p>
              </w:tc>
            </w:tr>
            <w:tr>
              <w:tc>
                <w:tcPr/>
                <w:p>
                  <w:pPr>
                    <w:pStyle w:val="Compact"/>
                    <w:jc w:val="left"/>
                    <w:jc w:val="center"/>
                  </w:pPr>
                  <w:r>
                    <w:rPr>
                      <w:b/>
                      <w:bCs/>
                    </w:rPr>
                    <w:t xml:space="preserve">H</w:t>
                  </w:r>
                </w:p>
              </w:tc>
              <w:tc>
                <w:tcPr/>
                <w:p>
                  <w:pPr>
                    <w:pStyle w:val="Compact"/>
                    <w:jc w:val="left"/>
                    <w:jc w:val="center"/>
                  </w:pPr>
                  <w:r>
                    <w:t xml:space="preserve">0.98 ± 0.98</w:t>
                  </w:r>
                </w:p>
              </w:tc>
              <w:tc>
                <w:tcPr/>
                <w:p>
                  <w:pPr>
                    <w:pStyle w:val="Compact"/>
                    <w:jc w:val="left"/>
                    <w:jc w:val="center"/>
                  </w:pPr>
                  <w:r>
                    <w:t xml:space="preserve">1.05 ± 1.05</w:t>
                  </w:r>
                </w:p>
              </w:tc>
              <w:tc>
                <w:tcPr/>
                <w:p>
                  <w:pPr>
                    <w:pStyle w:val="Compact"/>
                    <w:jc w:val="left"/>
                    <w:jc w:val="center"/>
                  </w:pPr>
                  <w:r>
                    <w:t xml:space="preserve">&lt; 0.01</w:t>
                  </w:r>
                </w:p>
              </w:tc>
            </w:tr>
          </w:tbl>
          <w:p>
            <w:pPr>
              <w:jc w:val="center"/>
            </w:pPr>
            <w:pPr>
              <w:jc w:val="start"/>
              <w:spacing w:before="200"/>
              <w:pStyle w:val="ImageCaption"/>
            </w:pPr>
            <w:r>
              <w:rPr>
                <w:b/>
                <w:bCs/>
              </w:rPr>
              <w:t xml:space="preserve">Table</w:t>
            </w:r>
            <w:r>
              <w:t xml:space="preserve"> 2</w:t>
            </w:r>
            <w:r>
              <w:rPr>
                <w:b/>
                <w:bCs/>
              </w:rPr>
              <w:t xml:space="preserve">.</w:t>
            </w:r>
            <w:r>
              <w:t xml:space="preserve"> </w:t>
            </w:r>
            <w:r>
              <w:rPr>
                <w:b/>
                <w:bCs/>
              </w:rPr>
              <w:t xml:space="preserve">Summary of main measures</w:t>
            </w:r>
            <w:r>
              <w:t xml:space="preserve"> </w:t>
            </w:r>
            <w:r>
              <w:t xml:space="preserve">Glx and GABA+ values are in millimoles.</w:t>
            </w:r>
          </w:p>
          <w:bookmarkEnd w:id="63"/>
        </w:tc>
      </w:tr>
    </w:tbl>
    <w:bookmarkStart w:id="68" w:name="cell-fig-results"/>
    <w:tbl>
      <w:tblPr>
        <w:tblStyle w:val="Table"/>
        <w:tblW w:type="pct" w:w="5000"/>
        <w:tblLayout w:type="fixed"/>
        <w:tblLook w:firstRow="0" w:lastRow="0" w:firstColumn="0" w:lastColumn="0" w:noHBand="0" w:noVBand="0" w:val="0000"/>
      </w:tblPr>
      <w:tblGrid>
        <w:gridCol w:w="7920"/>
      </w:tblGrid>
      <w:tr>
        <w:tc>
          <w:tcPr/>
          <w:bookmarkStart w:id="67" w:name="fig-results"/>
          <w:p>
            <w:pPr>
              <w:pStyle w:val="Compact"/>
              <w:jc w:val="center"/>
            </w:pPr>
            <w:r>
              <w:drawing>
                <wp:inline>
                  <wp:extent cx="5943600" cy="4754880"/>
                  <wp:effectExtent b="0" l="0" r="0" t="0"/>
                  <wp:docPr descr="" title="" id="65" name="Picture"/>
                  <a:graphic>
                    <a:graphicData uri="http://schemas.openxmlformats.org/drawingml/2006/picture">
                      <pic:pic>
                        <pic:nvPicPr>
                          <pic:cNvPr descr="index_files/figure-docx/fig-results-1.png" id="66" name="Picture"/>
                          <pic:cNvPicPr>
                            <a:picLocks noChangeArrowheads="1" noChangeAspect="1"/>
                          </pic:cNvPicPr>
                        </pic:nvPicPr>
                        <pic:blipFill>
                          <a:blip r:embed="rId6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6</w:t>
            </w:r>
            <w:r>
              <w:rPr>
                <w:b/>
                <w:bCs/>
              </w:rPr>
              <w:t xml:space="preserve">.</w:t>
            </w:r>
            <w:r>
              <w:t xml:space="preserve"> </w:t>
            </w:r>
            <w:r>
              <w:rPr>
                <w:b/>
                <w:bCs/>
              </w:rPr>
              <w:t xml:space="preserve">Paired comparison of metabolite values during rest (green) and movie (orange) conditions.</w:t>
            </w:r>
            <w:r>
              <w:t xml:space="preserve"> </w:t>
            </w:r>
            <w:r>
              <w:t xml:space="preserve">A) Glx (mM); B) GABA+ (mM); and C) E:I. Paired dots represent the same participant across conditions. Mean difference with 95% confidence intervals, and as Cohen’s D are reported at the top of each plot.</w:t>
            </w:r>
          </w:p>
          <w:bookmarkEnd w:id="67"/>
        </w:tc>
      </w:tr>
    </w:tbl>
    <w:bookmarkEnd w:id="68"/>
    <w:p>
      <w:pPr>
        <w:pStyle w:val="TextBody"/>
      </w:pPr>
      <w:r>
        <w:t xml:space="preserve">H was not found to correlate with Glx, GABA+, or E:I, during rest or movie (</w:t>
      </w:r>
      <w:hyperlink w:anchor="fig-correlations">
        <w:r>
          <w:rPr>
            <w:rStyle w:val="InternetLink"/>
          </w:rPr>
          <w:t xml:space="preserve">Figure 7</w:t>
        </w:r>
      </w:hyperlink>
      <w:r>
        <w:t xml:space="preserve">).</w:t>
      </w:r>
      <w:r>
        <w:t xml:space="preserve"> </w:t>
      </w:r>
    </w:p>
    <w:bookmarkStart w:id="73" w:name="cell-fig-correlations"/>
    <w:tbl>
      <w:tblPr>
        <w:tblStyle w:val="Table"/>
        <w:tblW w:type="pct" w:w="5000"/>
        <w:tblLayout w:type="fixed"/>
        <w:tblLook w:firstRow="0" w:lastRow="0" w:firstColumn="0" w:lastColumn="0" w:noHBand="0" w:noVBand="0" w:val="0000"/>
      </w:tblPr>
      <w:tblGrid>
        <w:gridCol w:w="7920"/>
      </w:tblGrid>
      <w:tr>
        <w:tc>
          <w:tcPr/>
          <w:bookmarkStart w:id="72" w:name="fig-correlations"/>
          <w:p>
            <w:pPr>
              <w:pStyle w:val="Compact"/>
              <w:jc w:val="center"/>
            </w:pPr>
            <w:r>
              <w:drawing>
                <wp:inline>
                  <wp:extent cx="5943600" cy="5094514"/>
                  <wp:effectExtent b="0" l="0" r="0" t="0"/>
                  <wp:docPr descr="" title="" id="70" name="Picture"/>
                  <a:graphic>
                    <a:graphicData uri="http://schemas.openxmlformats.org/drawingml/2006/picture">
                      <pic:pic>
                        <pic:nvPicPr>
                          <pic:cNvPr descr="index_files/figure-docx/fig-correlations-1.png" id="71" name="Picture"/>
                          <pic:cNvPicPr>
                            <a:picLocks noChangeArrowheads="1" noChangeAspect="1"/>
                          </pic:cNvPicPr>
                        </pic:nvPicPr>
                        <pic:blipFill>
                          <a:blip r:embed="rId69"/>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7</w:t>
            </w:r>
            <w:r>
              <w:rPr>
                <w:b/>
                <w:bCs/>
              </w:rPr>
              <w:t xml:space="preserve">.</w:t>
            </w:r>
            <w:r>
              <w:t xml:space="preserve"> </w:t>
            </w:r>
            <w:r>
              <w:rPr>
                <w:b/>
                <w:bCs/>
              </w:rPr>
              <w:t xml:space="preserve">Scatter plots of H vs. metabolites.</w:t>
            </w:r>
            <w:r>
              <w:t xml:space="preserve"> </w:t>
            </w:r>
            <w:r>
              <w:t xml:space="preserve">A) Glx (mM); B) GABA+ (mM); and C) E:I. Rest is in green, while movie is in orange. p-values are reported at the top of each plot.</w:t>
            </w:r>
          </w:p>
          <w:bookmarkEnd w:id="72"/>
        </w:tc>
      </w:tr>
    </w:tbl>
    <w:bookmarkEnd w:id="73"/>
    <w:bookmarkStart w:id="74" w:name="data-quality"/>
    <w:p>
      <w:pPr>
        <w:pStyle w:val="Heading3"/>
      </w:pPr>
      <w:r>
        <w:t xml:space="preserve">3.4.1 Data quality</w:t>
      </w:r>
    </w:p>
    <w:p>
      <w:pPr>
        <w:pStyle w:val="FirstParagraph"/>
      </w:pPr>
      <w:r>
        <w:t xml:space="preserve">Mean FD was not correlated with H during rest (r = -0.33, p = 0.18) but was moderately negatively correlated with H during movie watching (r = -0.49, p = 0.04; see Supplementary Materials</w:t>
      </w:r>
      <w:r>
        <w:t xml:space="preserve"> </w:t>
      </w:r>
      <w:hyperlink w:anchor="suppfig-dataquality">
        <w:r>
          <w:rPr>
            <w:rStyle w:val="InternetLink"/>
          </w:rPr>
          <w:t xml:space="preserve">Figure S2</w:t>
        </w:r>
      </w:hyperlink>
      <w:r>
        <w:t xml:space="preserve"> </w:t>
      </w:r>
      <w:r>
        <w:t xml:space="preserve">A).</w:t>
      </w:r>
    </w:p>
    <w:p>
      <w:pPr>
        <w:pStyle w:val="TextBody"/>
      </w:pPr>
      <w:r>
        <w:t xml:space="preserve">Glx and GABA+ were tested for associations with FWHM values during rest and movie watching. No significant correlations were found (see Supplementary Materials</w:t>
      </w:r>
      <w:r>
        <w:t xml:space="preserve"> </w:t>
      </w:r>
      <w:hyperlink w:anchor="suppfig-dataquality">
        <w:r>
          <w:rPr>
            <w:rStyle w:val="InternetLink"/>
          </w:rPr>
          <w:t xml:space="preserve">Figure S2</w:t>
        </w:r>
      </w:hyperlink>
      <w:r>
        <w:t xml:space="preserve"> </w:t>
      </w:r>
      <w:r>
        <w:t xml:space="preserve">B and C). Glx and GABA+ were tested for associations with frequency shift during rest and movie watching. No significant correlations were found (see Supplementary Materials</w:t>
      </w:r>
      <w:r>
        <w:t xml:space="preserve"> </w:t>
      </w:r>
      <w:hyperlink w:anchor="suppfig-dataquality">
        <w:r>
          <w:rPr>
            <w:rStyle w:val="InternetLink"/>
          </w:rPr>
          <w:t xml:space="preserve">Figure S2</w:t>
        </w:r>
      </w:hyperlink>
      <w:r>
        <w:t xml:space="preserve"> </w:t>
      </w:r>
      <w:r>
        <w:t xml:space="preserve">D and E).</w:t>
      </w:r>
    </w:p>
    <w:p>
      <w:pPr>
        <w:pStyle w:val="TextBody"/>
      </w:pPr>
      <w:r>
        <w:t xml:space="preserve">Water FWHM and creatine SNR (CR-SNR) for both sLASER and MEGA-PRESS were analyzed pre- vs. post-fMRI. Supplementary</w:t>
      </w:r>
      <w:r>
        <w:t xml:space="preserve"> </w:t>
      </w:r>
      <w:hyperlink w:anchor="supptbl-FWHMprepost">
        <w:r>
          <w:rPr>
            <w:rStyle w:val="InternetLink"/>
          </w:rPr>
          <w:t xml:space="preserve">Table S7</w:t>
        </w:r>
      </w:hyperlink>
      <w:r>
        <w:t xml:space="preserve">,</w:t>
      </w:r>
      <w:r>
        <w:t xml:space="preserve"> </w:t>
      </w:r>
      <w:hyperlink w:anchor="supptbl-CRSNR">
        <w:r>
          <w:rPr>
            <w:rStyle w:val="InternetLink"/>
          </w:rPr>
          <w:t xml:space="preserve">Table S8</w:t>
        </w:r>
      </w:hyperlink>
      <w:r>
        <w:t xml:space="preserve">, and</w:t>
      </w:r>
      <w:r>
        <w:t xml:space="preserve"> </w:t>
      </w:r>
      <w:hyperlink w:anchor="supptbl-FWHMCRSNR">
        <w:r>
          <w:rPr>
            <w:rStyle w:val="InternetLink"/>
          </w:rPr>
          <w:t xml:space="preserve">Table S9</w:t>
        </w:r>
      </w:hyperlink>
      <w:r>
        <w:t xml:space="preserve"> </w:t>
      </w:r>
      <w:r>
        <w:t xml:space="preserve">present the paired t-tests and subject-level rest/movie values, while Supplementary</w:t>
      </w:r>
      <w:r>
        <w:t xml:space="preserve"> </w:t>
      </w:r>
      <w:hyperlink w:anchor="suppfig-fwhmdriftplot">
        <w:r>
          <w:rPr>
            <w:rStyle w:val="InternetLink"/>
          </w:rPr>
          <w:t xml:space="preserve">Figure S3</w:t>
        </w:r>
      </w:hyperlink>
      <w:r>
        <w:t xml:space="preserve"> </w:t>
      </w:r>
      <w:r>
        <w:t xml:space="preserve">show the individual trajectories. No systematic drifts were detected (all p &gt; 0.2 for FWHM; p &gt; 0.3 for SNR).</w:t>
      </w:r>
      <w:r>
        <w:t xml:space="preserve"> </w:t>
      </w:r>
      <w:r>
        <w:t xml:space="preserve"> </w:t>
      </w:r>
      <w:r>
        <w:t xml:space="preserve">Furthermore, a group averaged plot of the frequency shift between rest and movie can be found in the Supplementary Materials (</w:t>
      </w:r>
      <w:hyperlink w:anchor="suppfig-frequencyshift">
        <w:r>
          <w:rPr>
            <w:rStyle w:val="InternetLink"/>
          </w:rPr>
          <w:t xml:space="preserve">Figure S4</w:t>
        </w:r>
      </w:hyperlink>
      <w:r>
        <w:t xml:space="preserve">).</w:t>
      </w:r>
    </w:p>
    <w:bookmarkEnd w:id="74"/>
    <w:bookmarkEnd w:id="75"/>
    <w:bookmarkStart w:id="76" w:name="re-analysis-using-gannet-1"/>
    <w:p>
      <w:pPr>
        <w:pStyle w:val="Heading2"/>
      </w:pPr>
      <w:r>
        <w:t xml:space="preserve">3.5 Re-analysis using Gannet</w:t>
      </w:r>
    </w:p>
    <w:p>
      <w:pPr>
        <w:pStyle w:val="FirstParagraph"/>
      </w:pPr>
      <w:r>
        <w:t xml:space="preserve">The re-analysis of our results using only the MEGA-PRESS sequence and</w:t>
      </w:r>
      <w:r>
        <w:t xml:space="preserve"> </w:t>
      </w:r>
      <w:r>
        <w:rPr>
          <w:rStyle w:val="VerbatimChar"/>
        </w:rPr>
        <w:t xml:space="preserve">Gannet</w:t>
      </w:r>
      <w:r>
        <w:t xml:space="preserve"> </w:t>
      </w:r>
      <w:r>
        <w:t xml:space="preserve">did not result in any significant changes from the results reported above. We have included these results in the Supplementary Material.</w:t>
      </w:r>
    </w:p>
    <w:bookmarkEnd w:id="76"/>
    <w:bookmarkEnd w:id="77"/>
    <w:bookmarkStart w:id="81" w:name="discussion"/>
    <w:p>
      <w:pPr>
        <w:pStyle w:val="Heading1"/>
      </w:pPr>
      <w:r>
        <w:t xml:space="preserve">4. Discussion</w:t>
      </w:r>
    </w:p>
    <w:p>
      <w:pPr>
        <w:pStyle w:val="FirstParagraph"/>
      </w:pPr>
      <w:r>
        <w:t xml:space="preserve">This study provides the first</w:t>
      </w:r>
      <w:r>
        <w:t xml:space="preserve"> </w:t>
      </w:r>
      <w:r>
        <w:rPr>
          <w:i/>
          <w:iCs/>
        </w:rPr>
        <w:t xml:space="preserve">in vivo</w:t>
      </w:r>
      <w:r>
        <w:t xml:space="preserve"> </w:t>
      </w:r>
      <w:r>
        <w:t xml:space="preserve">human investigation of the relationship between H and the E:I ratio, measured using fMRI and MRS-derived glutamate and GABA levels, respectively. No association was observed between H and E:I, suggesting that these indices may reflect distinct dimensions of neural dynamics. During movie-watching, H increased relative to rest, consistent with stronger long-range temporal dependencies in BOLD activity during visual stimulation. In contrast, Glx, GABA+, and their ratio (E:I) remained stable across conditions. These results indicate that functional signal complexity, as indexed by H, is sensitive to sensory engagement but does not appear to covary with MRS-derived estimates of excitatory–inhibitory balance under the current experimental conditions.</w:t>
      </w:r>
    </w:p>
    <w:p>
      <w:pPr>
        <w:pStyle w:val="TextBody"/>
      </w:pPr>
      <w:r>
        <w:t xml:space="preserve">An increase in H during movie-watching relative to rest aligns with previous work from our lab</w:t>
      </w:r>
      <w:r>
        <w:rPr>
          <w:vertAlign w:val="superscript"/>
        </w:rPr>
        <w:t xml:space="preserve">35</w:t>
      </w:r>
      <w:r>
        <w:t xml:space="preserve">, which reported increased H in the visual network (as defined by Yeo’s seven resting-state networks</w:t>
      </w:r>
      <w:r>
        <w:rPr>
          <w:vertAlign w:val="superscript"/>
        </w:rPr>
        <w:t xml:space="preserve">122</w:t>
      </w:r>
      <w:r>
        <w:t xml:space="preserve">) during movie-watching using data from the Human Connectome Project</w:t>
      </w:r>
      <w:r>
        <w:rPr>
          <w:vertAlign w:val="superscript"/>
        </w:rPr>
        <w:t xml:space="preserve">123</w:t>
      </w:r>
      <w:r>
        <w:t xml:space="preserve">. While this increase in H is consistent with our prior findings, other studies have reported decreases in H during active tasks</w:t>
      </w:r>
      <w:r>
        <w:rPr>
          <w:vertAlign w:val="superscript"/>
        </w:rPr>
        <w:t xml:space="preserve">33,34,36,124</w:t>
      </w:r>
      <w:r>
        <w:t xml:space="preserve">. The current results therefore suggest that the naturalistic, passive nature of movie-watching elicits a different effect on H compared to more active tasks. This interpretation is consistent with evidence indicating distinct neural responses and BOLD signal characteristics between conventional active visual tasks and naturalistic passive visual stimuli</w:t>
      </w:r>
      <w:r>
        <w:rPr>
          <w:vertAlign w:val="superscript"/>
        </w:rPr>
        <w:t xml:space="preserve">35,125</w:t>
      </w:r>
      <w:r>
        <w:t xml:space="preserve">. Higher H during movie-watching may reflect richer scaling properties that support the continuous integration of visual stimuli</w:t>
      </w:r>
      <w:r>
        <w:rPr>
          <w:vertAlign w:val="superscript"/>
        </w:rPr>
        <w:t xml:space="preserve">35</w:t>
      </w:r>
      <w:r>
        <w:t xml:space="preserve">.</w:t>
      </w:r>
    </w:p>
    <w:p>
      <w:pPr>
        <w:pStyle w:val="TextBody"/>
      </w:pPr>
      <w:r>
        <w:t xml:space="preserve">No significant changes were observed in either Glx or GABA+ between conditions. Consequently, the E:I ratio remained stable. The experimental design included both resting and movie-watching conditions to induce measurable differences in H, Glx, and GABA+, providing a wider range of values to test for correlations between these metrics. However, the absence of condition-related differences in Glx and GABA+ complicates interpretation of the null findings. Establishing such changes would have provided a foundation for directly examining the correlation between H and the E:I ratio. Without clear evidence that the paradigm elicited detectable neurochemical variation, it remains uncertain whether the lack of association between H and E:I reflects a genuine independence of these measures or limited sensitivity of the MRS protocol to capture subtle metabolic changes.</w:t>
      </w:r>
    </w:p>
    <w:p>
      <w:pPr>
        <w:pStyle w:val="TextBody"/>
      </w:pPr>
      <w:r>
        <w:t xml:space="preserve">A recent meta-analysis of studies measuring Glu and Glx</w:t>
      </w:r>
      <w:r>
        <w:rPr>
          <w:vertAlign w:val="superscript"/>
        </w:rPr>
        <w:t xml:space="preserve">97</w:t>
      </w:r>
      <w:r>
        <w:t xml:space="preserve"> </w:t>
      </w:r>
      <w:r>
        <w:t xml:space="preserve">reported a minimal task-induced increase in Glu and Glx within the visual cortex, primarily in the context of pain, learning, or motor paradigms rather than visual stimulation. Additionally, many of the studies included were conducted at 7T, offering increased sensitivity for detecting changes in Glu and Glx. Nonetheless, several studies have demonstrated changes in Glu and Glx at 3T</w:t>
      </w:r>
      <w:r>
        <w:rPr>
          <w:vertAlign w:val="superscript"/>
        </w:rPr>
        <w:t xml:space="preserve">126–128</w:t>
      </w:r>
      <w:r>
        <w:t xml:space="preserve">. Regarding our GABA+ findings, the same meta-analysis</w:t>
      </w:r>
      <w:r>
        <w:rPr>
          <w:vertAlign w:val="superscript"/>
        </w:rPr>
        <w:t xml:space="preserve">97</w:t>
      </w:r>
      <w:r>
        <w:t xml:space="preserve"> </w:t>
      </w:r>
      <w:r>
        <w:t xml:space="preserve">reported no task-dependent change in GABA within the visual cortex. This may be attributable to technical difficulties associated with capturing GABA levels using MRS at 3T due to its low concentration and spectral overlap with more abundant metabolites</w:t>
      </w:r>
      <w:r>
        <w:rPr>
          <w:vertAlign w:val="superscript"/>
        </w:rPr>
        <w:t xml:space="preserve">97</w:t>
      </w:r>
      <w:r>
        <w:t xml:space="preserve">. Although, several studies have successfully reported changes in GABA at 3T using different paradigms and/or regions of interest</w:t>
      </w:r>
      <w:r>
        <w:rPr>
          <w:vertAlign w:val="superscript"/>
        </w:rPr>
        <w:t xml:space="preserve">129–131</w:t>
      </w:r>
      <w:r>
        <w:t xml:space="preserve">.</w:t>
      </w:r>
    </w:p>
    <w:p>
      <w:pPr>
        <w:pStyle w:val="TextBody"/>
      </w:pPr>
      <w:r>
        <w:t xml:space="preserve">Another reason changes in Glx or GABA+ may not have been observed could be due to our use of a block-design: collecting 24 minutes of rest data, then collecting 24 minutes of movie-watching data. While a block design has the advantage of a more robust metabolite quantification due to greater signal averaging, brain homeostatis during these long blocks may lead to an erasure of any real metabolic changes</w:t>
      </w:r>
      <w:r>
        <w:rPr>
          <w:vertAlign w:val="superscript"/>
        </w:rPr>
        <w:t xml:space="preserve">128,132</w:t>
      </w:r>
      <w:r>
        <w:t xml:space="preserve">. Indeed, Pasanta et al. (2023)</w:t>
      </w:r>
      <w:r>
        <w:rPr>
          <w:vertAlign w:val="superscript"/>
        </w:rPr>
        <w:t xml:space="preserve">97</w:t>
      </w:r>
      <w:r>
        <w:t xml:space="preserve"> </w:t>
      </w:r>
      <w:r>
        <w:t xml:space="preserve">and Archibald et al. (2020)</w:t>
      </w:r>
      <w:r>
        <w:rPr>
          <w:vertAlign w:val="superscript"/>
        </w:rPr>
        <w:t xml:space="preserve">133</w:t>
      </w:r>
      <w:r>
        <w:t xml:space="preserve"> </w:t>
      </w:r>
      <w:r>
        <w:t xml:space="preserve">reported larger metabolite changes during event-related paradigms compared to block designs, underscoring how task timing and structure can strongly influence the detectability of metabolic modulation with MRS.</w:t>
      </w:r>
    </w:p>
    <w:p>
      <w:pPr>
        <w:pStyle w:val="TextBody"/>
      </w:pPr>
      <w:r>
        <w:t xml:space="preserve">The concept of E:I balance encompasses multiple biological scales and mechanisms beyond neurotransmitter concentrations, including the relative densities of excitatory and inhibitory neurons, synaptic properties, interneuron subtype interactions, and electrophysiological signatures such as 1/f spectral scaling. While the glutamate-to-GABA ratio measured via MRS provides a noninvasive — albeit indirect — estimate of neurochemical E:I balance in humans, it remains a simplification of the underlying complexity. MRS derived values reflect total glutamate and GABA metabolite pools, predominantly intracellular and metabolically active, rather than direct synaptic neurotransmitter release underlying real-time excitation and inhibition. Moreover, conventional MRS measures such as Glx and GABA+ include contributions from glutamine and macromolecules, respectively, limiting their chemical specificity. Therefore, while these metabolites serve as useful proxies related to excitatory and inhibitory neural systems, caution is warranted when interpreting them as direct indices of neurotransmission. Nonetheless, these metabolic pools provide valuable insight into the overall balance of excitation and inhibition within the brain’s microenvironment and remain widely used in human</w:t>
      </w:r>
      <w:r>
        <w:t xml:space="preserve"> </w:t>
      </w:r>
      <w:r>
        <w:rPr>
          <w:i/>
          <w:iCs/>
        </w:rPr>
        <w:t xml:space="preserve">in vivo</w:t>
      </w:r>
      <w:r>
        <w:t xml:space="preserve"> </w:t>
      </w:r>
      <w:r>
        <w:t xml:space="preserve">studies of neural function and dysfunction. Finally, few studies have directly quantified both glutamate and GABA in the same individuals, highlighting the novelty and importance of this approach. Our study acknowledges these limitations and aims to provide a step toward linking neurochemical measures with large-scale brain dynamics related to criticality.</w:t>
      </w:r>
    </w:p>
    <w:p>
      <w:pPr>
        <w:pStyle w:val="TextBody"/>
      </w:pPr>
      <w:r>
        <w:t xml:space="preserve">Alternatively, the present findings may in fact indicate that H and E:I are not directly coupled, or that their relationship is more complex than a simple linear association. This would perhaps not be surprising given the large disparity of findings in the literature, especially with regard to the directionality and linearity of the proposed E:I-Hurst relationship</w:t>
      </w:r>
      <w:r>
        <w:rPr>
          <w:vertAlign w:val="superscript"/>
        </w:rPr>
        <w:t xml:space="preserve">6–12</w:t>
      </w:r>
      <w:r>
        <w:t xml:space="preserve"> </w:t>
      </w:r>
      <w:r>
        <w:t xml:space="preserve">(see</w:t>
      </w:r>
      <w:r>
        <w:t xml:space="preserve"> </w:t>
      </w:r>
      <w:hyperlink w:anchor="tbl-lit">
        <w:r>
          <w:rPr>
            <w:rStyle w:val="InternetLink"/>
          </w:rPr>
          <w:t xml:space="preserve">Table 3</w:t>
        </w:r>
      </w:hyperlink>
      <w:r>
        <w:t xml:space="preserve">).</w:t>
      </w:r>
      <w:r>
        <w:t xml:space="preserve"> </w:t>
      </w:r>
      <w:r>
        <w:t xml:space="preserve">The heterogeneity across these studies underscores the challenges of studying this phenomenon and suggests that any potential E:I-Hurst relationship may depend on experimental context, data acquisition methods, or analysis strategies. Further work is needed to clarify the true nature of this relationship and the conditions under which it might emerge.</w:t>
      </w:r>
    </w:p>
    <w:tbl>
      <w:tblPr>
        <w:tblStyle w:val="Table"/>
        <w:tblW w:type="pct" w:w="5000"/>
        <w:tblLayout w:type="fixed"/>
        <w:tblLook w:firstRow="0" w:lastRow="0" w:firstColumn="0" w:lastColumn="0" w:noHBand="0" w:noVBand="0" w:val="0000"/>
      </w:tblPr>
      <w:tblGrid>
        <w:gridCol w:w="7920"/>
      </w:tblGrid>
      <w:tr>
        <w:tc>
          <w:tcPr/>
          <w:bookmarkStart w:id="78" w:name="tbl-lit"/>
          <w:tbl>
            <w:tblPr>
              <w:tblStyle w:val="Table"/>
              <w:tblW w:type="pct" w:w="5000"/>
              <w:tblLayout w:type="fixed"/>
              <w:tblLook w:firstRow="1" w:lastRow="0" w:firstColumn="0" w:lastColumn="0" w:noHBand="0" w:noVBand="0" w:val="0020"/>
            </w:tblPr>
            <w:tblGrid>
              <w:gridCol w:w="1255"/>
              <w:gridCol w:w="1352"/>
              <w:gridCol w:w="1352"/>
              <w:gridCol w:w="1255"/>
              <w:gridCol w:w="1352"/>
              <w:gridCol w:w="1352"/>
            </w:tblGrid>
            <w:tr>
              <w:trPr>
                <w:tblHeader w:val="on"/>
              </w:trPr>
              <w:tc>
                <w:tcPr/>
                <w:p>
                  <w:pPr>
                    <w:pStyle w:val="Compact"/>
                    <w:jc w:val="left"/>
                    <w:jc w:val="center"/>
                  </w:pPr>
                  <w:r>
                    <w:t xml:space="preserve">Citation</w:t>
                  </w:r>
                </w:p>
              </w:tc>
              <w:tc>
                <w:tcPr/>
                <w:p>
                  <w:pPr>
                    <w:pStyle w:val="Compact"/>
                    <w:jc w:val="left"/>
                    <w:jc w:val="center"/>
                  </w:pPr>
                  <w:r>
                    <w:t xml:space="preserve">Study Type</w:t>
                  </w:r>
                </w:p>
              </w:tc>
              <w:tc>
                <w:tcPr/>
                <w:p>
                  <w:pPr>
                    <w:pStyle w:val="Compact"/>
                    <w:jc w:val="left"/>
                    <w:jc w:val="center"/>
                  </w:pPr>
                  <w:r>
                    <w:t xml:space="preserve">H Data Type</w:t>
                  </w:r>
                </w:p>
              </w:tc>
              <w:tc>
                <w:tcPr/>
                <w:p>
                  <w:pPr>
                    <w:pStyle w:val="Compact"/>
                    <w:jc w:val="left"/>
                    <w:jc w:val="center"/>
                  </w:pPr>
                  <w:r>
                    <w:t xml:space="preserve">H Calculation Method</w:t>
                  </w:r>
                </w:p>
              </w:tc>
              <w:tc>
                <w:tcPr/>
                <w:p>
                  <w:pPr>
                    <w:pStyle w:val="Compact"/>
                    <w:jc w:val="left"/>
                    <w:jc w:val="center"/>
                  </w:pPr>
                  <w:r>
                    <w:t xml:space="preserve">E:I Type</w:t>
                  </w:r>
                </w:p>
              </w:tc>
              <w:tc>
                <w:tcPr/>
                <w:p>
                  <w:pPr>
                    <w:pStyle w:val="Compact"/>
                    <w:jc w:val="left"/>
                    <w:jc w:val="center"/>
                  </w:pPr>
                  <w:r>
                    <w:t xml:space="preserve">E:I-Hurst Relationship</w:t>
                  </w:r>
                </w:p>
              </w:tc>
            </w:tr>
            <w:tr>
              <w:tc>
                <w:tcPr/>
                <w:p>
                  <w:pPr>
                    <w:pStyle w:val="Compact"/>
                    <w:jc w:val="left"/>
                    <w:jc w:val="center"/>
                  </w:pPr>
                  <w:r>
                    <w:t xml:space="preserve">Poil et al. (2012)</w:t>
                  </w:r>
                  <w:r>
                    <w:rPr>
                      <w:vertAlign w:val="superscript"/>
                    </w:rPr>
                    <w:t xml:space="preserve">7</w:t>
                  </w:r>
                </w:p>
              </w:tc>
              <w:tc>
                <w:tcPr/>
                <w:p>
                  <w:pPr>
                    <w:pStyle w:val="Compact"/>
                    <w:jc w:val="left"/>
                    <w:jc w:val="center"/>
                  </w:pPr>
                  <w:r>
                    <w:t xml:space="preserve">Computational with in-house simulated model</w:t>
                  </w:r>
                </w:p>
              </w:tc>
              <w:tc>
                <w:tcPr/>
                <w:p>
                  <w:pPr>
                    <w:pStyle w:val="Compact"/>
                    <w:jc w:val="left"/>
                    <w:jc w:val="center"/>
                  </w:pPr>
                  <w:r>
                    <w:t xml:space="preserve">Neuronal avalanche size</w:t>
                  </w:r>
                </w:p>
              </w:tc>
              <w:tc>
                <w:tcPr/>
                <w:p>
                  <w:pPr>
                    <w:pStyle w:val="Compact"/>
                    <w:jc w:val="left"/>
                    <w:jc w:val="center"/>
                  </w:pPr>
                  <w:r>
                    <w:t xml:space="preserve">Detrendend fluctuation analysis (DFA)</w:t>
                  </w:r>
                </w:p>
              </w:tc>
              <w:tc>
                <w:tcPr/>
                <w:p>
                  <w:pPr>
                    <w:pStyle w:val="Compact"/>
                    <w:jc w:val="left"/>
                    <w:jc w:val="center"/>
                  </w:pPr>
                  <w:r>
                    <w:t xml:space="preserve">Structural: number of E-to-I neurons</w:t>
                  </w:r>
                </w:p>
              </w:tc>
              <w:tc>
                <w:tcPr/>
                <w:p>
                  <w:pPr>
                    <w:pStyle w:val="Compact"/>
                    <w:jc w:val="left"/>
                    <w:jc w:val="center"/>
                  </w:pPr>
                  <w:r>
                    <w:t xml:space="preserve">Inverse U</w:t>
                  </w:r>
                </w:p>
              </w:tc>
            </w:tr>
            <w:tr>
              <w:tc>
                <w:tcPr/>
                <w:p>
                  <w:pPr>
                    <w:pStyle w:val="Compact"/>
                    <w:jc w:val="left"/>
                    <w:jc w:val="center"/>
                  </w:pPr>
                  <w:r>
                    <w:t xml:space="preserve">Bruining et al. (2020)</w:t>
                  </w:r>
                  <w:r>
                    <w:rPr>
                      <w:vertAlign w:val="superscript"/>
                    </w:rPr>
                    <w:t xml:space="preserve">10</w:t>
                  </w:r>
                </w:p>
              </w:tc>
              <w:tc>
                <w:tcPr/>
                <w:p>
                  <w:pPr>
                    <w:pStyle w:val="Compact"/>
                    <w:jc w:val="left"/>
                    <w:jc w:val="center"/>
                  </w:pPr>
                  <w:r>
                    <w:t xml:space="preserve">Computational with model by Poil et al. (2012); modified in-house</w:t>
                  </w:r>
                </w:p>
              </w:tc>
              <w:tc>
                <w:tcPr/>
                <w:p>
                  <w:pPr>
                    <w:pStyle w:val="Compact"/>
                    <w:jc w:val="left"/>
                    <w:jc w:val="center"/>
                  </w:pPr>
                  <w:r>
                    <w:t xml:space="preserve">Neuronal oscillation amplitude</w:t>
                  </w:r>
                </w:p>
              </w:tc>
              <w:tc>
                <w:tcPr/>
                <w:p>
                  <w:pPr>
                    <w:pStyle w:val="Compact"/>
                    <w:jc w:val="left"/>
                    <w:jc w:val="center"/>
                  </w:pPr>
                  <w:r>
                    <w:t xml:space="preserve">DFA</w:t>
                  </w:r>
                </w:p>
              </w:tc>
              <w:tc>
                <w:tcPr/>
                <w:p>
                  <w:pPr>
                    <w:pStyle w:val="Compact"/>
                    <w:jc w:val="left"/>
                    <w:jc w:val="center"/>
                  </w:pPr>
                  <w:r>
                    <w:t xml:space="preserve">Structural: number of E-to-I synapses</w:t>
                  </w:r>
                </w:p>
              </w:tc>
              <w:tc>
                <w:tcPr/>
                <w:p>
                  <w:pPr>
                    <w:pStyle w:val="Compact"/>
                    <w:jc w:val="left"/>
                    <w:jc w:val="center"/>
                  </w:pPr>
                  <w:r>
                    <w:t xml:space="preserve">Inverse U</w:t>
                  </w:r>
                </w:p>
              </w:tc>
            </w:tr>
            <w:tr>
              <w:tc>
                <w:tcPr/>
                <w:p>
                  <w:pPr>
                    <w:pStyle w:val="Compact"/>
                    <w:jc w:val="left"/>
                    <w:jc w:val="center"/>
                  </w:pPr>
                  <w:r>
                    <w:t xml:space="preserve">Gao et al. (2017)</w:t>
                  </w:r>
                  <w:r>
                    <w:rPr>
                      <w:vertAlign w:val="superscript"/>
                    </w:rPr>
                    <w:t xml:space="preserve">12</w:t>
                  </w:r>
                </w:p>
              </w:tc>
              <w:tc>
                <w:tcPr/>
                <w:p>
                  <w:pPr>
                    <w:pStyle w:val="Compact"/>
                    <w:jc w:val="left"/>
                    <w:jc w:val="center"/>
                  </w:pPr>
                  <w:r>
                    <w:t xml:space="preserve">Computational; in vivo in rats and macaques</w:t>
                  </w:r>
                </w:p>
              </w:tc>
              <w:tc>
                <w:tcPr/>
                <w:p>
                  <w:pPr>
                    <w:pStyle w:val="Compact"/>
                    <w:jc w:val="left"/>
                    <w:jc w:val="center"/>
                  </w:pPr>
                  <w:r>
                    <w:t xml:space="preserve">Local field potential (LFP)</w:t>
                  </w:r>
                </w:p>
              </w:tc>
              <w:tc>
                <w:tcPr/>
                <w:p>
                  <w:pPr>
                    <w:pStyle w:val="Compact"/>
                    <w:jc w:val="left"/>
                    <w:jc w:val="center"/>
                  </w:pPr>
                  <w:r>
                    <w:t xml:space="preserve">PSD</w:t>
                  </w:r>
                </w:p>
              </w:tc>
              <w:tc>
                <w:tcPr/>
                <w:p>
                  <w:pPr>
                    <w:pStyle w:val="Compact"/>
                    <w:jc w:val="left"/>
                    <w:jc w:val="center"/>
                  </w:pPr>
                  <w:r>
                    <w:t xml:space="preserve">Estimated from LFP</w:t>
                  </w:r>
                </w:p>
              </w:tc>
              <w:tc>
                <w:tcPr/>
                <w:p>
                  <w:pPr>
                    <w:pStyle w:val="Compact"/>
                    <w:jc w:val="left"/>
                    <w:jc w:val="center"/>
                  </w:pPr>
                  <w:r>
                    <w:t xml:space="preserve">Positive linear</w:t>
                  </w:r>
                </w:p>
              </w:tc>
            </w:tr>
            <w:tr>
              <w:tc>
                <w:tcPr/>
                <w:p>
                  <w:pPr>
                    <w:pStyle w:val="Compact"/>
                    <w:jc w:val="left"/>
                    <w:jc w:val="center"/>
                  </w:pPr>
                  <w:r>
                    <w:t xml:space="preserve">Lombardi et al. (2017)</w:t>
                  </w:r>
                  <w:r>
                    <w:rPr>
                      <w:vertAlign w:val="superscript"/>
                    </w:rPr>
                    <w:t xml:space="preserve">8</w:t>
                  </w:r>
                </w:p>
              </w:tc>
              <w:tc>
                <w:tcPr/>
                <w:p>
                  <w:pPr>
                    <w:pStyle w:val="Compact"/>
                    <w:jc w:val="left"/>
                    <w:jc w:val="center"/>
                  </w:pPr>
                  <w:r>
                    <w:t xml:space="preserve">Computational with in-house model</w:t>
                  </w:r>
                </w:p>
              </w:tc>
              <w:tc>
                <w:tcPr/>
                <w:p>
                  <w:pPr>
                    <w:pStyle w:val="Compact"/>
                    <w:jc w:val="left"/>
                    <w:jc w:val="center"/>
                  </w:pPr>
                  <w:r>
                    <w:t xml:space="preserve">Neuronal avalanche size</w:t>
                  </w:r>
                </w:p>
              </w:tc>
              <w:tc>
                <w:tcPr/>
                <w:p>
                  <w:pPr>
                    <w:pStyle w:val="Compact"/>
                    <w:jc w:val="left"/>
                    <w:jc w:val="center"/>
                  </w:pPr>
                  <w:r>
                    <w:t xml:space="preserve">PSD</w:t>
                  </w:r>
                </w:p>
              </w:tc>
              <w:tc>
                <w:tcPr/>
                <w:p>
                  <w:pPr>
                    <w:pStyle w:val="Compact"/>
                    <w:jc w:val="left"/>
                    <w:jc w:val="center"/>
                  </w:pPr>
                  <w:r>
                    <w:t xml:space="preserve">Structural: number of E-to-I neurons</w:t>
                  </w:r>
                </w:p>
              </w:tc>
              <w:tc>
                <w:tcPr/>
                <w:p>
                  <w:pPr>
                    <w:pStyle w:val="Compact"/>
                    <w:jc w:val="left"/>
                    <w:jc w:val="center"/>
                  </w:pPr>
                  <w:r>
                    <w:t xml:space="preserve">Negative linear</w:t>
                  </w:r>
                </w:p>
              </w:tc>
            </w:tr>
            <w:tr>
              <w:tc>
                <w:tcPr/>
                <w:p>
                  <w:pPr>
                    <w:pStyle w:val="Compact"/>
                    <w:jc w:val="left"/>
                    <w:jc w:val="center"/>
                  </w:pPr>
                  <w:r>
                    <w:t xml:space="preserve">Trakoshis et al. (2020)</w:t>
                  </w:r>
                  <w:r>
                    <w:rPr>
                      <w:vertAlign w:val="superscript"/>
                    </w:rPr>
                    <w:t xml:space="preserve">11</w:t>
                  </w:r>
                </w:p>
              </w:tc>
              <w:tc>
                <w:tcPr/>
                <w:p>
                  <w:pPr>
                    <w:pStyle w:val="Compact"/>
                    <w:jc w:val="left"/>
                    <w:jc w:val="center"/>
                  </w:pPr>
                  <w:r>
                    <w:t xml:space="preserve">Computational with simulated data; in vivo in mice</w:t>
                  </w:r>
                </w:p>
              </w:tc>
              <w:tc>
                <w:tcPr/>
                <w:p>
                  <w:pPr>
                    <w:pStyle w:val="Compact"/>
                    <w:jc w:val="left"/>
                    <w:jc w:val="center"/>
                  </w:pPr>
                  <w:r>
                    <w:t xml:space="preserve">fMRI BOLD signal</w:t>
                  </w:r>
                </w:p>
              </w:tc>
              <w:tc>
                <w:tcPr/>
                <w:p>
                  <w:pPr>
                    <w:pStyle w:val="Compact"/>
                    <w:jc w:val="left"/>
                    <w:jc w:val="center"/>
                  </w:pPr>
                  <w:r>
                    <w:t xml:space="preserve">Wavelet-based maximum likelihood method</w:t>
                  </w:r>
                </w:p>
              </w:tc>
              <w:tc>
                <w:tcPr/>
                <w:p>
                  <w:pPr>
                    <w:pStyle w:val="Compact"/>
                    <w:jc w:val="left"/>
                    <w:jc w:val="center"/>
                  </w:pPr>
                  <w:r>
                    <w:t xml:space="preserve">E-to-I synaptic conductance</w:t>
                  </w:r>
                </w:p>
              </w:tc>
              <w:tc>
                <w:tcPr/>
                <w:p>
                  <w:pPr>
                    <w:pStyle w:val="Compact"/>
                    <w:jc w:val="left"/>
                    <w:jc w:val="center"/>
                  </w:pPr>
                  <w:r>
                    <w:t xml:space="preserve">Negative linear</w:t>
                  </w:r>
                </w:p>
              </w:tc>
            </w:tr>
          </w:tbl>
          <w:p>
            <w:pPr>
              <w:jc w:val="center"/>
            </w:pPr>
            <w:pPr>
              <w:jc w:val="start"/>
              <w:spacing w:before="200"/>
              <w:pStyle w:val="ImageCaption"/>
            </w:pPr>
            <w:r>
              <w:rPr>
                <w:b/>
                <w:bCs/>
              </w:rPr>
              <w:t xml:space="preserve">Table</w:t>
            </w:r>
            <w:r>
              <w:t xml:space="preserve"> 3</w:t>
            </w:r>
            <w:r>
              <w:rPr>
                <w:b/>
                <w:bCs/>
              </w:rPr>
              <w:t xml:space="preserve">.</w:t>
            </w:r>
            <w:r>
              <w:t xml:space="preserve"> </w:t>
            </w:r>
            <w:r>
              <w:rPr>
                <w:b/>
                <w:bCs/>
              </w:rPr>
              <w:t xml:space="preserve">Summary of methods for existing E:I-Hurst studies</w:t>
            </w:r>
          </w:p>
          <w:bookmarkEnd w:id="78"/>
        </w:tc>
      </w:tr>
    </w:tbl>
    <w:p>
      <w:pPr>
        <w:pStyle w:val="TextBody"/>
      </w:pPr>
      <w:r>
        <w:t xml:space="preserve">Our findings specifically show an absence of a robust association between the Hurst exponent and MRS-derived E:I ratio, challenging the assumption that these measures directly reflect a shared underlying mechanism, such as the brain’s distance from criticality. One possibility is that while both H and E:I may independently vary with neural excitability, their relationship is nonlinear or not detectable at the temporal and spatial scales of fMRI and MRS. Additionally, the E:I balance estimated via glutamate and GABA concentrations may reflect metabolic rather than synaptic activity, limiting its correspondence with network dynamics captured by BOLD signal autocorrelation. These results have important implications for studies that use H as a proxy for E:I, particularly in neurodevelopmental or neurodegenerative contexts, and suggest caution in interpreting H as a stand-in for neurochemical balance without direct validation. Future research should investigate whether the relationship emerges under task-driven conditions, in specific brain regions, or in populations with pronounced E:I dysregulation.</w:t>
      </w:r>
    </w:p>
    <w:p>
      <w:pPr>
        <w:pStyle w:val="TextBody"/>
      </w:pPr>
      <w:r>
        <w:t xml:space="preserve">Finally, it is also possible that while an E:I-Hurst relationship exists, it is not observed within the visual cortex. This theory seems plausible given that MRS studies of disrupted E:I, mostly conducted within the context of autistic adults, have found changes in E:I within other brain regions such as the anterior cingulate cortex, frontal lobe, or temporal lobe</w:t>
      </w:r>
      <w:r>
        <w:rPr>
          <w:vertAlign w:val="superscript"/>
        </w:rPr>
        <w:t xml:space="preserve">53</w:t>
      </w:r>
      <w:r>
        <w:t xml:space="preserve">. Moreover, findings with reference to changes in excitatory or inhibitory neurotransmitters within the visual cortex tend to be difficult to capture, perhaps indicating that E:I shows less changes in this region</w:t>
      </w:r>
      <w:r>
        <w:rPr>
          <w:vertAlign w:val="superscript"/>
        </w:rPr>
        <w:t xml:space="preserve">97</w:t>
      </w:r>
      <w:r>
        <w:t xml:space="preserve">. However, this would suggest that the E:I-H relationship would be region dependent, and therefore not a global theory as it is often portrayed.</w:t>
      </w:r>
    </w:p>
    <w:p>
      <w:pPr>
        <w:pStyle w:val="TextBody"/>
      </w:pPr>
      <w:r>
        <w:t xml:space="preserve">As both H and E:I have been known to change with age, we did not seek to limit our sample to any specific age range. Furthermore, other physiological details — such as caffeine, nicotine, phase of the menstrual cycle, gender, and medication use — were not collected, as the core E:I-Hurst theory posits a global relationship that should hold irrespective of specific brain states or transient physiological factors. Additionally, our within-subjects design strengthens this approach: our core analyses assessing changes between resting state and movie-watching were paired, with each participant serving as their own control. This reduces the influence of inter-individual variability, including age-related and other brain-state effects.</w:t>
      </w:r>
    </w:p>
    <w:bookmarkStart w:id="79" w:name="limitations-and-strengths"/>
    <w:p>
      <w:pPr>
        <w:pStyle w:val="Heading2"/>
      </w:pPr>
      <w:r>
        <w:t xml:space="preserve">4.1 Limitations and Strengths</w:t>
      </w:r>
    </w:p>
    <w:p>
      <w:pPr>
        <w:pStyle w:val="FirstParagraph"/>
      </w:pPr>
      <w:r>
        <w:t xml:space="preserve">Beyond the limitations already mentioned (field strength, visual cortex, passive task, block design), another limitation was our small sample size. As this was a pilot study, 26 participants were initially scanned. Once individuals were excluded for poor MRI quality, only 18 participants’ data were analyzed. With this small sample size, it is difficult to make conclusions about a concept as complex as the E:I-Hurst relationship.</w:t>
      </w:r>
    </w:p>
    <w:p>
      <w:pPr>
        <w:pStyle w:val="TextBody"/>
      </w:pPr>
      <w:r>
        <w:t xml:space="preserve">It is also important to note that MRS measures reflect total glutamate and GABA metabolite pools, predominantly intracellular and involved in metabolic processes, rather than direct synaptic neurotransmitter release. Furthermore, commonly used measures such as Glx and GABA+ include signals from glutamine and macromolecules, respectively, limiting their chemical specificity. Therefore, while these metabolites serve as useful proxies related to excitatory and inhibitory neural systems, caution is warranted when interpreting them as direct indices of neurotransmission. Nonetheless, these metabolic pools provide valuable insight into the overall balance of excitation and inhibition within the brain’s microenvironment and remain widely used in human</w:t>
      </w:r>
      <w:r>
        <w:t xml:space="preserve"> </w:t>
      </w:r>
      <w:r>
        <w:rPr>
          <w:i/>
          <w:iCs/>
        </w:rPr>
        <w:t xml:space="preserve">in vivo</w:t>
      </w:r>
      <w:r>
        <w:t xml:space="preserve"> </w:t>
      </w:r>
      <w:r>
        <w:t xml:space="preserve">studies of neural function and dysfunction. Although voxel placement was guided by anatomical landmarks and performed by trained personnel, some variability in voxel location across subjects and sessions may have introduced noise in metabolite quantification. Future studies may benefit from automated alignment and formal voxel overlap analysis to reduce this source of variability. Furthermore, our MRS voxels were placed once for the first MRS sequence, and copied for the subsequent MRS runs. This</w:t>
      </w:r>
      <w:r>
        <w:t xml:space="preserve"> </w:t>
      </w:r>
      <w:r>
        <w:t xml:space="preserve">‘</w:t>
      </w:r>
      <w:r>
        <w:t xml:space="preserve">cloning</w:t>
      </w:r>
      <w:r>
        <w:t xml:space="preserve">’</w:t>
      </w:r>
      <w:r>
        <w:t xml:space="preserve"> </w:t>
      </w:r>
      <w:r>
        <w:t xml:space="preserve">assumes nominal stability and does not capture any potential effective sampling differences due to head motion or shim-related changes.</w:t>
      </w:r>
      <w:r>
        <w:t xml:space="preserve"> </w:t>
      </w:r>
      <w:r>
        <w:t xml:space="preserve">Future studies may also wish to acquire high resolution anatomical scans before each MRS run in order to re-align the MRS voxel and to quantify: intra-subject voxel movement; voxel dice coefficient: overlap of runs (ideally &gt;0.90); center-of-mass distance: Euclidean shift (mm) between runs (e.g. threshold &gt;5mm outlier).</w:t>
      </w:r>
      <w:r>
        <w:t xml:space="preserve"> </w:t>
      </w:r>
      <w:r>
        <w:t xml:space="preserve">We did not explicitly monitor scanner frequency drift following the fMRI runs. Heating-related drift can affect the stability of MRS sequences, potentially introducing variability in glutamate and GABA quantification</w:t>
      </w:r>
      <w:r>
        <w:rPr>
          <w:vertAlign w:val="superscript"/>
        </w:rPr>
        <w:t xml:space="preserve">134</w:t>
      </w:r>
      <w:r>
        <w:t xml:space="preserve">. While all MRS data were visually inspected for quality, we cannot rule out subtle effects of drift, which may have contributed to noise in the E:I measurements. We included frequency drift in our linear mixed-effects models in an attempt to control for these confounds. For future research, we highly recommend prospective drift corrections to address these issues.</w:t>
      </w:r>
      <w:r>
        <w:t xml:space="preserve"> </w:t>
      </w:r>
      <w:r>
        <w:t xml:space="preserve">Finally, the order of scanning conditions (rest followed by movie-watching) was not pseudorandomized. This may introduce potential order-related confounds, such as physiological adaptation or scanner drift, which could influence the observed differences between conditions.</w:t>
      </w:r>
    </w:p>
    <w:p>
      <w:pPr>
        <w:pStyle w:val="TextBody"/>
      </w:pPr>
      <w:r>
        <w:t xml:space="preserve">An additional avenue for future research involves dynamic fMRS, which seeks to capture time-varying changes in metabolite levels during task performance. While promising, such approaches currently face substantial limitations in signal-to-noise ratio and temporal resolution, particularly for edited GABA measures. Our study was not optimized for dynamic fitting, but future work could explore how fluctuations in neurometabolites relate to moment-to-moment variations in BOLD signal complexity.</w:t>
      </w:r>
    </w:p>
    <w:p>
      <w:pPr>
        <w:pStyle w:val="TextBody"/>
      </w:pPr>
      <w:r>
        <w:t xml:space="preserve">We hope that by future researchers can use our reported effect sizes to calculate potential sample sizes. We would also like to list some of the strengths of our study, which include: using sLASER (as opposed to PRESS), which has been shown to have enhanced detection of complex multiplets such as Glx/Glu</w:t>
      </w:r>
      <w:r>
        <w:rPr>
          <w:vertAlign w:val="superscript"/>
        </w:rPr>
        <w:t xml:space="preserve">78</w:t>
      </w:r>
      <w:r>
        <w:t xml:space="preserve">; using the J-editing sequence MEGA-PRESS for improved GABA detection</w:t>
      </w:r>
      <w:r>
        <w:rPr>
          <w:vertAlign w:val="superscript"/>
        </w:rPr>
        <w:t xml:space="preserve">56</w:t>
      </w:r>
      <w:r>
        <w:t xml:space="preserve">; using a large MRS voxel size (~22 ml) as per consensus recommendations</w:t>
      </w:r>
      <w:r>
        <w:rPr>
          <w:vertAlign w:val="superscript"/>
        </w:rPr>
        <w:t xml:space="preserve">135–137</w:t>
      </w:r>
      <w:r>
        <w:t xml:space="preserve">; measuring H within the same region as our single-voxel MRS; and using multi-echo fMRI for improved motion artifact regression</w:t>
      </w:r>
      <w:r>
        <w:rPr>
          <w:vertAlign w:val="superscript"/>
        </w:rPr>
        <w:t xml:space="preserve">138</w:t>
      </w:r>
      <w:r>
        <w:t xml:space="preserve">.</w:t>
      </w:r>
    </w:p>
    <w:bookmarkEnd w:id="79"/>
    <w:bookmarkStart w:id="80" w:name="lessons-for-future-researchers"/>
    <w:p>
      <w:pPr>
        <w:pStyle w:val="Heading2"/>
      </w:pPr>
      <w:r>
        <w:t xml:space="preserve">4.2 Lessons for Future Researchers</w:t>
      </w:r>
    </w:p>
    <w:p>
      <w:pPr>
        <w:pStyle w:val="FirstParagraph"/>
      </w:pPr>
      <w:r>
        <w:t xml:space="preserve">Finally, we hope that we can provide some guidance to future researchers. The following is a non-exhaustive list of suggestions for future work:</w:t>
      </w:r>
    </w:p>
    <w:p>
      <w:pPr>
        <w:pStyle w:val="Compact"/>
        <w:numPr>
          <w:ilvl w:val="0"/>
          <w:numId w:val="1001"/>
        </w:numPr>
      </w:pPr>
      <w:r>
        <w:t xml:space="preserve">future studies should consider using ultra-high-field 7T MRI, which provides improved spectral resolution and more reliable detection of Glu and GABA compared to conventional 3T MRI</w:t>
      </w:r>
      <w:r>
        <w:rPr>
          <w:vertAlign w:val="superscript"/>
        </w:rPr>
        <w:t xml:space="preserve">139</w:t>
      </w:r>
      <w:r>
        <w:t xml:space="preserve">;</w:t>
      </w:r>
    </w:p>
    <w:p>
      <w:pPr>
        <w:pStyle w:val="Compact"/>
        <w:numPr>
          <w:ilvl w:val="0"/>
          <w:numId w:val="1001"/>
        </w:numPr>
      </w:pPr>
      <w:r>
        <w:t xml:space="preserve">examining paradigms that have consistently demonstrated alterations in these metabolites, such as pain studies, may enhance the likelihood of detecting changes in Glu and GABA</w:t>
      </w:r>
      <w:r>
        <w:rPr>
          <w:vertAlign w:val="superscript"/>
        </w:rPr>
        <w:t xml:space="preserve">126,127,133</w:t>
      </w:r>
      <w:r>
        <w:t xml:space="preserve">.</w:t>
      </w:r>
    </w:p>
    <w:p>
      <w:pPr>
        <w:pStyle w:val="Compact"/>
        <w:numPr>
          <w:ilvl w:val="0"/>
          <w:numId w:val="1001"/>
        </w:numPr>
      </w:pPr>
      <w:r>
        <w:t xml:space="preserve">exploring brain regions beyond the visual cortex, such as the anterior cingulate cortex, which is commonly implicated in pain processing</w:t>
      </w:r>
      <w:r>
        <w:rPr>
          <w:vertAlign w:val="superscript"/>
        </w:rPr>
        <w:t xml:space="preserve">133,140–142</w:t>
      </w:r>
      <w:r>
        <w:t xml:space="preserve">;</w:t>
      </w:r>
    </w:p>
    <w:p>
      <w:pPr>
        <w:pStyle w:val="Compact"/>
        <w:numPr>
          <w:ilvl w:val="0"/>
          <w:numId w:val="1001"/>
        </w:numPr>
      </w:pPr>
      <w:r>
        <w:t xml:space="preserve">including a more diverse participant sample — beyond healthy controls — may help capture a wider range of H and E:I values, potentially improving sensitivity to metabolite-related changes;</w:t>
      </w:r>
    </w:p>
    <w:p>
      <w:pPr>
        <w:pStyle w:val="Compact"/>
        <w:numPr>
          <w:ilvl w:val="0"/>
          <w:numId w:val="1001"/>
        </w:numPr>
      </w:pPr>
      <w:r>
        <w:t xml:space="preserve">increasing sample size in order to detect small effect sizes;</w:t>
      </w:r>
    </w:p>
    <w:p>
      <w:pPr>
        <w:pStyle w:val="Compact"/>
        <w:numPr>
          <w:ilvl w:val="0"/>
          <w:numId w:val="1001"/>
        </w:numPr>
      </w:pPr>
      <w:r>
        <w:t xml:space="preserve">using an event-related design, as opposed to the block design we used, may provide more sensitivity to detecting rapid and transient neural responses due to its ability to isolate specific events within the scan session</w:t>
      </w:r>
      <w:r>
        <w:rPr>
          <w:vertAlign w:val="superscript"/>
        </w:rPr>
        <w:t xml:space="preserve">143</w:t>
      </w:r>
      <w:r>
        <w:t xml:space="preserve">. However, see Pasanta et al. (2023)</w:t>
      </w:r>
      <w:r>
        <w:rPr>
          <w:vertAlign w:val="superscript"/>
        </w:rPr>
        <w:t xml:space="preserve">97</w:t>
      </w:r>
      <w:r>
        <w:t xml:space="preserve"> </w:t>
      </w:r>
      <w:r>
        <w:t xml:space="preserve">for a longer discussion and possible downsides to this approach;</w:t>
      </w:r>
    </w:p>
    <w:p>
      <w:pPr>
        <w:pStyle w:val="Compact"/>
        <w:numPr>
          <w:ilvl w:val="0"/>
          <w:numId w:val="1001"/>
        </w:numPr>
      </w:pPr>
      <w:r>
        <w:t xml:space="preserve">and finally, using a combined fMRI-MRS sequence</w:t>
      </w:r>
      <w:r>
        <w:rPr>
          <w:vertAlign w:val="superscript"/>
        </w:rPr>
        <w:t xml:space="preserve">77,144</w:t>
      </w:r>
      <w:r>
        <w:t xml:space="preserve"> </w:t>
      </w:r>
      <w:r>
        <w:t xml:space="preserve">to measure BOLD and Glu/GABA near-simultaneously.</w:t>
      </w:r>
    </w:p>
    <w:p>
      <w:pPr>
        <w:pStyle w:val="FirstParagraph"/>
      </w:pPr>
      <w:r>
        <w:t xml:space="preserve">Together, these considerations may help in overcoming the limitations observed in the present study and contribute to a clearer understanding of the potential relationship between E:I and H.</w:t>
      </w:r>
    </w:p>
    <w:bookmarkEnd w:id="80"/>
    <w:bookmarkEnd w:id="81"/>
    <w:bookmarkStart w:id="82" w:name="conclusion"/>
    <w:p>
      <w:pPr>
        <w:pStyle w:val="Heading1"/>
      </w:pPr>
      <w:r>
        <w:t xml:space="preserve">5. Conclusion</w:t>
      </w:r>
    </w:p>
    <w:p>
      <w:pPr>
        <w:pStyle w:val="FirstParagraph"/>
      </w:pPr>
      <w:r>
        <w:t xml:space="preserve">In conclusion, the results do not support a relationship between H and the E:I ratio in the visual cortex either during rest or during movie-watching at 3T in humans. Although a task-related increase in H was observed, no accompanying changes were detected in Glu, GABA, or E:I between movie and rest. Comparing our findings to the broader literature, E:I balance may be too subtle to be detected with conventional 3T MRS methods</w:t>
      </w:r>
      <w:r>
        <w:rPr>
          <w:vertAlign w:val="superscript"/>
        </w:rPr>
        <w:t xml:space="preserve">139</w:t>
      </w:r>
      <w:r>
        <w:t xml:space="preserve">. Therefore, higher-field (7T) or multi-voxel fMRS studies would be needed to confirm. With regards to the broader E:I-Hurst relationship, we similarly suggest that either this relationship is insufficiently captured with our methods, or that the relationship between these two variables may be more complex than originally envisaged — perhaps they are not directly related, but rather connected through other mediating variables in a non-linear fashion. To our knowledge, this is the first</w:t>
      </w:r>
      <w:r>
        <w:t xml:space="preserve"> </w:t>
      </w:r>
      <w:r>
        <w:rPr>
          <w:i/>
          <w:iCs/>
        </w:rPr>
        <w:t xml:space="preserve">in vivo</w:t>
      </w:r>
      <w:r>
        <w:t xml:space="preserve"> </w:t>
      </w:r>
      <w:r>
        <w:t xml:space="preserve">human study to test for this relationship. It is our hope that as the literature grows, more authors will examine this relationship with respect to other brain regions and using other methods, and will use the lessons learned in this study to inform their own. Hopefully then it will be possible to corroborate findings to probe the complex relationships that may exist with regards to H and E:I in the human brain.</w:t>
      </w:r>
    </w:p>
    <w:bookmarkEnd w:id="82"/>
    <w:bookmarkStart w:id="84" w:name="data-availability-statement"/>
    <w:p>
      <w:pPr>
        <w:pStyle w:val="Heading1"/>
      </w:pPr>
      <w:r>
        <w:t xml:space="preserve">Data availability statement</w:t>
      </w:r>
    </w:p>
    <w:p>
      <w:pPr>
        <w:pStyle w:val="FirstParagraph"/>
      </w:pPr>
      <w:r>
        <w:t xml:space="preserve">All code used in this paper is available at</w:t>
      </w:r>
      <w:r>
        <w:t xml:space="preserve"> </w:t>
      </w:r>
      <w:hyperlink r:id="rId33">
        <w:r>
          <w:rPr>
            <w:rStyle w:val="InternetLink"/>
          </w:rPr>
          <w:t xml:space="preserve">github.com/WeberLab/EI_Hurst_Analysis</w:t>
        </w:r>
      </w:hyperlink>
      <w:r>
        <w:t xml:space="preserve">. The raw MRI data used in this paper is available by contacting the author. The manuscript was written in a</w:t>
      </w:r>
      <w:r>
        <w:t xml:space="preserve"> </w:t>
      </w:r>
      <w:r>
        <w:t xml:space="preserve">‘</w:t>
      </w:r>
      <w:r>
        <w:t xml:space="preserve">reproducible manner</w:t>
      </w:r>
      <w:r>
        <w:t xml:space="preserve">’</w:t>
      </w:r>
      <w:r>
        <w:t xml:space="preserve">: the entire manuscript, including statistics reported, figures, and tables, can be reproduced here:</w:t>
      </w:r>
      <w:r>
        <w:t xml:space="preserve"> </w:t>
      </w:r>
      <w:hyperlink r:id="rId83">
        <w:r>
          <w:rPr>
            <w:rStyle w:val="InternetLink"/>
          </w:rPr>
          <w:t xml:space="preserve">weberlab.github.io/EI_Hurst_Manuscript/</w:t>
        </w:r>
      </w:hyperlink>
    </w:p>
    <w:bookmarkEnd w:id="84"/>
    <w:bookmarkStart w:id="85" w:name="competing-interests"/>
    <w:p>
      <w:pPr>
        <w:pStyle w:val="Heading1"/>
      </w:pPr>
      <w:r>
        <w:t xml:space="preserve">Competing interests</w:t>
      </w:r>
    </w:p>
    <w:p>
      <w:pPr>
        <w:pStyle w:val="FirstParagraph"/>
      </w:pPr>
      <w:r>
        <w:t xml:space="preserve">The authors declare they have no known competing interests.</w:t>
      </w:r>
    </w:p>
    <w:bookmarkEnd w:id="85"/>
    <w:bookmarkStart w:id="86" w:name="author-contributions"/>
    <w:p>
      <w:pPr>
        <w:pStyle w:val="Heading1"/>
      </w:pPr>
      <w:r>
        <w:t xml:space="preserve">Author contributions</w:t>
      </w:r>
    </w:p>
    <w:p>
      <w:pPr>
        <w:pStyle w:val="FirstParagraph"/>
      </w:pPr>
      <w:r>
        <w:t xml:space="preserve">LS performed data curation, formal analysis, investigation, software, visualization, and wrote the original draft.</w:t>
      </w:r>
      <w:r>
        <w:t xml:space="preserve"> </w:t>
      </w:r>
      <w:r>
        <w:t xml:space="preserve">JA helped with validation, visualization, and reviewed and edited the manuscript.</w:t>
      </w:r>
      <w:r>
        <w:t xml:space="preserve"> </w:t>
      </w:r>
      <w:r>
        <w:t xml:space="preserve">AMW was responsible for conceptualization, data curation, formal analysis, funding acquisition, investigation, methodology, project administration, resources, supervision, validation, visualization, and writing - review &amp; editing.</w:t>
      </w:r>
    </w:p>
    <w:bookmarkEnd w:id="86"/>
    <w:bookmarkStart w:id="87" w:name="acknowledgements"/>
    <w:p>
      <w:pPr>
        <w:pStyle w:val="Heading1"/>
      </w:pPr>
      <w:r>
        <w:t xml:space="preserve">Acknowledgements</w:t>
      </w:r>
    </w:p>
    <w:p>
      <w:pPr>
        <w:pStyle w:val="FirstParagraph"/>
      </w:pPr>
      <w:r>
        <w:t xml:space="preserve">The work presented in this paper was supported in part from funding from the British Columbia Children’s Hospital Foundation, and an NSERC Discovery Grant.</w:t>
      </w:r>
    </w:p>
    <w:bookmarkEnd w:id="87"/>
    <w:bookmarkStart w:id="376" w:name="references"/>
    <w:p>
      <w:pPr>
        <w:pStyle w:val="Heading1"/>
      </w:pPr>
      <w:r>
        <w:t xml:space="preserve">References</w:t>
      </w:r>
    </w:p>
    <w:bookmarkStart w:id="375" w:name="refs"/>
    <w:bookmarkStart w:id="89" w:name="ref-decoRestingBrainsNever2013"/>
    <w:p>
      <w:pPr>
        <w:pStyle w:val="Bibliography"/>
      </w:pPr>
      <w:r>
        <w:t xml:space="preserve">1.</w:t>
      </w:r>
      <w:r>
        <w:t xml:space="preserve"> </w:t>
      </w:r>
      <w:r>
        <w:t xml:space="preserve">	</w:t>
      </w:r>
      <w:r>
        <w:t xml:space="preserve">Deco, G., Jirsa, V. K. &amp; McIntosh, A. R.</w:t>
      </w:r>
      <w:r>
        <w:t xml:space="preserve"> </w:t>
      </w:r>
      <w:hyperlink r:id="rId88">
        <w:r>
          <w:rPr>
            <w:rStyle w:val="InternetLink"/>
          </w:rPr>
          <w:t xml:space="preserve">Resting brains never rest: Computational insights into potential cognitive architectures</w:t>
        </w:r>
      </w:hyperlink>
      <w:r>
        <w:t xml:space="preserve">.</w:t>
      </w:r>
      <w:r>
        <w:t xml:space="preserve"> </w:t>
      </w:r>
      <w:r>
        <w:rPr>
          <w:i/>
          <w:iCs/>
        </w:rPr>
        <w:t xml:space="preserve">Trends in Neurosciences</w:t>
      </w:r>
      <w:r>
        <w:t xml:space="preserve"> </w:t>
      </w:r>
      <w:r>
        <w:rPr>
          <w:b/>
          <w:bCs/>
        </w:rPr>
        <w:t xml:space="preserve">36</w:t>
      </w:r>
      <w:r>
        <w:t xml:space="preserve">, 268–274 (2013).</w:t>
      </w:r>
    </w:p>
    <w:bookmarkEnd w:id="89"/>
    <w:bookmarkStart w:id="90" w:name="ref-beggsBeingCriticalCriticality2012"/>
    <w:p>
      <w:pPr>
        <w:pStyle w:val="Bibliography"/>
      </w:pPr>
      <w:r>
        <w:t xml:space="preserve">2.</w:t>
      </w:r>
      <w:r>
        <w:t xml:space="preserve"> </w:t>
      </w:r>
      <w:r>
        <w:t xml:space="preserve">	</w:t>
      </w:r>
      <w:r>
        <w:t xml:space="preserve">Beggs, J. &amp; Timme, N. Being</w:t>
      </w:r>
      <w:r>
        <w:t xml:space="preserve"> </w:t>
      </w:r>
      <w:r>
        <w:t xml:space="preserve">Critical</w:t>
      </w:r>
      <w:r>
        <w:t xml:space="preserve"> </w:t>
      </w:r>
      <w:r>
        <w:t xml:space="preserve">of</w:t>
      </w:r>
      <w:r>
        <w:t xml:space="preserve"> </w:t>
      </w:r>
      <w:r>
        <w:t xml:space="preserve">Criticality</w:t>
      </w:r>
      <w:r>
        <w:t xml:space="preserve"> </w:t>
      </w:r>
      <w:r>
        <w:t xml:space="preserve">in the</w:t>
      </w:r>
      <w:r>
        <w:t xml:space="preserve"> </w:t>
      </w:r>
      <w:r>
        <w:t xml:space="preserve">Brain</w:t>
      </w:r>
      <w:r>
        <w:t xml:space="preserve">.</w:t>
      </w:r>
      <w:r>
        <w:t xml:space="preserve"> </w:t>
      </w:r>
      <w:r>
        <w:rPr>
          <w:i/>
          <w:iCs/>
        </w:rPr>
        <w:t xml:space="preserve">Frontiers in Physiology</w:t>
      </w:r>
      <w:r>
        <w:t xml:space="preserve"> </w:t>
      </w:r>
      <w:r>
        <w:rPr>
          <w:b/>
          <w:bCs/>
        </w:rPr>
        <w:t xml:space="preserve">3</w:t>
      </w:r>
      <w:r>
        <w:t xml:space="preserve">, (2012).</w:t>
      </w:r>
    </w:p>
    <w:bookmarkEnd w:id="90"/>
    <w:bookmarkStart w:id="91" w:name="ref-barangerChaosComplexityEntropy2000"/>
    <w:p>
      <w:pPr>
        <w:pStyle w:val="Bibliography"/>
      </w:pPr>
      <w:r>
        <w:t xml:space="preserve">3.</w:t>
      </w:r>
      <w:r>
        <w:t xml:space="preserve"> </w:t>
      </w:r>
      <w:r>
        <w:t xml:space="preserve">	</w:t>
      </w:r>
      <w:r>
        <w:t xml:space="preserve">Baranger, M. Chaos,</w:t>
      </w:r>
      <w:r>
        <w:t xml:space="preserve"> </w:t>
      </w:r>
      <w:r>
        <w:t xml:space="preserve">Complexity</w:t>
      </w:r>
      <w:r>
        <w:t xml:space="preserve">, and</w:t>
      </w:r>
      <w:r>
        <w:t xml:space="preserve"> </w:t>
      </w:r>
      <w:r>
        <w:t xml:space="preserve">Entropy</w:t>
      </w:r>
      <w:r>
        <w:t xml:space="preserve">:</w:t>
      </w:r>
      <w:r>
        <w:t xml:space="preserve"> </w:t>
      </w:r>
      <w:r>
        <w:t xml:space="preserve">A</w:t>
      </w:r>
      <w:r>
        <w:t xml:space="preserve"> </w:t>
      </w:r>
      <w:r>
        <w:t xml:space="preserve">physics talk for non-physicists.</w:t>
      </w:r>
      <w:r>
        <w:t xml:space="preserve"> </w:t>
      </w:r>
      <w:r>
        <w:rPr>
          <w:i/>
          <w:iCs/>
        </w:rPr>
        <w:t xml:space="preserve">New England Complex Systems Institute</w:t>
      </w:r>
      <w:r>
        <w:t xml:space="preserve"> </w:t>
      </w:r>
      <w:r>
        <w:t xml:space="preserve">(2000).</w:t>
      </w:r>
    </w:p>
    <w:bookmarkEnd w:id="91"/>
    <w:bookmarkStart w:id="93" w:name="X3987a7f9f2843d143a6b08774176d9ab9bc4f8d"/>
    <w:p>
      <w:pPr>
        <w:pStyle w:val="Bibliography"/>
      </w:pPr>
      <w:r>
        <w:t xml:space="preserve">4.</w:t>
      </w:r>
      <w:r>
        <w:t xml:space="preserve"> </w:t>
      </w:r>
      <w:r>
        <w:t xml:space="preserve">	</w:t>
      </w:r>
      <w:r>
        <w:t xml:space="preserve">Bassett, D. S. &amp; Gazzaniga, M. S.</w:t>
      </w:r>
      <w:r>
        <w:t xml:space="preserve"> </w:t>
      </w:r>
      <w:hyperlink r:id="rId92">
        <w:r>
          <w:rPr>
            <w:rStyle w:val="InternetLink"/>
          </w:rPr>
          <w:t xml:space="preserve">Understanding complexity in the human brain</w:t>
        </w:r>
      </w:hyperlink>
      <w:r>
        <w:t xml:space="preserve">.</w:t>
      </w:r>
      <w:r>
        <w:t xml:space="preserve"> </w:t>
      </w:r>
      <w:r>
        <w:rPr>
          <w:i/>
          <w:iCs/>
        </w:rPr>
        <w:t xml:space="preserve">Trends in cognitive sciences</w:t>
      </w:r>
      <w:r>
        <w:t xml:space="preserve"> </w:t>
      </w:r>
      <w:r>
        <w:rPr>
          <w:b/>
          <w:bCs/>
        </w:rPr>
        <w:t xml:space="preserve">15</w:t>
      </w:r>
      <w:r>
        <w:t xml:space="preserve">, 200–209 (2011).</w:t>
      </w:r>
    </w:p>
    <w:bookmarkEnd w:id="93"/>
    <w:bookmarkStart w:id="94" w:name="ref-zimmernWhyBrainCriticality2020"/>
    <w:p>
      <w:pPr>
        <w:pStyle w:val="Bibliography"/>
      </w:pPr>
      <w:r>
        <w:t xml:space="preserve">5.</w:t>
      </w:r>
      <w:r>
        <w:t xml:space="preserve"> </w:t>
      </w:r>
      <w:r>
        <w:t xml:space="preserve">	</w:t>
      </w:r>
      <w:r>
        <w:t xml:space="preserve">Zimmern, V. Why</w:t>
      </w:r>
      <w:r>
        <w:t xml:space="preserve"> </w:t>
      </w:r>
      <w:r>
        <w:t xml:space="preserve">Brain Criticality Is Clinically Relevant</w:t>
      </w:r>
      <w:r>
        <w:t xml:space="preserve">:</w:t>
      </w:r>
      <w:r>
        <w:t xml:space="preserve"> </w:t>
      </w:r>
      <w:r>
        <w:t xml:space="preserve">A Scoping Review</w:t>
      </w:r>
      <w:r>
        <w:t xml:space="preserve">.</w:t>
      </w:r>
      <w:r>
        <w:t xml:space="preserve"> </w:t>
      </w:r>
      <w:r>
        <w:rPr>
          <w:i/>
          <w:iCs/>
        </w:rPr>
        <w:t xml:space="preserve">Frontiers in Neural Circuits</w:t>
      </w:r>
      <w:r>
        <w:t xml:space="preserve"> </w:t>
      </w:r>
      <w:r>
        <w:rPr>
          <w:b/>
          <w:bCs/>
        </w:rPr>
        <w:t xml:space="preserve">14</w:t>
      </w:r>
      <w:r>
        <w:t xml:space="preserve">, (2020).</w:t>
      </w:r>
    </w:p>
    <w:bookmarkEnd w:id="94"/>
    <w:bookmarkStart w:id="96" w:name="ref-liangExcitationInhibitionBalance2024"/>
    <w:p>
      <w:pPr>
        <w:pStyle w:val="Bibliography"/>
      </w:pPr>
      <w:r>
        <w:t xml:space="preserve">6.</w:t>
      </w:r>
      <w:r>
        <w:t xml:space="preserve"> </w:t>
      </w:r>
      <w:r>
        <w:t xml:space="preserve">	</w:t>
      </w:r>
      <w:r>
        <w:t xml:space="preserve">Liang, J., Yang, Z. &amp; Zhou, C. Excitation–</w:t>
      </w:r>
      <w:r>
        <w:t xml:space="preserve">Inhibition Balance</w:t>
      </w:r>
      <w:r>
        <w:t xml:space="preserve">,</w:t>
      </w:r>
      <w:r>
        <w:t xml:space="preserve"> </w:t>
      </w:r>
      <w:r>
        <w:t xml:space="preserve">Neural Criticality</w:t>
      </w:r>
      <w:r>
        <w:t xml:space="preserve">, and</w:t>
      </w:r>
      <w:r>
        <w:t xml:space="preserve"> </w:t>
      </w:r>
      <w:r>
        <w:t xml:space="preserve">Activities</w:t>
      </w:r>
      <w:r>
        <w:t xml:space="preserve"> </w:t>
      </w:r>
      <w:r>
        <w:t xml:space="preserve">in</w:t>
      </w:r>
      <w:r>
        <w:t xml:space="preserve"> </w:t>
      </w:r>
      <w:r>
        <w:t xml:space="preserve">Neuronal Circuits</w:t>
      </w:r>
      <w:r>
        <w:t xml:space="preserve">.</w:t>
      </w:r>
      <w:r>
        <w:t xml:space="preserve"> </w:t>
      </w:r>
      <w:r>
        <w:rPr>
          <w:i/>
          <w:iCs/>
        </w:rPr>
        <w:t xml:space="preserve">The Neuroscientist</w:t>
      </w:r>
      <w:r>
        <w:t xml:space="preserve"> </w:t>
      </w:r>
      <w:r>
        <w:t xml:space="preserve">10738584231221766 (2024) doi:</w:t>
      </w:r>
      <w:hyperlink r:id="rId95">
        <w:r>
          <w:rPr>
            <w:rStyle w:val="InternetLink"/>
          </w:rPr>
          <w:t xml:space="preserve">10.1177/10738584231221766</w:t>
        </w:r>
      </w:hyperlink>
      <w:r>
        <w:t xml:space="preserve">.</w:t>
      </w:r>
    </w:p>
    <w:bookmarkEnd w:id="96"/>
    <w:bookmarkStart w:id="98" w:name="X20d0cf3ec565b8629ae2c9ca09a74c20c06019f"/>
    <w:p>
      <w:pPr>
        <w:pStyle w:val="Bibliography"/>
      </w:pPr>
      <w:r>
        <w:t xml:space="preserve">7.</w:t>
      </w:r>
      <w:r>
        <w:t xml:space="preserve"> </w:t>
      </w:r>
      <w:r>
        <w:t xml:space="preserve">	</w:t>
      </w:r>
      <w:r>
        <w:t xml:space="preserve">Poil, S.-S., Hardstone, R., Mansvelder, H. D. &amp; Linkenkaer-Hansen, K.</w:t>
      </w:r>
      <w:r>
        <w:t xml:space="preserve"> </w:t>
      </w:r>
      <w:hyperlink r:id="rId97">
        <w:r>
          <w:rPr>
            <w:rStyle w:val="InternetLink"/>
          </w:rPr>
          <w:t xml:space="preserve">Critical-</w:t>
        </w:r>
        <w:r>
          <w:rPr>
            <w:rStyle w:val="InternetLink"/>
          </w:rPr>
          <w:t xml:space="preserve">State Dynamics</w:t>
        </w:r>
        <w:r>
          <w:rPr>
            <w:rStyle w:val="InternetLink"/>
          </w:rPr>
          <w:t xml:space="preserve"> </w:t>
        </w:r>
        <w:r>
          <w:rPr>
            <w:rStyle w:val="InternetLink"/>
          </w:rPr>
          <w:t xml:space="preserve">of</w:t>
        </w:r>
        <w:r>
          <w:rPr>
            <w:rStyle w:val="InternetLink"/>
          </w:rPr>
          <w:t xml:space="preserve"> </w:t>
        </w:r>
        <w:r>
          <w:rPr>
            <w:rStyle w:val="InternetLink"/>
          </w:rPr>
          <w:t xml:space="preserve">Avalanches</w:t>
        </w:r>
        <w:r>
          <w:rPr>
            <w:rStyle w:val="InternetLink"/>
          </w:rPr>
          <w:t xml:space="preserve"> </w:t>
        </w:r>
        <w:r>
          <w:rPr>
            <w:rStyle w:val="InternetLink"/>
          </w:rPr>
          <w:t xml:space="preserve">and</w:t>
        </w:r>
        <w:r>
          <w:rPr>
            <w:rStyle w:val="InternetLink"/>
          </w:rPr>
          <w:t xml:space="preserve"> </w:t>
        </w:r>
        <w:r>
          <w:rPr>
            <w:rStyle w:val="InternetLink"/>
          </w:rPr>
          <w:t xml:space="preserve">Oscillations Jointly Emerge</w:t>
        </w:r>
        <w:r>
          <w:rPr>
            <w:rStyle w:val="InternetLink"/>
          </w:rPr>
          <w:t xml:space="preserve"> </w:t>
        </w:r>
        <w:r>
          <w:rPr>
            <w:rStyle w:val="InternetLink"/>
          </w:rPr>
          <w:t xml:space="preserve">from</w:t>
        </w:r>
        <w:r>
          <w:rPr>
            <w:rStyle w:val="InternetLink"/>
          </w:rPr>
          <w:t xml:space="preserve"> </w:t>
        </w:r>
        <w:r>
          <w:rPr>
            <w:rStyle w:val="InternetLink"/>
          </w:rPr>
          <w:t xml:space="preserve">Balanced Excitation</w:t>
        </w:r>
        <w:r>
          <w:rPr>
            <w:rStyle w:val="InternetLink"/>
          </w:rPr>
          <w:t xml:space="preserve">/</w:t>
        </w:r>
        <w:r>
          <w:rPr>
            <w:rStyle w:val="InternetLink"/>
          </w:rPr>
          <w:t xml:space="preserve">Inhibition</w:t>
        </w:r>
        <w:r>
          <w:rPr>
            <w:rStyle w:val="InternetLink"/>
          </w:rPr>
          <w:t xml:space="preserve"> </w:t>
        </w:r>
        <w:r>
          <w:rPr>
            <w:rStyle w:val="InternetLink"/>
          </w:rPr>
          <w:t xml:space="preserve">in</w:t>
        </w:r>
        <w:r>
          <w:rPr>
            <w:rStyle w:val="InternetLink"/>
          </w:rPr>
          <w:t xml:space="preserve"> </w:t>
        </w:r>
        <w:r>
          <w:rPr>
            <w:rStyle w:val="InternetLink"/>
          </w:rPr>
          <w:t xml:space="preserve">Neuronal Networks</w:t>
        </w:r>
      </w:hyperlink>
      <w:r>
        <w:t xml:space="preserve">.</w:t>
      </w:r>
      <w:r>
        <w:t xml:space="preserve"> </w:t>
      </w:r>
      <w:r>
        <w:rPr>
          <w:i/>
          <w:iCs/>
        </w:rPr>
        <w:t xml:space="preserve">Journal of Neuroscience</w:t>
      </w:r>
      <w:r>
        <w:t xml:space="preserve"> </w:t>
      </w:r>
      <w:r>
        <w:rPr>
          <w:b/>
          <w:bCs/>
        </w:rPr>
        <w:t xml:space="preserve">32</w:t>
      </w:r>
      <w:r>
        <w:t xml:space="preserve">, 9817–9823 (2012).</w:t>
      </w:r>
    </w:p>
    <w:bookmarkEnd w:id="98"/>
    <w:bookmarkStart w:id="100" w:name="X1a6612f76f2ca94881a0ccd6377536a8d03c326"/>
    <w:p>
      <w:pPr>
        <w:pStyle w:val="Bibliography"/>
      </w:pPr>
      <w:r>
        <w:t xml:space="preserve">8.</w:t>
      </w:r>
      <w:r>
        <w:t xml:space="preserve"> </w:t>
      </w:r>
      <w:r>
        <w:t xml:space="preserve">	</w:t>
      </w:r>
      <w:r>
        <w:t xml:space="preserve">Lombardi, F., Herrmann, H. J. &amp; de Arcangelis, L.</w:t>
      </w:r>
      <w:r>
        <w:t xml:space="preserve"> </w:t>
      </w:r>
      <w:hyperlink r:id="rId99">
        <w:r>
          <w:rPr>
            <w:rStyle w:val="InternetLink"/>
          </w:rPr>
          <w:t xml:space="preserve">Balance of excitation and inhibition determines 1/f power spectrum in neuronal networks</w:t>
        </w:r>
      </w:hyperlink>
      <w:r>
        <w:t xml:space="preserve">.</w:t>
      </w:r>
      <w:r>
        <w:t xml:space="preserve"> </w:t>
      </w:r>
      <w:r>
        <w:rPr>
          <w:i/>
          <w:iCs/>
        </w:rPr>
        <w:t xml:space="preserve">Chaos: An Interdisciplinary Journal of Nonlinear Science</w:t>
      </w:r>
      <w:r>
        <w:t xml:space="preserve"> </w:t>
      </w:r>
      <w:r>
        <w:rPr>
          <w:b/>
          <w:bCs/>
        </w:rPr>
        <w:t xml:space="preserve">27</w:t>
      </w:r>
      <w:r>
        <w:t xml:space="preserve">, 047402 (2017).</w:t>
      </w:r>
    </w:p>
    <w:bookmarkEnd w:id="100"/>
    <w:bookmarkStart w:id="102" w:name="Xfe4345fc4d266d969d4559abe9321e337b060ba"/>
    <w:p>
      <w:pPr>
        <w:pStyle w:val="Bibliography"/>
      </w:pPr>
      <w:r>
        <w:t xml:space="preserve">9.</w:t>
      </w:r>
      <w:r>
        <w:t xml:space="preserve"> </w:t>
      </w:r>
      <w:r>
        <w:t xml:space="preserve">	</w:t>
      </w:r>
      <w:r>
        <w:t xml:space="preserve">Baumgarten, L. &amp; Bornholdt, S.</w:t>
      </w:r>
      <w:r>
        <w:t xml:space="preserve"> </w:t>
      </w:r>
      <w:hyperlink r:id="rId101">
        <w:r>
          <w:rPr>
            <w:rStyle w:val="InternetLink"/>
          </w:rPr>
          <w:t xml:space="preserve">Critical excitation-inhibition balance in dense neural networks</w:t>
        </w:r>
      </w:hyperlink>
      <w:r>
        <w:t xml:space="preserve">.</w:t>
      </w:r>
      <w:r>
        <w:t xml:space="preserve"> </w:t>
      </w:r>
      <w:r>
        <w:rPr>
          <w:i/>
          <w:iCs/>
        </w:rPr>
        <w:t xml:space="preserve">Physical Review E</w:t>
      </w:r>
      <w:r>
        <w:t xml:space="preserve"> </w:t>
      </w:r>
      <w:r>
        <w:rPr>
          <w:b/>
          <w:bCs/>
        </w:rPr>
        <w:t xml:space="preserve">100</w:t>
      </w:r>
      <w:r>
        <w:t xml:space="preserve">, 010301 (2019).</w:t>
      </w:r>
    </w:p>
    <w:bookmarkEnd w:id="102"/>
    <w:bookmarkStart w:id="104" w:name="Xf305db5cda522b9934f5eb114c054d6126dc6eb"/>
    <w:p>
      <w:pPr>
        <w:pStyle w:val="Bibliography"/>
      </w:pPr>
      <w:r>
        <w:t xml:space="preserve">10.</w:t>
      </w:r>
      <w:r>
        <w:t xml:space="preserve"> </w:t>
      </w:r>
      <w:r>
        <w:t xml:space="preserve">	</w:t>
      </w:r>
      <w:r>
        <w:t xml:space="preserve">Bruining, H.</w:t>
      </w:r>
      <w:r>
        <w:t xml:space="preserve"> </w:t>
      </w:r>
      <w:r>
        <w:rPr>
          <w:i/>
          <w:iCs/>
        </w:rPr>
        <w:t xml:space="preserve">et al.</w:t>
      </w:r>
      <w:r>
        <w:t xml:space="preserve"> </w:t>
      </w:r>
      <w:hyperlink r:id="rId103">
        <w:r>
          <w:rPr>
            <w:rStyle w:val="InternetLink"/>
          </w:rPr>
          <w:t xml:space="preserve">Measurement of excitation-inhibition ratio in autism spectrum disorder using critical brain dynamics</w:t>
        </w:r>
      </w:hyperlink>
      <w:r>
        <w:t xml:space="preserve">.</w:t>
      </w:r>
      <w:r>
        <w:t xml:space="preserve"> </w:t>
      </w:r>
      <w:r>
        <w:rPr>
          <w:i/>
          <w:iCs/>
        </w:rPr>
        <w:t xml:space="preserve">Scientific Reports</w:t>
      </w:r>
      <w:r>
        <w:t xml:space="preserve"> </w:t>
      </w:r>
      <w:r>
        <w:rPr>
          <w:b/>
          <w:bCs/>
        </w:rPr>
        <w:t xml:space="preserve">10</w:t>
      </w:r>
      <w:r>
        <w:t xml:space="preserve">, 9195 (2020).</w:t>
      </w:r>
    </w:p>
    <w:bookmarkEnd w:id="104"/>
    <w:bookmarkStart w:id="106" w:name="X52bda2e8a9a36f94350bb079f5ec785b025e36f"/>
    <w:p>
      <w:pPr>
        <w:pStyle w:val="Bibliography"/>
      </w:pPr>
      <w:r>
        <w:t xml:space="preserve">11.</w:t>
      </w:r>
      <w:r>
        <w:t xml:space="preserve"> </w:t>
      </w:r>
      <w:r>
        <w:t xml:space="preserve">	</w:t>
      </w:r>
      <w:r>
        <w:t xml:space="preserve">Trakoshis, S.</w:t>
      </w:r>
      <w:r>
        <w:t xml:space="preserve"> </w:t>
      </w:r>
      <w:r>
        <w:rPr>
          <w:i/>
          <w:iCs/>
        </w:rPr>
        <w:t xml:space="preserve">et al.</w:t>
      </w:r>
      <w:r>
        <w:t xml:space="preserve"> </w:t>
      </w:r>
      <w:hyperlink r:id="rId105">
        <w:r>
          <w:rPr>
            <w:rStyle w:val="InternetLink"/>
          </w:rPr>
          <w:t xml:space="preserve">Intrinsic excitation-inhibition imbalance affects medial prefrontal cortex differently in autistic men versus women</w:t>
        </w:r>
      </w:hyperlink>
      <w:r>
        <w:t xml:space="preserve">.</w:t>
      </w:r>
      <w:r>
        <w:t xml:space="preserve"> </w:t>
      </w:r>
      <w:r>
        <w:rPr>
          <w:i/>
          <w:iCs/>
        </w:rPr>
        <w:t xml:space="preserve">eLife</w:t>
      </w:r>
      <w:r>
        <w:t xml:space="preserve"> </w:t>
      </w:r>
      <w:r>
        <w:rPr>
          <w:b/>
          <w:bCs/>
        </w:rPr>
        <w:t xml:space="preserve">9</w:t>
      </w:r>
      <w:r>
        <w:t xml:space="preserve">, e55684 (2020).</w:t>
      </w:r>
    </w:p>
    <w:bookmarkEnd w:id="106"/>
    <w:bookmarkStart w:id="108" w:name="ref-gaoInferringSynapticExcitation2017"/>
    <w:p>
      <w:pPr>
        <w:pStyle w:val="Bibliography"/>
      </w:pPr>
      <w:r>
        <w:t xml:space="preserve">12.</w:t>
      </w:r>
      <w:r>
        <w:t xml:space="preserve"> </w:t>
      </w:r>
      <w:r>
        <w:t xml:space="preserve">	</w:t>
      </w:r>
      <w:r>
        <w:t xml:space="preserve">Gao, R., Peterson, E. J. &amp; Voytek, B.</w:t>
      </w:r>
      <w:r>
        <w:t xml:space="preserve"> </w:t>
      </w:r>
      <w:hyperlink r:id="rId107">
        <w:r>
          <w:rPr>
            <w:rStyle w:val="InternetLink"/>
          </w:rPr>
          <w:t xml:space="preserve">Inferring synaptic excitation/inhibition balance from field potentials</w:t>
        </w:r>
      </w:hyperlink>
      <w:r>
        <w:t xml:space="preserve">.</w:t>
      </w:r>
      <w:r>
        <w:t xml:space="preserve"> </w:t>
      </w:r>
      <w:r>
        <w:rPr>
          <w:i/>
          <w:iCs/>
        </w:rPr>
        <w:t xml:space="preserve">NeuroImage</w:t>
      </w:r>
      <w:r>
        <w:t xml:space="preserve"> </w:t>
      </w:r>
      <w:r>
        <w:rPr>
          <w:b/>
          <w:bCs/>
        </w:rPr>
        <w:t xml:space="preserve">158</w:t>
      </w:r>
      <w:r>
        <w:t xml:space="preserve">, 70–78 (2017).</w:t>
      </w:r>
    </w:p>
    <w:bookmarkEnd w:id="108"/>
    <w:bookmarkStart w:id="110" w:name="X51bbaa2f1fed9c60f7fd655b658ca20fb202978"/>
    <w:p>
      <w:pPr>
        <w:pStyle w:val="Bibliography"/>
      </w:pPr>
      <w:r>
        <w:t xml:space="preserve">13.</w:t>
      </w:r>
      <w:r>
        <w:t xml:space="preserve"> </w:t>
      </w:r>
      <w:r>
        <w:t xml:space="preserve">	</w:t>
      </w:r>
      <w:r>
        <w:t xml:space="preserve">Tian, Y.</w:t>
      </w:r>
      <w:r>
        <w:t xml:space="preserve"> </w:t>
      </w:r>
      <w:r>
        <w:rPr>
          <w:i/>
          <w:iCs/>
        </w:rPr>
        <w:t xml:space="preserve">et al.</w:t>
      </w:r>
      <w:r>
        <w:t xml:space="preserve"> </w:t>
      </w:r>
      <w:hyperlink r:id="rId109">
        <w:r>
          <w:rPr>
            <w:rStyle w:val="InternetLink"/>
          </w:rPr>
          <w:t xml:space="preserve">Theoretical foundations of studying criticality in the brain</w:t>
        </w:r>
      </w:hyperlink>
      <w:r>
        <w:t xml:space="preserve">.</w:t>
      </w:r>
      <w:r>
        <w:t xml:space="preserve"> </w:t>
      </w:r>
      <w:r>
        <w:rPr>
          <w:i/>
          <w:iCs/>
        </w:rPr>
        <w:t xml:space="preserve">Network Neuroscience</w:t>
      </w:r>
      <w:r>
        <w:t xml:space="preserve"> </w:t>
      </w:r>
      <w:r>
        <w:rPr>
          <w:b/>
          <w:bCs/>
        </w:rPr>
        <w:t xml:space="preserve">6</w:t>
      </w:r>
      <w:r>
        <w:t xml:space="preserve">, 1148–1185 (2022).</w:t>
      </w:r>
    </w:p>
    <w:bookmarkEnd w:id="110"/>
    <w:bookmarkStart w:id="112" w:name="X7d0c1d47a19671baff30468b0796686f81ccb59"/>
    <w:p>
      <w:pPr>
        <w:pStyle w:val="Bibliography"/>
      </w:pPr>
      <w:r>
        <w:t xml:space="preserve">14.</w:t>
      </w:r>
      <w:r>
        <w:t xml:space="preserve"> </w:t>
      </w:r>
      <w:r>
        <w:t xml:space="preserve">	</w:t>
      </w:r>
      <w:r>
        <w:t xml:space="preserve">Rubinov, M., Sporns, O., Thivierge, J.-P. &amp; Breakspear, M.</w:t>
      </w:r>
      <w:r>
        <w:t xml:space="preserve"> </w:t>
      </w:r>
      <w:hyperlink r:id="rId111">
        <w:r>
          <w:rPr>
            <w:rStyle w:val="InternetLink"/>
          </w:rPr>
          <w:t xml:space="preserve">Neurobiologically</w:t>
        </w:r>
        <w:r>
          <w:rPr>
            <w:rStyle w:val="InternetLink"/>
          </w:rPr>
          <w:t xml:space="preserve"> </w:t>
        </w:r>
        <w:r>
          <w:rPr>
            <w:rStyle w:val="InternetLink"/>
          </w:rPr>
          <w:t xml:space="preserve">Realistic Determinants</w:t>
        </w:r>
        <w:r>
          <w:rPr>
            <w:rStyle w:val="InternetLink"/>
          </w:rPr>
          <w:t xml:space="preserve"> </w:t>
        </w:r>
        <w:r>
          <w:rPr>
            <w:rStyle w:val="InternetLink"/>
          </w:rPr>
          <w:t xml:space="preserve">of</w:t>
        </w:r>
        <w:r>
          <w:rPr>
            <w:rStyle w:val="InternetLink"/>
          </w:rPr>
          <w:t xml:space="preserve"> </w:t>
        </w:r>
        <w:r>
          <w:rPr>
            <w:rStyle w:val="InternetLink"/>
          </w:rPr>
          <w:t xml:space="preserve">Self-Organized Criticality</w:t>
        </w:r>
        <w:r>
          <w:rPr>
            <w:rStyle w:val="InternetLink"/>
          </w:rPr>
          <w:t xml:space="preserve"> </w:t>
        </w:r>
        <w:r>
          <w:rPr>
            <w:rStyle w:val="InternetLink"/>
          </w:rPr>
          <w:t xml:space="preserve">in</w:t>
        </w:r>
        <w:r>
          <w:rPr>
            <w:rStyle w:val="InternetLink"/>
          </w:rPr>
          <w:t xml:space="preserve"> </w:t>
        </w:r>
        <w:r>
          <w:rPr>
            <w:rStyle w:val="InternetLink"/>
          </w:rPr>
          <w:t xml:space="preserve">Networks</w:t>
        </w:r>
        <w:r>
          <w:rPr>
            <w:rStyle w:val="InternetLink"/>
          </w:rPr>
          <w:t xml:space="preserve"> </w:t>
        </w:r>
        <w:r>
          <w:rPr>
            <w:rStyle w:val="InternetLink"/>
          </w:rPr>
          <w:t xml:space="preserve">of</w:t>
        </w:r>
        <w:r>
          <w:rPr>
            <w:rStyle w:val="InternetLink"/>
          </w:rPr>
          <w:t xml:space="preserve"> </w:t>
        </w:r>
        <w:r>
          <w:rPr>
            <w:rStyle w:val="InternetLink"/>
          </w:rPr>
          <w:t xml:space="preserve">Spiking Neurons</w:t>
        </w:r>
      </w:hyperlink>
      <w:r>
        <w:t xml:space="preserve">.</w:t>
      </w:r>
      <w:r>
        <w:t xml:space="preserve"> </w:t>
      </w:r>
      <w:r>
        <w:rPr>
          <w:i/>
          <w:iCs/>
        </w:rPr>
        <w:t xml:space="preserve">PLOS Computational Biology</w:t>
      </w:r>
      <w:r>
        <w:t xml:space="preserve"> </w:t>
      </w:r>
      <w:r>
        <w:rPr>
          <w:b/>
          <w:bCs/>
        </w:rPr>
        <w:t xml:space="preserve">7</w:t>
      </w:r>
      <w:r>
        <w:t xml:space="preserve">, e1002038 (2011).</w:t>
      </w:r>
    </w:p>
    <w:bookmarkEnd w:id="112"/>
    <w:bookmarkStart w:id="114" w:name="ref-langtonComputationEdgeChaos1990"/>
    <w:p>
      <w:pPr>
        <w:pStyle w:val="Bibliography"/>
      </w:pPr>
      <w:r>
        <w:t xml:space="preserve">15.</w:t>
      </w:r>
      <w:r>
        <w:t xml:space="preserve"> </w:t>
      </w:r>
      <w:r>
        <w:t xml:space="preserve">	</w:t>
      </w:r>
      <w:r>
        <w:t xml:space="preserve">Langton, C. G.</w:t>
      </w:r>
      <w:r>
        <w:t xml:space="preserve"> </w:t>
      </w:r>
      <w:hyperlink r:id="rId113">
        <w:r>
          <w:rPr>
            <w:rStyle w:val="InternetLink"/>
          </w:rPr>
          <w:t xml:space="preserve">Computation at the edge of chaos:</w:t>
        </w:r>
        <w:r>
          <w:rPr>
            <w:rStyle w:val="InternetLink"/>
          </w:rPr>
          <w:t xml:space="preserve"> </w:t>
        </w:r>
        <w:r>
          <w:rPr>
            <w:rStyle w:val="InternetLink"/>
          </w:rPr>
          <w:t xml:space="preserve">Phase</w:t>
        </w:r>
        <w:r>
          <w:rPr>
            <w:rStyle w:val="InternetLink"/>
          </w:rPr>
          <w:t xml:space="preserve"> </w:t>
        </w:r>
        <w:r>
          <w:rPr>
            <w:rStyle w:val="InternetLink"/>
          </w:rPr>
          <w:t xml:space="preserve">transitions and emergent computation</w:t>
        </w:r>
      </w:hyperlink>
      <w:r>
        <w:t xml:space="preserve">.</w:t>
      </w:r>
      <w:r>
        <w:t xml:space="preserve"> </w:t>
      </w:r>
      <w:r>
        <w:rPr>
          <w:i/>
          <w:iCs/>
        </w:rPr>
        <w:t xml:space="preserve">Physica D: Nonlinear Phenomena</w:t>
      </w:r>
      <w:r>
        <w:t xml:space="preserve"> </w:t>
      </w:r>
      <w:r>
        <w:rPr>
          <w:b/>
          <w:bCs/>
        </w:rPr>
        <w:t xml:space="preserve">42</w:t>
      </w:r>
      <w:r>
        <w:t xml:space="preserve">, 12–37 (1990).</w:t>
      </w:r>
    </w:p>
    <w:bookmarkEnd w:id="114"/>
    <w:bookmarkStart w:id="116" w:name="ref-bakHowNatureWorks1996"/>
    <w:p>
      <w:pPr>
        <w:pStyle w:val="Bibliography"/>
      </w:pPr>
      <w:r>
        <w:t xml:space="preserve">16.</w:t>
      </w:r>
      <w:r>
        <w:t xml:space="preserve"> </w:t>
      </w:r>
      <w:r>
        <w:t xml:space="preserve">	</w:t>
      </w:r>
      <w:r>
        <w:t xml:space="preserve">Bak, P.</w:t>
      </w:r>
      <w:r>
        <w:t xml:space="preserve"> </w:t>
      </w:r>
      <w:r>
        <w:rPr>
          <w:i/>
          <w:iCs/>
        </w:rPr>
        <w:t xml:space="preserve">How</w:t>
      </w:r>
      <w:r>
        <w:rPr>
          <w:i/>
          <w:iCs/>
        </w:rPr>
        <w:t xml:space="preserve"> </w:t>
      </w:r>
      <w:r>
        <w:rPr>
          <w:i/>
          <w:iCs/>
        </w:rPr>
        <w:t xml:space="preserve">Nature Works</w:t>
      </w:r>
      <w:r>
        <w:t xml:space="preserve">. (Springer, New York, NY, 1996). doi:</w:t>
      </w:r>
      <w:hyperlink r:id="rId115">
        <w:r>
          <w:rPr>
            <w:rStyle w:val="InternetLink"/>
          </w:rPr>
          <w:t xml:space="preserve">10.1007/978-1-4757-5426-1</w:t>
        </w:r>
      </w:hyperlink>
      <w:r>
        <w:t xml:space="preserve">.</w:t>
      </w:r>
    </w:p>
    <w:bookmarkEnd w:id="116"/>
    <w:bookmarkStart w:id="118" w:name="ref-rubensteinModelAutismIncreased2003"/>
    <w:p>
      <w:pPr>
        <w:pStyle w:val="Bibliography"/>
      </w:pPr>
      <w:r>
        <w:t xml:space="preserve">17.</w:t>
      </w:r>
      <w:r>
        <w:t xml:space="preserve"> </w:t>
      </w:r>
      <w:r>
        <w:t xml:space="preserve">	</w:t>
      </w:r>
      <w:r>
        <w:t xml:space="preserve">Rubenstein, J. L. R. &amp; Merzenich, M. M.</w:t>
      </w:r>
      <w:r>
        <w:t xml:space="preserve"> </w:t>
      </w:r>
      <w:hyperlink r:id="rId117">
        <w:r>
          <w:rPr>
            <w:rStyle w:val="InternetLink"/>
          </w:rPr>
          <w:t xml:space="preserve">Model of autism: Increased ratio of excitation/inhibition in key neural systems</w:t>
        </w:r>
      </w:hyperlink>
      <w:r>
        <w:t xml:space="preserve">.</w:t>
      </w:r>
      <w:r>
        <w:t xml:space="preserve"> </w:t>
      </w:r>
      <w:r>
        <w:rPr>
          <w:i/>
          <w:iCs/>
        </w:rPr>
        <w:t xml:space="preserve">Genes, brain, and behavior</w:t>
      </w:r>
      <w:r>
        <w:t xml:space="preserve"> </w:t>
      </w:r>
      <w:r>
        <w:rPr>
          <w:b/>
          <w:bCs/>
        </w:rPr>
        <w:t xml:space="preserve">2</w:t>
      </w:r>
      <w:r>
        <w:t xml:space="preserve">, 255–267 (2003).</w:t>
      </w:r>
    </w:p>
    <w:bookmarkEnd w:id="118"/>
    <w:bookmarkStart w:id="120" w:name="X8844ad3d8d9e8a223627135108c22cce11cb1c9"/>
    <w:p>
      <w:pPr>
        <w:pStyle w:val="Bibliography"/>
      </w:pPr>
      <w:r>
        <w:t xml:space="preserve">18.</w:t>
      </w:r>
      <w:r>
        <w:t xml:space="preserve"> </w:t>
      </w:r>
      <w:r>
        <w:t xml:space="preserve">	</w:t>
      </w:r>
      <w:r>
        <w:t xml:space="preserve">Lauterborn, J. C.</w:t>
      </w:r>
      <w:r>
        <w:t xml:space="preserve"> </w:t>
      </w:r>
      <w:r>
        <w:rPr>
          <w:i/>
          <w:iCs/>
        </w:rPr>
        <w:t xml:space="preserve">et al.</w:t>
      </w:r>
      <w:r>
        <w:t xml:space="preserve"> </w:t>
      </w:r>
      <w:hyperlink r:id="rId119">
        <w:r>
          <w:rPr>
            <w:rStyle w:val="InternetLink"/>
          </w:rPr>
          <w:t xml:space="preserve">Increased excitatory to inhibitory synaptic ratio in parietal cortex samples from individuals with</w:t>
        </w:r>
        <w:r>
          <w:rPr>
            <w:rStyle w:val="InternetLink"/>
          </w:rPr>
          <w:t xml:space="preserve"> </w:t>
        </w:r>
        <w:r>
          <w:rPr>
            <w:rStyle w:val="InternetLink"/>
          </w:rPr>
          <w:t xml:space="preserve">Alzheimer</w:t>
        </w:r>
        <w:r>
          <w:rPr>
            <w:rStyle w:val="InternetLink"/>
          </w:rPr>
          <w:t xml:space="preserve">’s disease</w:t>
        </w:r>
      </w:hyperlink>
      <w:r>
        <w:t xml:space="preserve">.</w:t>
      </w:r>
      <w:r>
        <w:t xml:space="preserve"> </w:t>
      </w:r>
      <w:r>
        <w:rPr>
          <w:i/>
          <w:iCs/>
        </w:rPr>
        <w:t xml:space="preserve">Nature Communications</w:t>
      </w:r>
      <w:r>
        <w:t xml:space="preserve"> </w:t>
      </w:r>
      <w:r>
        <w:rPr>
          <w:b/>
          <w:bCs/>
        </w:rPr>
        <w:t xml:space="preserve">12</w:t>
      </w:r>
      <w:r>
        <w:t xml:space="preserve">, 2603 (2021).</w:t>
      </w:r>
    </w:p>
    <w:bookmarkEnd w:id="120"/>
    <w:bookmarkStart w:id="122" w:name="X64994448b976e637152e47fbc640fd4797f44ad"/>
    <w:p>
      <w:pPr>
        <w:pStyle w:val="Bibliography"/>
      </w:pPr>
      <w:r>
        <w:t xml:space="preserve">19.</w:t>
      </w:r>
      <w:r>
        <w:t xml:space="preserve"> </w:t>
      </w:r>
      <w:r>
        <w:t xml:space="preserve">	</w:t>
      </w:r>
      <w:r>
        <w:t xml:space="preserve">Sohal, V. S. &amp; Rubenstein, J. L. R.</w:t>
      </w:r>
      <w:r>
        <w:t xml:space="preserve"> </w:t>
      </w:r>
      <w:hyperlink r:id="rId121">
        <w:r>
          <w:rPr>
            <w:rStyle w:val="InternetLink"/>
          </w:rPr>
          <w:t xml:space="preserve">Excitation-inhibition balance as a framework for investigating mechanisms in neuropsychiatric disorders</w:t>
        </w:r>
      </w:hyperlink>
      <w:r>
        <w:t xml:space="preserve">.</w:t>
      </w:r>
      <w:r>
        <w:t xml:space="preserve"> </w:t>
      </w:r>
      <w:r>
        <w:rPr>
          <w:i/>
          <w:iCs/>
        </w:rPr>
        <w:t xml:space="preserve">Molecular Psychiatry</w:t>
      </w:r>
      <w:r>
        <w:t xml:space="preserve"> </w:t>
      </w:r>
      <w:r>
        <w:rPr>
          <w:b/>
          <w:bCs/>
        </w:rPr>
        <w:t xml:space="preserve">24</w:t>
      </w:r>
      <w:r>
        <w:t xml:space="preserve">, 1248–1257 (2019).</w:t>
      </w:r>
    </w:p>
    <w:bookmarkEnd w:id="122"/>
    <w:bookmarkStart w:id="124" w:name="X15522e51d4999d4481434cec6c8927ac1afe02d"/>
    <w:p>
      <w:pPr>
        <w:pStyle w:val="Bibliography"/>
      </w:pPr>
      <w:r>
        <w:t xml:space="preserve">20.</w:t>
      </w:r>
      <w:r>
        <w:t xml:space="preserve"> </w:t>
      </w:r>
      <w:r>
        <w:t xml:space="preserve">	</w:t>
      </w:r>
      <w:r>
        <w:t xml:space="preserve">Muñoz, M. A.</w:t>
      </w:r>
      <w:r>
        <w:t xml:space="preserve"> </w:t>
      </w:r>
      <w:hyperlink r:id="rId123">
        <w:r>
          <w:rPr>
            <w:rStyle w:val="InternetLink"/>
            <w:i/>
            <w:iCs/>
          </w:rPr>
          <w:t xml:space="preserve">Colloquium</w:t>
        </w:r>
        <w:r>
          <w:rPr>
            <w:rStyle w:val="InternetLink"/>
          </w:rPr>
          <w:t xml:space="preserve"> </w:t>
        </w:r>
        <w:r>
          <w:rPr>
            <w:rStyle w:val="InternetLink"/>
          </w:rPr>
          <w:t xml:space="preserve">:</w:t>
        </w:r>
        <w:r>
          <w:rPr>
            <w:rStyle w:val="InternetLink"/>
          </w:rPr>
          <w:t xml:space="preserve"> </w:t>
        </w:r>
        <w:r>
          <w:rPr>
            <w:rStyle w:val="InternetLink"/>
          </w:rPr>
          <w:t xml:space="preserve">Criticality</w:t>
        </w:r>
        <w:r>
          <w:rPr>
            <w:rStyle w:val="InternetLink"/>
          </w:rPr>
          <w:t xml:space="preserve"> </w:t>
        </w:r>
        <w:r>
          <w:rPr>
            <w:rStyle w:val="InternetLink"/>
          </w:rPr>
          <w:t xml:space="preserve">and dynamical scaling in living systems</w:t>
        </w:r>
      </w:hyperlink>
      <w:r>
        <w:t xml:space="preserve">.</w:t>
      </w:r>
      <w:r>
        <w:t xml:space="preserve"> </w:t>
      </w:r>
      <w:r>
        <w:rPr>
          <w:i/>
          <w:iCs/>
        </w:rPr>
        <w:t xml:space="preserve">Reviews of Modern Physics</w:t>
      </w:r>
      <w:r>
        <w:t xml:space="preserve"> </w:t>
      </w:r>
      <w:r>
        <w:rPr>
          <w:b/>
          <w:bCs/>
        </w:rPr>
        <w:t xml:space="preserve">90</w:t>
      </w:r>
      <w:r>
        <w:t xml:space="preserve">, 031001 (2018).</w:t>
      </w:r>
    </w:p>
    <w:bookmarkEnd w:id="124"/>
    <w:bookmarkStart w:id="126" w:name="X3100962fe0ebda0a64b076c39ca996352c3077e"/>
    <w:p>
      <w:pPr>
        <w:pStyle w:val="Bibliography"/>
      </w:pPr>
      <w:r>
        <w:t xml:space="preserve">21.</w:t>
      </w:r>
      <w:r>
        <w:t xml:space="preserve"> </w:t>
      </w:r>
      <w:r>
        <w:t xml:space="preserve">	</w:t>
      </w:r>
      <w:r>
        <w:t xml:space="preserve">Caserta, F.</w:t>
      </w:r>
      <w:r>
        <w:t xml:space="preserve"> </w:t>
      </w:r>
      <w:r>
        <w:rPr>
          <w:i/>
          <w:iCs/>
        </w:rPr>
        <w:t xml:space="preserve">et al.</w:t>
      </w:r>
      <w:r>
        <w:t xml:space="preserve"> </w:t>
      </w:r>
      <w:hyperlink r:id="rId125">
        <w:r>
          <w:rPr>
            <w:rStyle w:val="InternetLink"/>
          </w:rPr>
          <w:t xml:space="preserve">Determination of fractal dimension of physiologically characterized neurons in two and three dimensions</w:t>
        </w:r>
      </w:hyperlink>
      <w:r>
        <w:t xml:space="preserve">.</w:t>
      </w:r>
      <w:r>
        <w:t xml:space="preserve"> </w:t>
      </w:r>
      <w:r>
        <w:rPr>
          <w:i/>
          <w:iCs/>
        </w:rPr>
        <w:t xml:space="preserve">Journal of Neuroscience Methods</w:t>
      </w:r>
      <w:r>
        <w:t xml:space="preserve"> </w:t>
      </w:r>
      <w:r>
        <w:rPr>
          <w:b/>
          <w:bCs/>
        </w:rPr>
        <w:t xml:space="preserve">56</w:t>
      </w:r>
      <w:r>
        <w:t xml:space="preserve">, 133–144 (1995).</w:t>
      </w:r>
    </w:p>
    <w:bookmarkEnd w:id="126"/>
    <w:bookmarkStart w:id="128" w:name="X3f056608b292383f7f819c315b768813843e4ba"/>
    <w:p>
      <w:pPr>
        <w:pStyle w:val="Bibliography"/>
      </w:pPr>
      <w:r>
        <w:t xml:space="preserve">22.</w:t>
      </w:r>
      <w:r>
        <w:t xml:space="preserve"> </w:t>
      </w:r>
      <w:r>
        <w:t xml:space="preserve">	</w:t>
      </w:r>
      <w:r>
        <w:t xml:space="preserve">Lowen, S. B., Cash, S. S., Poo, M. &amp; Teich, M. C.</w:t>
      </w:r>
      <w:r>
        <w:t xml:space="preserve"> </w:t>
      </w:r>
      <w:hyperlink r:id="rId127">
        <w:r>
          <w:rPr>
            <w:rStyle w:val="InternetLink"/>
          </w:rPr>
          <w:t xml:space="preserve">Quantal</w:t>
        </w:r>
        <w:r>
          <w:rPr>
            <w:rStyle w:val="InternetLink"/>
          </w:rPr>
          <w:t xml:space="preserve"> </w:t>
        </w:r>
        <w:r>
          <w:rPr>
            <w:rStyle w:val="InternetLink"/>
          </w:rPr>
          <w:t xml:space="preserve">Neurotransmitter Secretion Rate Exhibits Fractal Behavior</w:t>
        </w:r>
      </w:hyperlink>
      <w:r>
        <w:t xml:space="preserve">.</w:t>
      </w:r>
      <w:r>
        <w:t xml:space="preserve"> </w:t>
      </w:r>
      <w:r>
        <w:rPr>
          <w:i/>
          <w:iCs/>
        </w:rPr>
        <w:t xml:space="preserve">The Journal of Neuroscience</w:t>
      </w:r>
      <w:r>
        <w:t xml:space="preserve"> </w:t>
      </w:r>
      <w:r>
        <w:rPr>
          <w:b/>
          <w:bCs/>
        </w:rPr>
        <w:t xml:space="preserve">17</w:t>
      </w:r>
      <w:r>
        <w:t xml:space="preserve">, 5666–5677 (1997).</w:t>
      </w:r>
    </w:p>
    <w:bookmarkEnd w:id="128"/>
    <w:bookmarkStart w:id="130" w:name="X2d1e1346fb5eebb46556911e8a6473781bd7363"/>
    <w:p>
      <w:pPr>
        <w:pStyle w:val="Bibliography"/>
      </w:pPr>
      <w:r>
        <w:t xml:space="preserve">23.</w:t>
      </w:r>
      <w:r>
        <w:t xml:space="preserve"> </w:t>
      </w:r>
      <w:r>
        <w:t xml:space="preserve">	</w:t>
      </w:r>
      <w:r>
        <w:t xml:space="preserve">Mazzoni, A.</w:t>
      </w:r>
      <w:r>
        <w:t xml:space="preserve"> </w:t>
      </w:r>
      <w:r>
        <w:rPr>
          <w:i/>
          <w:iCs/>
        </w:rPr>
        <w:t xml:space="preserve">et al.</w:t>
      </w:r>
      <w:r>
        <w:t xml:space="preserve"> </w:t>
      </w:r>
      <w:hyperlink r:id="rId129">
        <w:r>
          <w:rPr>
            <w:rStyle w:val="InternetLink"/>
          </w:rPr>
          <w:t xml:space="preserve">On the</w:t>
        </w:r>
        <w:r>
          <w:rPr>
            <w:rStyle w:val="InternetLink"/>
          </w:rPr>
          <w:t xml:space="preserve"> </w:t>
        </w:r>
        <w:r>
          <w:rPr>
            <w:rStyle w:val="InternetLink"/>
          </w:rPr>
          <w:t xml:space="preserve">Dynamics</w:t>
        </w:r>
        <w:r>
          <w:rPr>
            <w:rStyle w:val="InternetLink"/>
          </w:rPr>
          <w:t xml:space="preserve"> </w:t>
        </w:r>
        <w:r>
          <w:rPr>
            <w:rStyle w:val="InternetLink"/>
          </w:rPr>
          <w:t xml:space="preserve">of the</w:t>
        </w:r>
        <w:r>
          <w:rPr>
            <w:rStyle w:val="InternetLink"/>
          </w:rPr>
          <w:t xml:space="preserve"> </w:t>
        </w:r>
        <w:r>
          <w:rPr>
            <w:rStyle w:val="InternetLink"/>
          </w:rPr>
          <w:t xml:space="preserve">Spontaneous Activity</w:t>
        </w:r>
        <w:r>
          <w:rPr>
            <w:rStyle w:val="InternetLink"/>
          </w:rPr>
          <w:t xml:space="preserve"> </w:t>
        </w:r>
        <w:r>
          <w:rPr>
            <w:rStyle w:val="InternetLink"/>
          </w:rPr>
          <w:t xml:space="preserve">in</w:t>
        </w:r>
        <w:r>
          <w:rPr>
            <w:rStyle w:val="InternetLink"/>
          </w:rPr>
          <w:t xml:space="preserve"> </w:t>
        </w:r>
        <w:r>
          <w:rPr>
            <w:rStyle w:val="InternetLink"/>
          </w:rPr>
          <w:t xml:space="preserve">Neuronal Networks</w:t>
        </w:r>
      </w:hyperlink>
      <w:r>
        <w:t xml:space="preserve">.</w:t>
      </w:r>
      <w:r>
        <w:t xml:space="preserve"> </w:t>
      </w:r>
      <w:r>
        <w:rPr>
          <w:i/>
          <w:iCs/>
        </w:rPr>
        <w:t xml:space="preserve">PLoS ONE</w:t>
      </w:r>
      <w:r>
        <w:t xml:space="preserve"> </w:t>
      </w:r>
      <w:r>
        <w:rPr>
          <w:b/>
          <w:bCs/>
        </w:rPr>
        <w:t xml:space="preserve">2</w:t>
      </w:r>
      <w:r>
        <w:t xml:space="preserve">, e439 (2007).</w:t>
      </w:r>
    </w:p>
    <w:bookmarkEnd w:id="130"/>
    <w:bookmarkStart w:id="132" w:name="ref-bedardMacroscopicModelsLocal2009"/>
    <w:p>
      <w:pPr>
        <w:pStyle w:val="Bibliography"/>
      </w:pPr>
      <w:r>
        <w:t xml:space="preserve">24.</w:t>
      </w:r>
      <w:r>
        <w:t xml:space="preserve"> </w:t>
      </w:r>
      <w:r>
        <w:t xml:space="preserve">	</w:t>
      </w:r>
      <w:r>
        <w:t xml:space="preserve">Bédard, C. &amp; Destexhe, A.</w:t>
      </w:r>
      <w:r>
        <w:t xml:space="preserve"> </w:t>
      </w:r>
      <w:hyperlink r:id="rId131">
        <w:r>
          <w:rPr>
            <w:rStyle w:val="InternetLink"/>
          </w:rPr>
          <w:t xml:space="preserve">Macroscopic</w:t>
        </w:r>
        <w:r>
          <w:rPr>
            <w:rStyle w:val="InternetLink"/>
          </w:rPr>
          <w:t xml:space="preserve"> </w:t>
        </w:r>
        <w:r>
          <w:rPr>
            <w:rStyle w:val="InternetLink"/>
          </w:rPr>
          <w:t xml:space="preserve">Models</w:t>
        </w:r>
        <w:r>
          <w:rPr>
            <w:rStyle w:val="InternetLink"/>
          </w:rPr>
          <w:t xml:space="preserve"> </w:t>
        </w:r>
        <w:r>
          <w:rPr>
            <w:rStyle w:val="InternetLink"/>
          </w:rPr>
          <w:t xml:space="preserve">of</w:t>
        </w:r>
        <w:r>
          <w:rPr>
            <w:rStyle w:val="InternetLink"/>
          </w:rPr>
          <w:t xml:space="preserve"> </w:t>
        </w:r>
        <w:r>
          <w:rPr>
            <w:rStyle w:val="InternetLink"/>
          </w:rPr>
          <w:t xml:space="preserve">Local Field Potentials</w:t>
        </w:r>
        <w:r>
          <w:rPr>
            <w:rStyle w:val="InternetLink"/>
          </w:rPr>
          <w:t xml:space="preserve"> </w:t>
        </w:r>
        <w:r>
          <w:rPr>
            <w:rStyle w:val="InternetLink"/>
          </w:rPr>
          <w:t xml:space="preserve">and the</w:t>
        </w:r>
        <w:r>
          <w:rPr>
            <w:rStyle w:val="InternetLink"/>
          </w:rPr>
          <w:t xml:space="preserve"> </w:t>
        </w:r>
        <w:r>
          <w:rPr>
            <w:rStyle w:val="InternetLink"/>
          </w:rPr>
          <w:t xml:space="preserve">Apparent</w:t>
        </w:r>
        <w:r>
          <w:rPr>
            <w:rStyle w:val="InternetLink"/>
          </w:rPr>
          <w:t xml:space="preserve"> </w:t>
        </w:r>
        <w:r>
          <w:rPr>
            <w:rStyle w:val="InternetLink"/>
          </w:rPr>
          <w:t xml:space="preserve">1/f</w:t>
        </w:r>
        <w:r>
          <w:rPr>
            <w:rStyle w:val="InternetLink"/>
          </w:rPr>
          <w:t xml:space="preserve"> </w:t>
        </w:r>
        <w:r>
          <w:rPr>
            <w:rStyle w:val="InternetLink"/>
          </w:rPr>
          <w:t xml:space="preserve">Noise</w:t>
        </w:r>
        <w:r>
          <w:rPr>
            <w:rStyle w:val="InternetLink"/>
          </w:rPr>
          <w:t xml:space="preserve"> </w:t>
        </w:r>
        <w:r>
          <w:rPr>
            <w:rStyle w:val="InternetLink"/>
          </w:rPr>
          <w:t xml:space="preserve">in</w:t>
        </w:r>
        <w:r>
          <w:rPr>
            <w:rStyle w:val="InternetLink"/>
          </w:rPr>
          <w:t xml:space="preserve"> </w:t>
        </w:r>
        <w:r>
          <w:rPr>
            <w:rStyle w:val="InternetLink"/>
          </w:rPr>
          <w:t xml:space="preserve">Brain Activity</w:t>
        </w:r>
      </w:hyperlink>
      <w:r>
        <w:t xml:space="preserve">.</w:t>
      </w:r>
      <w:r>
        <w:t xml:space="preserve"> </w:t>
      </w:r>
      <w:r>
        <w:rPr>
          <w:i/>
          <w:iCs/>
        </w:rPr>
        <w:t xml:space="preserve">Biophysical Journal</w:t>
      </w:r>
      <w:r>
        <w:t xml:space="preserve"> </w:t>
      </w:r>
      <w:r>
        <w:rPr>
          <w:b/>
          <w:bCs/>
        </w:rPr>
        <w:t xml:space="preserve">96</w:t>
      </w:r>
      <w:r>
        <w:t xml:space="preserve">, 2589–2603 (2009).</w:t>
      </w:r>
    </w:p>
    <w:bookmarkEnd w:id="132"/>
    <w:bookmarkStart w:id="134" w:name="X320e96e3d65881e8fa79bfcbbde85012f4f91da"/>
    <w:p>
      <w:pPr>
        <w:pStyle w:val="Bibliography"/>
      </w:pPr>
      <w:r>
        <w:t xml:space="preserve">25.</w:t>
      </w:r>
      <w:r>
        <w:t xml:space="preserve"> </w:t>
      </w:r>
      <w:r>
        <w:t xml:space="preserve">	</w:t>
      </w:r>
      <w:r>
        <w:t xml:space="preserve">Bullmore, E. T.</w:t>
      </w:r>
      <w:r>
        <w:t xml:space="preserve"> </w:t>
      </w:r>
      <w:r>
        <w:rPr>
          <w:i/>
          <w:iCs/>
        </w:rPr>
        <w:t xml:space="preserve">et al.</w:t>
      </w:r>
      <w:r>
        <w:t xml:space="preserve"> </w:t>
      </w:r>
      <w:hyperlink r:id="rId133">
        <w:r>
          <w:rPr>
            <w:rStyle w:val="InternetLink"/>
          </w:rPr>
          <w:t xml:space="preserve">Fractal analysis of electroencephalographic signals intracerebrally recorded during 35 epileptic seizures: Evaluation of a new method for synoptic visualisation of ictal events</w:t>
        </w:r>
      </w:hyperlink>
      <w:r>
        <w:t xml:space="preserve">.</w:t>
      </w:r>
      <w:r>
        <w:t xml:space="preserve"> </w:t>
      </w:r>
      <w:r>
        <w:rPr>
          <w:i/>
          <w:iCs/>
        </w:rPr>
        <w:t xml:space="preserve">Electroencephalography and Clinical Neurophysiology</w:t>
      </w:r>
      <w:r>
        <w:t xml:space="preserve"> </w:t>
      </w:r>
      <w:r>
        <w:rPr>
          <w:b/>
          <w:bCs/>
        </w:rPr>
        <w:t xml:space="preserve">91</w:t>
      </w:r>
      <w:r>
        <w:t xml:space="preserve">, 337–345 (1994).</w:t>
      </w:r>
    </w:p>
    <w:bookmarkEnd w:id="134"/>
    <w:bookmarkStart w:id="136" w:name="ref-zarahnEmpiricalAnalysesBOLD1997"/>
    <w:p>
      <w:pPr>
        <w:pStyle w:val="Bibliography"/>
      </w:pPr>
      <w:r>
        <w:t xml:space="preserve">26.</w:t>
      </w:r>
      <w:r>
        <w:t xml:space="preserve"> </w:t>
      </w:r>
      <w:r>
        <w:t xml:space="preserve">	</w:t>
      </w:r>
      <w:r>
        <w:t xml:space="preserve">Zarahn, E., Aguirre, G. K. &amp; D’Esposito, M.</w:t>
      </w:r>
      <w:r>
        <w:t xml:space="preserve"> </w:t>
      </w:r>
      <w:hyperlink r:id="rId135">
        <w:r>
          <w:rPr>
            <w:rStyle w:val="InternetLink"/>
          </w:rPr>
          <w:t xml:space="preserve">Empirical</w:t>
        </w:r>
        <w:r>
          <w:rPr>
            <w:rStyle w:val="InternetLink"/>
          </w:rPr>
          <w:t xml:space="preserve"> </w:t>
        </w:r>
        <w:r>
          <w:rPr>
            <w:rStyle w:val="InternetLink"/>
          </w:rPr>
          <w:t xml:space="preserve">Analyses</w:t>
        </w:r>
        <w:r>
          <w:rPr>
            <w:rStyle w:val="InternetLink"/>
          </w:rPr>
          <w:t xml:space="preserve"> </w:t>
        </w:r>
        <w:r>
          <w:rPr>
            <w:rStyle w:val="InternetLink"/>
          </w:rPr>
          <w:t xml:space="preserve">of</w:t>
        </w:r>
        <w:r>
          <w:rPr>
            <w:rStyle w:val="InternetLink"/>
          </w:rPr>
          <w:t xml:space="preserve"> </w:t>
        </w:r>
        <w:r>
          <w:rPr>
            <w:rStyle w:val="InternetLink"/>
          </w:rPr>
          <w:t xml:space="preserve">BOLD fMRI Statistics</w:t>
        </w:r>
      </w:hyperlink>
      <w:r>
        <w:t xml:space="preserve">.</w:t>
      </w:r>
      <w:r>
        <w:t xml:space="preserve"> </w:t>
      </w:r>
      <w:r>
        <w:rPr>
          <w:i/>
          <w:iCs/>
        </w:rPr>
        <w:t xml:space="preserve">NeuroImage</w:t>
      </w:r>
      <w:r>
        <w:t xml:space="preserve"> </w:t>
      </w:r>
      <w:r>
        <w:rPr>
          <w:b/>
          <w:bCs/>
        </w:rPr>
        <w:t xml:space="preserve">5</w:t>
      </w:r>
      <w:r>
        <w:t xml:space="preserve">, 179–197 (1997).</w:t>
      </w:r>
    </w:p>
    <w:bookmarkEnd w:id="136"/>
    <w:bookmarkStart w:id="138" w:name="Xd7b015f33a1488d89f221ec12f970e1003b9efe"/>
    <w:p>
      <w:pPr>
        <w:pStyle w:val="Bibliography"/>
      </w:pPr>
      <w:r>
        <w:t xml:space="preserve">27.</w:t>
      </w:r>
      <w:r>
        <w:t xml:space="preserve"> </w:t>
      </w:r>
      <w:r>
        <w:t xml:space="preserve">	</w:t>
      </w:r>
      <w:r>
        <w:t xml:space="preserve">Fadili, M. J. &amp; Bullmore, E. T.</w:t>
      </w:r>
      <w:r>
        <w:t xml:space="preserve"> </w:t>
      </w:r>
      <w:hyperlink r:id="rId137">
        <w:r>
          <w:rPr>
            <w:rStyle w:val="InternetLink"/>
          </w:rPr>
          <w:t xml:space="preserve">Wavelet-</w:t>
        </w:r>
        <w:r>
          <w:rPr>
            <w:rStyle w:val="InternetLink"/>
          </w:rPr>
          <w:t xml:space="preserve">Generalized Least Squares</w:t>
        </w:r>
        <w:r>
          <w:rPr>
            <w:rStyle w:val="InternetLink"/>
          </w:rPr>
          <w:t xml:space="preserve">:</w:t>
        </w:r>
        <w:r>
          <w:rPr>
            <w:rStyle w:val="InternetLink"/>
          </w:rPr>
          <w:t xml:space="preserve"> </w:t>
        </w:r>
        <w:r>
          <w:rPr>
            <w:rStyle w:val="InternetLink"/>
          </w:rPr>
          <w:t xml:space="preserve">A New BLU Estimator</w:t>
        </w:r>
        <w:r>
          <w:rPr>
            <w:rStyle w:val="InternetLink"/>
          </w:rPr>
          <w:t xml:space="preserve"> </w:t>
        </w:r>
        <w:r>
          <w:rPr>
            <w:rStyle w:val="InternetLink"/>
          </w:rPr>
          <w:t xml:space="preserve">of</w:t>
        </w:r>
        <w:r>
          <w:rPr>
            <w:rStyle w:val="InternetLink"/>
          </w:rPr>
          <w:t xml:space="preserve"> </w:t>
        </w:r>
        <w:r>
          <w:rPr>
            <w:rStyle w:val="InternetLink"/>
          </w:rPr>
          <w:t xml:space="preserve">Linear Regression Models</w:t>
        </w:r>
        <w:r>
          <w:rPr>
            <w:rStyle w:val="InternetLink"/>
          </w:rPr>
          <w:t xml:space="preserve"> </w:t>
        </w:r>
        <w:r>
          <w:rPr>
            <w:rStyle w:val="InternetLink"/>
          </w:rPr>
          <w:t xml:space="preserve">with 1/f</w:t>
        </w:r>
        <w:r>
          <w:rPr>
            <w:rStyle w:val="InternetLink"/>
          </w:rPr>
          <w:t xml:space="preserve"> </w:t>
        </w:r>
        <w:r>
          <w:rPr>
            <w:rStyle w:val="InternetLink"/>
          </w:rPr>
          <w:t xml:space="preserve">Errors</w:t>
        </w:r>
      </w:hyperlink>
      <w:r>
        <w:t xml:space="preserve">.</w:t>
      </w:r>
      <w:r>
        <w:t xml:space="preserve"> </w:t>
      </w:r>
      <w:r>
        <w:rPr>
          <w:i/>
          <w:iCs/>
        </w:rPr>
        <w:t xml:space="preserve">NeuroImage</w:t>
      </w:r>
      <w:r>
        <w:t xml:space="preserve"> </w:t>
      </w:r>
      <w:r>
        <w:rPr>
          <w:b/>
          <w:bCs/>
        </w:rPr>
        <w:t xml:space="preserve">15</w:t>
      </w:r>
      <w:r>
        <w:t xml:space="preserve">, 217–232 (2002).</w:t>
      </w:r>
    </w:p>
    <w:bookmarkEnd w:id="138"/>
    <w:bookmarkStart w:id="140" w:name="X790fe44bee6d974469e7b4e816b8211f69a1fdd"/>
    <w:p>
      <w:pPr>
        <w:pStyle w:val="Bibliography"/>
      </w:pPr>
      <w:r>
        <w:t xml:space="preserve">28.</w:t>
      </w:r>
      <w:r>
        <w:t xml:space="preserve"> </w:t>
      </w:r>
      <w:r>
        <w:t xml:space="preserve">	</w:t>
      </w:r>
      <w:r>
        <w:t xml:space="preserve">Campbell, O. L. &amp; Weber, A. M.</w:t>
      </w:r>
      <w:r>
        <w:t xml:space="preserve"> </w:t>
      </w:r>
      <w:hyperlink r:id="rId139">
        <w:r>
          <w:rPr>
            <w:rStyle w:val="InternetLink"/>
          </w:rPr>
          <w:t xml:space="preserve">Monofractal analysis of functional magnetic resonance imaging:</w:t>
        </w:r>
        <w:r>
          <w:rPr>
            <w:rStyle w:val="InternetLink"/>
          </w:rPr>
          <w:t xml:space="preserve"> </w:t>
        </w:r>
        <w:r>
          <w:rPr>
            <w:rStyle w:val="InternetLink"/>
          </w:rPr>
          <w:t xml:space="preserve">An</w:t>
        </w:r>
        <w:r>
          <w:rPr>
            <w:rStyle w:val="InternetLink"/>
          </w:rPr>
          <w:t xml:space="preserve"> </w:t>
        </w:r>
        <w:r>
          <w:rPr>
            <w:rStyle w:val="InternetLink"/>
          </w:rPr>
          <w:t xml:space="preserve">introductory review</w:t>
        </w:r>
      </w:hyperlink>
      <w:r>
        <w:t xml:space="preserve">.</w:t>
      </w:r>
      <w:r>
        <w:t xml:space="preserve"> </w:t>
      </w:r>
      <w:r>
        <w:rPr>
          <w:i/>
          <w:iCs/>
        </w:rPr>
        <w:t xml:space="preserve">Human Brain Mapping</w:t>
      </w:r>
      <w:r>
        <w:t xml:space="preserve"> </w:t>
      </w:r>
      <w:r>
        <w:rPr>
          <w:b/>
          <w:bCs/>
        </w:rPr>
        <w:t xml:space="preserve">43</w:t>
      </w:r>
      <w:r>
        <w:t xml:space="preserve">, 2693–2706 (2022).</w:t>
      </w:r>
    </w:p>
    <w:bookmarkEnd w:id="140"/>
    <w:bookmarkStart w:id="142" w:name="X3ea812e4ccad662b9abc313f9dff7ec9c62bbb8"/>
    <w:p>
      <w:pPr>
        <w:pStyle w:val="Bibliography"/>
      </w:pPr>
      <w:r>
        <w:t xml:space="preserve">29.</w:t>
      </w:r>
      <w:r>
        <w:t xml:space="preserve"> </w:t>
      </w:r>
      <w:r>
        <w:t xml:space="preserve">	</w:t>
      </w:r>
      <w:r>
        <w:t xml:space="preserve">Eke, A., Herman, P., Kocsis, L. &amp; Kozak, L. R.</w:t>
      </w:r>
      <w:r>
        <w:t xml:space="preserve"> </w:t>
      </w:r>
      <w:hyperlink r:id="rId141">
        <w:r>
          <w:rPr>
            <w:rStyle w:val="InternetLink"/>
          </w:rPr>
          <w:t xml:space="preserve">Fractal characterization of complexity in temporal physiological signals</w:t>
        </w:r>
      </w:hyperlink>
      <w:r>
        <w:t xml:space="preserve">.</w:t>
      </w:r>
      <w:r>
        <w:t xml:space="preserve"> </w:t>
      </w:r>
      <w:r>
        <w:rPr>
          <w:i/>
          <w:iCs/>
        </w:rPr>
        <w:t xml:space="preserve">Physiological Measurement</w:t>
      </w:r>
      <w:r>
        <w:t xml:space="preserve"> </w:t>
      </w:r>
      <w:r>
        <w:rPr>
          <w:b/>
          <w:bCs/>
        </w:rPr>
        <w:t xml:space="preserve">23</w:t>
      </w:r>
      <w:r>
        <w:t xml:space="preserve">, R1–38 (2002).</w:t>
      </w:r>
    </w:p>
    <w:bookmarkEnd w:id="142"/>
    <w:bookmarkStart w:id="144" w:name="ref-hurstLongTermStorageCapacity1951"/>
    <w:p>
      <w:pPr>
        <w:pStyle w:val="Bibliography"/>
      </w:pPr>
      <w:r>
        <w:t xml:space="preserve">30.</w:t>
      </w:r>
      <w:r>
        <w:t xml:space="preserve"> </w:t>
      </w:r>
      <w:r>
        <w:t xml:space="preserve">	</w:t>
      </w:r>
      <w:r>
        <w:t xml:space="preserve">Hurst, H. E.</w:t>
      </w:r>
      <w:r>
        <w:t xml:space="preserve"> </w:t>
      </w:r>
      <w:hyperlink r:id="rId143">
        <w:r>
          <w:rPr>
            <w:rStyle w:val="InternetLink"/>
          </w:rPr>
          <w:t xml:space="preserve">Long-</w:t>
        </w:r>
        <w:r>
          <w:rPr>
            <w:rStyle w:val="InternetLink"/>
          </w:rPr>
          <w:t xml:space="preserve">Term Storage Capacity</w:t>
        </w:r>
        <w:r>
          <w:rPr>
            <w:rStyle w:val="InternetLink"/>
          </w:rPr>
          <w:t xml:space="preserve"> </w:t>
        </w:r>
        <w:r>
          <w:rPr>
            <w:rStyle w:val="InternetLink"/>
          </w:rPr>
          <w:t xml:space="preserve">of</w:t>
        </w:r>
        <w:r>
          <w:rPr>
            <w:rStyle w:val="InternetLink"/>
          </w:rPr>
          <w:t xml:space="preserve"> </w:t>
        </w:r>
        <w:r>
          <w:rPr>
            <w:rStyle w:val="InternetLink"/>
          </w:rPr>
          <w:t xml:space="preserve">Reservoirs</w:t>
        </w:r>
      </w:hyperlink>
      <w:r>
        <w:t xml:space="preserve">.</w:t>
      </w:r>
      <w:r>
        <w:t xml:space="preserve"> </w:t>
      </w:r>
      <w:r>
        <w:rPr>
          <w:i/>
          <w:iCs/>
        </w:rPr>
        <w:t xml:space="preserve">Transactions of the American Society of Civil Engineers</w:t>
      </w:r>
      <w:r>
        <w:t xml:space="preserve"> </w:t>
      </w:r>
      <w:r>
        <w:rPr>
          <w:b/>
          <w:bCs/>
        </w:rPr>
        <w:t xml:space="preserve">116</w:t>
      </w:r>
      <w:r>
        <w:t xml:space="preserve">, 770–799 (1951).</w:t>
      </w:r>
    </w:p>
    <w:bookmarkEnd w:id="144"/>
    <w:bookmarkStart w:id="145" w:name="ref-dongHurstExponentAnalysis2018"/>
    <w:p>
      <w:pPr>
        <w:pStyle w:val="Bibliography"/>
      </w:pPr>
      <w:r>
        <w:t xml:space="preserve">31.</w:t>
      </w:r>
      <w:r>
        <w:t xml:space="preserve"> </w:t>
      </w:r>
      <w:r>
        <w:t xml:space="preserve">	</w:t>
      </w:r>
      <w:r>
        <w:t xml:space="preserve">Dong, J.</w:t>
      </w:r>
      <w:r>
        <w:t xml:space="preserve"> </w:t>
      </w:r>
      <w:r>
        <w:rPr>
          <w:i/>
          <w:iCs/>
        </w:rPr>
        <w:t xml:space="preserve">et al.</w:t>
      </w:r>
      <w:r>
        <w:t xml:space="preserve"> Hurst</w:t>
      </w:r>
      <w:r>
        <w:t xml:space="preserve"> </w:t>
      </w:r>
      <w:r>
        <w:t xml:space="preserve">Exponent Analysis</w:t>
      </w:r>
      <w:r>
        <w:t xml:space="preserve"> </w:t>
      </w:r>
      <w:r>
        <w:t xml:space="preserve">of</w:t>
      </w:r>
      <w:r>
        <w:t xml:space="preserve"> </w:t>
      </w:r>
      <w:r>
        <w:t xml:space="preserve">Resting-State fMRI Signal Complexity</w:t>
      </w:r>
      <w:r>
        <w:t xml:space="preserve"> </w:t>
      </w:r>
      <w:r>
        <w:t xml:space="preserve">across the</w:t>
      </w:r>
      <w:r>
        <w:t xml:space="preserve"> </w:t>
      </w:r>
      <w:r>
        <w:t xml:space="preserve">Adult Lifespan</w:t>
      </w:r>
      <w:r>
        <w:t xml:space="preserve">.</w:t>
      </w:r>
      <w:r>
        <w:t xml:space="preserve"> </w:t>
      </w:r>
      <w:r>
        <w:rPr>
          <w:i/>
          <w:iCs/>
        </w:rPr>
        <w:t xml:space="preserve">Frontiers in Neuroscience</w:t>
      </w:r>
      <w:r>
        <w:t xml:space="preserve"> </w:t>
      </w:r>
      <w:r>
        <w:rPr>
          <w:b/>
          <w:bCs/>
        </w:rPr>
        <w:t xml:space="preserve">12</w:t>
      </w:r>
      <w:r>
        <w:t xml:space="preserve">, (2018).</w:t>
      </w:r>
    </w:p>
    <w:bookmarkEnd w:id="145"/>
    <w:bookmarkStart w:id="147" w:name="X6ee2ccee5d4e65211fef03ed8b33a5daf3d2e4e"/>
    <w:p>
      <w:pPr>
        <w:pStyle w:val="Bibliography"/>
      </w:pPr>
      <w:r>
        <w:t xml:space="preserve">32.</w:t>
      </w:r>
      <w:r>
        <w:t xml:space="preserve"> </w:t>
      </w:r>
      <w:r>
        <w:t xml:space="preserve">	</w:t>
      </w:r>
      <w:r>
        <w:t xml:space="preserve">Wink, A.-M., Bullmore, E., Barnes, A., Bernard, F. &amp; Suckling, J.</w:t>
      </w:r>
      <w:r>
        <w:t xml:space="preserve"> </w:t>
      </w:r>
      <w:hyperlink r:id="rId146">
        <w:r>
          <w:rPr>
            <w:rStyle w:val="InternetLink"/>
          </w:rPr>
          <w:t xml:space="preserve">Monofractal and multifractal dynamics of low frequency endogenous brain oscillations in functional</w:t>
        </w:r>
        <w:r>
          <w:rPr>
            <w:rStyle w:val="InternetLink"/>
          </w:rPr>
          <w:t xml:space="preserve"> </w:t>
        </w:r>
        <w:r>
          <w:rPr>
            <w:rStyle w:val="InternetLink"/>
          </w:rPr>
          <w:t xml:space="preserve">MRI</w:t>
        </w:r>
      </w:hyperlink>
      <w:r>
        <w:t xml:space="preserve">.</w:t>
      </w:r>
      <w:r>
        <w:t xml:space="preserve"> </w:t>
      </w:r>
      <w:r>
        <w:rPr>
          <w:i/>
          <w:iCs/>
        </w:rPr>
        <w:t xml:space="preserve">Human Brain Mapping</w:t>
      </w:r>
      <w:r>
        <w:t xml:space="preserve"> </w:t>
      </w:r>
      <w:r>
        <w:rPr>
          <w:b/>
          <w:bCs/>
        </w:rPr>
        <w:t xml:space="preserve">29</w:t>
      </w:r>
      <w:r>
        <w:t xml:space="preserve">, 791–801 (2008).</w:t>
      </w:r>
    </w:p>
    <w:bookmarkEnd w:id="147"/>
    <w:bookmarkStart w:id="149" w:name="X67f88f309fcd2f4a1598267ccaa3cd1cbb49c50"/>
    <w:p>
      <w:pPr>
        <w:pStyle w:val="Bibliography"/>
      </w:pPr>
      <w:r>
        <w:t xml:space="preserve">33.</w:t>
      </w:r>
      <w:r>
        <w:t xml:space="preserve"> </w:t>
      </w:r>
      <w:r>
        <w:t xml:space="preserve">	</w:t>
      </w:r>
      <w:r>
        <w:t xml:space="preserve">Ciuciu, P., Abry, P. &amp; He, B. J.</w:t>
      </w:r>
      <w:r>
        <w:t xml:space="preserve"> </w:t>
      </w:r>
      <w:hyperlink r:id="rId148">
        <w:r>
          <w:rPr>
            <w:rStyle w:val="InternetLink"/>
          </w:rPr>
          <w:t xml:space="preserve">Interplay between functional connectivity and scale-free dynamics in intrinsic</w:t>
        </w:r>
        <w:r>
          <w:rPr>
            <w:rStyle w:val="InternetLink"/>
          </w:rPr>
          <w:t xml:space="preserve"> </w:t>
        </w:r>
        <w:r>
          <w:rPr>
            <w:rStyle w:val="InternetLink"/>
          </w:rPr>
          <w:t xml:space="preserve">fMRI</w:t>
        </w:r>
        <w:r>
          <w:rPr>
            <w:rStyle w:val="InternetLink"/>
          </w:rPr>
          <w:t xml:space="preserve"> </w:t>
        </w:r>
        <w:r>
          <w:rPr>
            <w:rStyle w:val="InternetLink"/>
          </w:rPr>
          <w:t xml:space="preserve">networks</w:t>
        </w:r>
      </w:hyperlink>
      <w:r>
        <w:t xml:space="preserve">.</w:t>
      </w:r>
      <w:r>
        <w:t xml:space="preserve"> </w:t>
      </w:r>
      <w:r>
        <w:rPr>
          <w:i/>
          <w:iCs/>
        </w:rPr>
        <w:t xml:space="preserve">NeuroImage</w:t>
      </w:r>
      <w:r>
        <w:t xml:space="preserve"> </w:t>
      </w:r>
      <w:r>
        <w:rPr>
          <w:b/>
          <w:bCs/>
        </w:rPr>
        <w:t xml:space="preserve">95</w:t>
      </w:r>
      <w:r>
        <w:t xml:space="preserve">, 248–263 (2014).</w:t>
      </w:r>
    </w:p>
    <w:bookmarkEnd w:id="149"/>
    <w:bookmarkStart w:id="151" w:name="ref-heScaleFreePropertiesFunctional2011"/>
    <w:p>
      <w:pPr>
        <w:pStyle w:val="Bibliography"/>
      </w:pPr>
      <w:r>
        <w:t xml:space="preserve">34.</w:t>
      </w:r>
      <w:r>
        <w:t xml:space="preserve"> </w:t>
      </w:r>
      <w:r>
        <w:t xml:space="preserve">	</w:t>
      </w:r>
      <w:r>
        <w:t xml:space="preserve">He, B. J.</w:t>
      </w:r>
      <w:r>
        <w:t xml:space="preserve"> </w:t>
      </w:r>
      <w:hyperlink r:id="rId150">
        <w:r>
          <w:rPr>
            <w:rStyle w:val="InternetLink"/>
          </w:rPr>
          <w:t xml:space="preserve">Scale-</w:t>
        </w:r>
        <w:r>
          <w:rPr>
            <w:rStyle w:val="InternetLink"/>
          </w:rPr>
          <w:t xml:space="preserve">Free Properties</w:t>
        </w:r>
        <w:r>
          <w:rPr>
            <w:rStyle w:val="InternetLink"/>
          </w:rPr>
          <w:t xml:space="preserve"> </w:t>
        </w:r>
        <w:r>
          <w:rPr>
            <w:rStyle w:val="InternetLink"/>
          </w:rPr>
          <w:t xml:space="preserve">of the</w:t>
        </w:r>
        <w:r>
          <w:rPr>
            <w:rStyle w:val="InternetLink"/>
          </w:rPr>
          <w:t xml:space="preserve"> </w:t>
        </w:r>
        <w:r>
          <w:rPr>
            <w:rStyle w:val="InternetLink"/>
          </w:rPr>
          <w:t xml:space="preserve">Functional Magnetic Resonance Imaging Signal</w:t>
        </w:r>
        <w:r>
          <w:rPr>
            <w:rStyle w:val="InternetLink"/>
          </w:rPr>
          <w:t xml:space="preserve"> </w:t>
        </w:r>
        <w:r>
          <w:rPr>
            <w:rStyle w:val="InternetLink"/>
          </w:rPr>
          <w:t xml:space="preserve">during</w:t>
        </w:r>
        <w:r>
          <w:rPr>
            <w:rStyle w:val="InternetLink"/>
          </w:rPr>
          <w:t xml:space="preserve"> </w:t>
        </w:r>
        <w:r>
          <w:rPr>
            <w:rStyle w:val="InternetLink"/>
          </w:rPr>
          <w:t xml:space="preserve">Rest</w:t>
        </w:r>
        <w:r>
          <w:rPr>
            <w:rStyle w:val="InternetLink"/>
          </w:rPr>
          <w:t xml:space="preserve"> </w:t>
        </w:r>
        <w:r>
          <w:rPr>
            <w:rStyle w:val="InternetLink"/>
          </w:rPr>
          <w:t xml:space="preserve">and</w:t>
        </w:r>
        <w:r>
          <w:rPr>
            <w:rStyle w:val="InternetLink"/>
          </w:rPr>
          <w:t xml:space="preserve"> </w:t>
        </w:r>
        <w:r>
          <w:rPr>
            <w:rStyle w:val="InternetLink"/>
          </w:rPr>
          <w:t xml:space="preserve">Task</w:t>
        </w:r>
      </w:hyperlink>
      <w:r>
        <w:t xml:space="preserve">.</w:t>
      </w:r>
      <w:r>
        <w:t xml:space="preserve"> </w:t>
      </w:r>
      <w:r>
        <w:rPr>
          <w:i/>
          <w:iCs/>
        </w:rPr>
        <w:t xml:space="preserve">Journal of Neuroscience</w:t>
      </w:r>
      <w:r>
        <w:t xml:space="preserve"> </w:t>
      </w:r>
      <w:r>
        <w:rPr>
          <w:b/>
          <w:bCs/>
        </w:rPr>
        <w:t xml:space="preserve">31</w:t>
      </w:r>
      <w:r>
        <w:t xml:space="preserve">, 13786–13795 (2011).</w:t>
      </w:r>
    </w:p>
    <w:bookmarkEnd w:id="151"/>
    <w:bookmarkStart w:id="152" w:name="ref-campbellFractalBasedAnalysisFMRI2022"/>
    <w:p>
      <w:pPr>
        <w:pStyle w:val="Bibliography"/>
      </w:pPr>
      <w:r>
        <w:t xml:space="preserve">35.</w:t>
      </w:r>
      <w:r>
        <w:t xml:space="preserve"> </w:t>
      </w:r>
      <w:r>
        <w:t xml:space="preserve">	</w:t>
      </w:r>
      <w:r>
        <w:t xml:space="preserve">Campbell, O., Vanderwal, T. &amp; Weber, A. M. Fractal-</w:t>
      </w:r>
      <w:r>
        <w:t xml:space="preserve">Based Analysis</w:t>
      </w:r>
      <w:r>
        <w:t xml:space="preserve"> </w:t>
      </w:r>
      <w:r>
        <w:t xml:space="preserve">of</w:t>
      </w:r>
      <w:r>
        <w:t xml:space="preserve"> </w:t>
      </w:r>
      <w:r>
        <w:t xml:space="preserve">fMRI BOLD Signal During Naturalistic Viewing Conditions</w:t>
      </w:r>
      <w:r>
        <w:t xml:space="preserve">.</w:t>
      </w:r>
      <w:r>
        <w:t xml:space="preserve"> </w:t>
      </w:r>
      <w:r>
        <w:rPr>
          <w:i/>
          <w:iCs/>
        </w:rPr>
        <w:t xml:space="preserve">Frontiers in Physiology</w:t>
      </w:r>
      <w:r>
        <w:t xml:space="preserve"> </w:t>
      </w:r>
      <w:r>
        <w:rPr>
          <w:b/>
          <w:bCs/>
        </w:rPr>
        <w:t xml:space="preserve">12</w:t>
      </w:r>
      <w:r>
        <w:t xml:space="preserve">, (2022).</w:t>
      </w:r>
    </w:p>
    <w:bookmarkEnd w:id="152"/>
    <w:bookmarkStart w:id="154" w:name="Xafc73dd94de471dc6ce7bfbb5fb85cdff354abb"/>
    <w:p>
      <w:pPr>
        <w:pStyle w:val="Bibliography"/>
      </w:pPr>
      <w:r>
        <w:t xml:space="preserve">36.</w:t>
      </w:r>
      <w:r>
        <w:t xml:space="preserve"> </w:t>
      </w:r>
      <w:r>
        <w:t xml:space="preserve">	</w:t>
      </w:r>
      <w:r>
        <w:t xml:space="preserve">Churchill, N. W.</w:t>
      </w:r>
      <w:r>
        <w:t xml:space="preserve"> </w:t>
      </w:r>
      <w:r>
        <w:rPr>
          <w:i/>
          <w:iCs/>
        </w:rPr>
        <w:t xml:space="preserve">et al.</w:t>
      </w:r>
      <w:r>
        <w:t xml:space="preserve"> </w:t>
      </w:r>
      <w:hyperlink r:id="rId153">
        <w:r>
          <w:rPr>
            <w:rStyle w:val="InternetLink"/>
          </w:rPr>
          <w:t xml:space="preserve">The suppression of scale-free</w:t>
        </w:r>
        <w:r>
          <w:rPr>
            <w:rStyle w:val="InternetLink"/>
          </w:rPr>
          <w:t xml:space="preserve"> </w:t>
        </w:r>
        <w:r>
          <w:rPr>
            <w:rStyle w:val="InternetLink"/>
          </w:rPr>
          <w:t xml:space="preserve">fMRI</w:t>
        </w:r>
        <w:r>
          <w:rPr>
            <w:rStyle w:val="InternetLink"/>
          </w:rPr>
          <w:t xml:space="preserve"> </w:t>
        </w:r>
        <w:r>
          <w:rPr>
            <w:rStyle w:val="InternetLink"/>
          </w:rPr>
          <w:t xml:space="preserve">brain dynamics across three different sources of effort: Aging, task novelty and task difficulty</w:t>
        </w:r>
      </w:hyperlink>
      <w:r>
        <w:t xml:space="preserve">.</w:t>
      </w:r>
      <w:r>
        <w:t xml:space="preserve"> </w:t>
      </w:r>
      <w:r>
        <w:rPr>
          <w:i/>
          <w:iCs/>
        </w:rPr>
        <w:t xml:space="preserve">Scientific Reports</w:t>
      </w:r>
      <w:r>
        <w:t xml:space="preserve"> </w:t>
      </w:r>
      <w:r>
        <w:rPr>
          <w:b/>
          <w:bCs/>
        </w:rPr>
        <w:t xml:space="preserve">6</w:t>
      </w:r>
      <w:r>
        <w:t xml:space="preserve">, 30895 (2016).</w:t>
      </w:r>
    </w:p>
    <w:bookmarkEnd w:id="154"/>
    <w:bookmarkStart w:id="156" w:name="ref-winkAgeCholinergicEffects2006"/>
    <w:p>
      <w:pPr>
        <w:pStyle w:val="Bibliography"/>
      </w:pPr>
      <w:r>
        <w:t xml:space="preserve">37.</w:t>
      </w:r>
      <w:r>
        <w:t xml:space="preserve"> </w:t>
      </w:r>
      <w:r>
        <w:t xml:space="preserve">	</w:t>
      </w:r>
      <w:r>
        <w:t xml:space="preserve">Wink, A. M., Bernard, F., Salvador, R., Bullmore, E. &amp; Suckling, J.</w:t>
      </w:r>
      <w:r>
        <w:t xml:space="preserve"> </w:t>
      </w:r>
      <w:hyperlink r:id="rId155">
        <w:r>
          <w:rPr>
            <w:rStyle w:val="InternetLink"/>
          </w:rPr>
          <w:t xml:space="preserve">Age and cholinergic effects on hemodynamics and functional coherence of human hippocampus</w:t>
        </w:r>
      </w:hyperlink>
      <w:r>
        <w:t xml:space="preserve">.</w:t>
      </w:r>
      <w:r>
        <w:t xml:space="preserve"> </w:t>
      </w:r>
      <w:r>
        <w:rPr>
          <w:i/>
          <w:iCs/>
        </w:rPr>
        <w:t xml:space="preserve">Neurobiology of Aging</w:t>
      </w:r>
      <w:r>
        <w:t xml:space="preserve"> </w:t>
      </w:r>
      <w:r>
        <w:rPr>
          <w:b/>
          <w:bCs/>
        </w:rPr>
        <w:t xml:space="preserve">27</w:t>
      </w:r>
      <w:r>
        <w:t xml:space="preserve">, 1395–1404 (2006).</w:t>
      </w:r>
    </w:p>
    <w:bookmarkEnd w:id="156"/>
    <w:bookmarkStart w:id="158" w:name="Xb783d2555b92d46afdfcb97c84763e9aa4bd336"/>
    <w:p>
      <w:pPr>
        <w:pStyle w:val="Bibliography"/>
      </w:pPr>
      <w:r>
        <w:t xml:space="preserve">38.</w:t>
      </w:r>
      <w:r>
        <w:t xml:space="preserve"> </w:t>
      </w:r>
      <w:r>
        <w:t xml:space="preserve">	</w:t>
      </w:r>
      <w:r>
        <w:t xml:space="preserve">Mella, A. E., Vanderwal, T., Miller, S. P. &amp; Weber, A. M.</w:t>
      </w:r>
      <w:r>
        <w:t xml:space="preserve"> </w:t>
      </w:r>
      <w:hyperlink r:id="rId157">
        <w:r>
          <w:rPr>
            <w:rStyle w:val="InternetLink"/>
          </w:rPr>
          <w:t xml:space="preserve">Temporal complexity of the</w:t>
        </w:r>
        <w:r>
          <w:rPr>
            <w:rStyle w:val="InternetLink"/>
          </w:rPr>
          <w:t xml:space="preserve"> </w:t>
        </w:r>
        <w:r>
          <w:rPr>
            <w:rStyle w:val="InternetLink"/>
          </w:rPr>
          <w:t xml:space="preserve">BOLD-signal</w:t>
        </w:r>
        <w:r>
          <w:rPr>
            <w:rStyle w:val="InternetLink"/>
          </w:rPr>
          <w:t xml:space="preserve"> </w:t>
        </w:r>
        <w:r>
          <w:rPr>
            <w:rStyle w:val="InternetLink"/>
          </w:rPr>
          <w:t xml:space="preserve">in preterm versus term infants</w:t>
        </w:r>
      </w:hyperlink>
      <w:r>
        <w:t xml:space="preserve">.</w:t>
      </w:r>
      <w:r>
        <w:t xml:space="preserve"> </w:t>
      </w:r>
      <w:r>
        <w:rPr>
          <w:i/>
          <w:iCs/>
        </w:rPr>
        <w:t xml:space="preserve">Cerebral Cortex</w:t>
      </w:r>
      <w:r>
        <w:t xml:space="preserve"> </w:t>
      </w:r>
      <w:r>
        <w:rPr>
          <w:b/>
          <w:bCs/>
        </w:rPr>
        <w:t xml:space="preserve">34</w:t>
      </w:r>
      <w:r>
        <w:t xml:space="preserve">, bhae426 (2024).</w:t>
      </w:r>
    </w:p>
    <w:bookmarkEnd w:id="158"/>
    <w:bookmarkStart w:id="160" w:name="ref-maximFractionalGaussianNoise2005"/>
    <w:p>
      <w:pPr>
        <w:pStyle w:val="Bibliography"/>
      </w:pPr>
      <w:r>
        <w:t xml:space="preserve">39.</w:t>
      </w:r>
      <w:r>
        <w:t xml:space="preserve"> </w:t>
      </w:r>
      <w:r>
        <w:t xml:space="preserve">	</w:t>
      </w:r>
      <w:r>
        <w:t xml:space="preserve">Maxim, V.</w:t>
      </w:r>
      <w:r>
        <w:t xml:space="preserve"> </w:t>
      </w:r>
      <w:r>
        <w:rPr>
          <w:i/>
          <w:iCs/>
        </w:rPr>
        <w:t xml:space="preserve">et al.</w:t>
      </w:r>
      <w:r>
        <w:t xml:space="preserve"> </w:t>
      </w:r>
      <w:hyperlink r:id="rId159">
        <w:r>
          <w:rPr>
            <w:rStyle w:val="InternetLink"/>
          </w:rPr>
          <w:t xml:space="preserve">Fractional</w:t>
        </w:r>
        <w:r>
          <w:rPr>
            <w:rStyle w:val="InternetLink"/>
          </w:rPr>
          <w:t xml:space="preserve"> </w:t>
        </w:r>
        <w:r>
          <w:rPr>
            <w:rStyle w:val="InternetLink"/>
          </w:rPr>
          <w:t xml:space="preserve">Gaussian</w:t>
        </w:r>
        <w:r>
          <w:rPr>
            <w:rStyle w:val="InternetLink"/>
          </w:rPr>
          <w:t xml:space="preserve"> </w:t>
        </w:r>
        <w:r>
          <w:rPr>
            <w:rStyle w:val="InternetLink"/>
          </w:rPr>
          <w:t xml:space="preserve">noise, functional</w:t>
        </w:r>
        <w:r>
          <w:rPr>
            <w:rStyle w:val="InternetLink"/>
          </w:rPr>
          <w:t xml:space="preserve"> </w:t>
        </w:r>
        <w:r>
          <w:rPr>
            <w:rStyle w:val="InternetLink"/>
          </w:rPr>
          <w:t xml:space="preserve">MRI</w:t>
        </w:r>
        <w:r>
          <w:rPr>
            <w:rStyle w:val="InternetLink"/>
          </w:rPr>
          <w:t xml:space="preserve"> </w:t>
        </w:r>
        <w:r>
          <w:rPr>
            <w:rStyle w:val="InternetLink"/>
          </w:rPr>
          <w:t xml:space="preserve">and</w:t>
        </w:r>
        <w:r>
          <w:rPr>
            <w:rStyle w:val="InternetLink"/>
          </w:rPr>
          <w:t xml:space="preserve"> </w:t>
        </w:r>
        <w:r>
          <w:rPr>
            <w:rStyle w:val="InternetLink"/>
          </w:rPr>
          <w:t xml:space="preserve">Alzheimer</w:t>
        </w:r>
        <w:r>
          <w:rPr>
            <w:rStyle w:val="InternetLink"/>
          </w:rPr>
          <w:t xml:space="preserve">’s disease</w:t>
        </w:r>
      </w:hyperlink>
      <w:r>
        <w:t xml:space="preserve">.</w:t>
      </w:r>
      <w:r>
        <w:t xml:space="preserve"> </w:t>
      </w:r>
      <w:r>
        <w:rPr>
          <w:i/>
          <w:iCs/>
        </w:rPr>
        <w:t xml:space="preserve">NeuroImage</w:t>
      </w:r>
      <w:r>
        <w:t xml:space="preserve"> </w:t>
      </w:r>
      <w:r>
        <w:rPr>
          <w:b/>
          <w:bCs/>
        </w:rPr>
        <w:t xml:space="preserve">25</w:t>
      </w:r>
      <w:r>
        <w:t xml:space="preserve">, 141–158 (2005).</w:t>
      </w:r>
    </w:p>
    <w:bookmarkEnd w:id="160"/>
    <w:bookmarkStart w:id="162" w:name="ref-warsiCorrelatingBrainBlood2012"/>
    <w:p>
      <w:pPr>
        <w:pStyle w:val="Bibliography"/>
      </w:pPr>
      <w:r>
        <w:t xml:space="preserve">40.</w:t>
      </w:r>
      <w:r>
        <w:t xml:space="preserve"> </w:t>
      </w:r>
      <w:r>
        <w:t xml:space="preserve">	</w:t>
      </w:r>
      <w:r>
        <w:t xml:space="preserve">Warsi, M. A., Molloy, W. &amp; Noseworthy, M. D.</w:t>
      </w:r>
      <w:r>
        <w:t xml:space="preserve"> </w:t>
      </w:r>
      <w:hyperlink r:id="rId161">
        <w:r>
          <w:rPr>
            <w:rStyle w:val="InternetLink"/>
          </w:rPr>
          <w:t xml:space="preserve">Correlating brain blood oxygenation level dependent (</w:t>
        </w:r>
        <w:r>
          <w:rPr>
            <w:rStyle w:val="InternetLink"/>
          </w:rPr>
          <w:t xml:space="preserve">BOLD</w:t>
        </w:r>
        <w:r>
          <w:rPr>
            <w:rStyle w:val="InternetLink"/>
          </w:rPr>
          <w:t xml:space="preserve">) fractal dimension mapping with magnetic resonance spectroscopy (</w:t>
        </w:r>
        <w:r>
          <w:rPr>
            <w:rStyle w:val="InternetLink"/>
          </w:rPr>
          <w:t xml:space="preserve">MRS</w:t>
        </w:r>
        <w:r>
          <w:rPr>
            <w:rStyle w:val="InternetLink"/>
          </w:rPr>
          <w:t xml:space="preserve">) in</w:t>
        </w:r>
        <w:r>
          <w:rPr>
            <w:rStyle w:val="InternetLink"/>
          </w:rPr>
          <w:t xml:space="preserve"> </w:t>
        </w:r>
        <w:r>
          <w:rPr>
            <w:rStyle w:val="InternetLink"/>
          </w:rPr>
          <w:t xml:space="preserve">Alzheimer</w:t>
        </w:r>
        <w:r>
          <w:rPr>
            <w:rStyle w:val="InternetLink"/>
          </w:rPr>
          <w:t xml:space="preserve">’s disease</w:t>
        </w:r>
      </w:hyperlink>
      <w:r>
        <w:t xml:space="preserve">.</w:t>
      </w:r>
      <w:r>
        <w:t xml:space="preserve"> </w:t>
      </w:r>
      <w:r>
        <w:rPr>
          <w:i/>
          <w:iCs/>
        </w:rPr>
        <w:t xml:space="preserve">Magnetic Resonance Materials in Physics, Biology and Medicine</w:t>
      </w:r>
      <w:r>
        <w:t xml:space="preserve"> </w:t>
      </w:r>
      <w:r>
        <w:rPr>
          <w:b/>
          <w:bCs/>
        </w:rPr>
        <w:t xml:space="preserve">25</w:t>
      </w:r>
      <w:r>
        <w:t xml:space="preserve">, 335–344 (2012).</w:t>
      </w:r>
    </w:p>
    <w:bookmarkEnd w:id="162"/>
    <w:bookmarkStart w:id="164" w:name="ref-donaTemporalFractalAnalysis2017"/>
    <w:p>
      <w:pPr>
        <w:pStyle w:val="Bibliography"/>
      </w:pPr>
      <w:r>
        <w:t xml:space="preserve">41.</w:t>
      </w:r>
      <w:r>
        <w:t xml:space="preserve"> </w:t>
      </w:r>
      <w:r>
        <w:t xml:space="preserve">	</w:t>
      </w:r>
      <w:r>
        <w:t xml:space="preserve">Dona, O., Hall, G. B. &amp; Noseworthy, M. D.</w:t>
      </w:r>
      <w:r>
        <w:t xml:space="preserve"> </w:t>
      </w:r>
      <w:hyperlink r:id="rId163">
        <w:r>
          <w:rPr>
            <w:rStyle w:val="InternetLink"/>
          </w:rPr>
          <w:t xml:space="preserve">Temporal fractal analysis of the rs-</w:t>
        </w:r>
        <w:r>
          <w:rPr>
            <w:rStyle w:val="InternetLink"/>
          </w:rPr>
          <w:t xml:space="preserve">BOLD</w:t>
        </w:r>
        <w:r>
          <w:rPr>
            <w:rStyle w:val="InternetLink"/>
          </w:rPr>
          <w:t xml:space="preserve"> </w:t>
        </w:r>
        <w:r>
          <w:rPr>
            <w:rStyle w:val="InternetLink"/>
          </w:rPr>
          <w:t xml:space="preserve">signal identifies brain abnormalities in autism spectrum disorder</w:t>
        </w:r>
      </w:hyperlink>
      <w:r>
        <w:t xml:space="preserve">.</w:t>
      </w:r>
      <w:r>
        <w:t xml:space="preserve"> </w:t>
      </w:r>
      <w:r>
        <w:rPr>
          <w:i/>
          <w:iCs/>
        </w:rPr>
        <w:t xml:space="preserve">PLOS ONE</w:t>
      </w:r>
      <w:r>
        <w:t xml:space="preserve"> </w:t>
      </w:r>
      <w:r>
        <w:rPr>
          <w:b/>
          <w:bCs/>
        </w:rPr>
        <w:t xml:space="preserve">12</w:t>
      </w:r>
      <w:r>
        <w:t xml:space="preserve">, e0190081 (2017).</w:t>
      </w:r>
    </w:p>
    <w:bookmarkEnd w:id="164"/>
    <w:bookmarkStart w:id="166" w:name="ref-laiShiftRandomnessBrain2010"/>
    <w:p>
      <w:pPr>
        <w:pStyle w:val="Bibliography"/>
      </w:pPr>
      <w:r>
        <w:t xml:space="preserve">42.</w:t>
      </w:r>
      <w:r>
        <w:t xml:space="preserve"> </w:t>
      </w:r>
      <w:r>
        <w:t xml:space="preserve">	</w:t>
      </w:r>
      <w:r>
        <w:t xml:space="preserve">Lai, M.-C.</w:t>
      </w:r>
      <w:r>
        <w:t xml:space="preserve"> </w:t>
      </w:r>
      <w:r>
        <w:rPr>
          <w:i/>
          <w:iCs/>
        </w:rPr>
        <w:t xml:space="preserve">et al.</w:t>
      </w:r>
      <w:r>
        <w:t xml:space="preserve"> </w:t>
      </w:r>
      <w:hyperlink r:id="rId165">
        <w:r>
          <w:rPr>
            <w:rStyle w:val="InternetLink"/>
          </w:rPr>
          <w:t xml:space="preserve">A</w:t>
        </w:r>
        <w:r>
          <w:rPr>
            <w:rStyle w:val="InternetLink"/>
          </w:rPr>
          <w:t xml:space="preserve"> </w:t>
        </w:r>
        <w:r>
          <w:rPr>
            <w:rStyle w:val="InternetLink"/>
          </w:rPr>
          <w:t xml:space="preserve">Shift</w:t>
        </w:r>
        <w:r>
          <w:rPr>
            <w:rStyle w:val="InternetLink"/>
          </w:rPr>
          <w:t xml:space="preserve"> </w:t>
        </w:r>
        <w:r>
          <w:rPr>
            <w:rStyle w:val="InternetLink"/>
          </w:rPr>
          <w:t xml:space="preserve">to</w:t>
        </w:r>
        <w:r>
          <w:rPr>
            <w:rStyle w:val="InternetLink"/>
          </w:rPr>
          <w:t xml:space="preserve"> </w:t>
        </w:r>
        <w:r>
          <w:rPr>
            <w:rStyle w:val="InternetLink"/>
          </w:rPr>
          <w:t xml:space="preserve">Randomness</w:t>
        </w:r>
        <w:r>
          <w:rPr>
            <w:rStyle w:val="InternetLink"/>
          </w:rPr>
          <w:t xml:space="preserve"> </w:t>
        </w:r>
        <w:r>
          <w:rPr>
            <w:rStyle w:val="InternetLink"/>
          </w:rPr>
          <w:t xml:space="preserve">of</w:t>
        </w:r>
        <w:r>
          <w:rPr>
            <w:rStyle w:val="InternetLink"/>
          </w:rPr>
          <w:t xml:space="preserve"> </w:t>
        </w:r>
        <w:r>
          <w:rPr>
            <w:rStyle w:val="InternetLink"/>
          </w:rPr>
          <w:t xml:space="preserve">Brain Oscillations</w:t>
        </w:r>
        <w:r>
          <w:rPr>
            <w:rStyle w:val="InternetLink"/>
          </w:rPr>
          <w:t xml:space="preserve"> </w:t>
        </w:r>
        <w:r>
          <w:rPr>
            <w:rStyle w:val="InternetLink"/>
          </w:rPr>
          <w:t xml:space="preserve">in</w:t>
        </w:r>
        <w:r>
          <w:rPr>
            <w:rStyle w:val="InternetLink"/>
          </w:rPr>
          <w:t xml:space="preserve"> </w:t>
        </w:r>
        <w:r>
          <w:rPr>
            <w:rStyle w:val="InternetLink"/>
          </w:rPr>
          <w:t xml:space="preserve">People</w:t>
        </w:r>
        <w:r>
          <w:rPr>
            <w:rStyle w:val="InternetLink"/>
          </w:rPr>
          <w:t xml:space="preserve"> </w:t>
        </w:r>
        <w:r>
          <w:rPr>
            <w:rStyle w:val="InternetLink"/>
          </w:rPr>
          <w:t xml:space="preserve">with</w:t>
        </w:r>
        <w:r>
          <w:rPr>
            <w:rStyle w:val="InternetLink"/>
          </w:rPr>
          <w:t xml:space="preserve"> </w:t>
        </w:r>
        <w:r>
          <w:rPr>
            <w:rStyle w:val="InternetLink"/>
          </w:rPr>
          <w:t xml:space="preserve">Autism</w:t>
        </w:r>
      </w:hyperlink>
      <w:r>
        <w:t xml:space="preserve">.</w:t>
      </w:r>
      <w:r>
        <w:t xml:space="preserve"> </w:t>
      </w:r>
      <w:r>
        <w:rPr>
          <w:i/>
          <w:iCs/>
        </w:rPr>
        <w:t xml:space="preserve">Biological Psychiatry</w:t>
      </w:r>
      <w:r>
        <w:t xml:space="preserve"> </w:t>
      </w:r>
      <w:r>
        <w:rPr>
          <w:b/>
          <w:bCs/>
        </w:rPr>
        <w:t xml:space="preserve">68</w:t>
      </w:r>
      <w:r>
        <w:t xml:space="preserve">, 1092–1099 (2010).</w:t>
      </w:r>
    </w:p>
    <w:bookmarkEnd w:id="166"/>
    <w:bookmarkStart w:id="168" w:name="ref-linkeAlteredDevelopmentHurst2024"/>
    <w:p>
      <w:pPr>
        <w:pStyle w:val="Bibliography"/>
      </w:pPr>
      <w:r>
        <w:t xml:space="preserve">43.</w:t>
      </w:r>
      <w:r>
        <w:t xml:space="preserve"> </w:t>
      </w:r>
      <w:r>
        <w:t xml:space="preserve">	</w:t>
      </w:r>
      <w:r>
        <w:t xml:space="preserve">Linke, A. C.</w:t>
      </w:r>
      <w:r>
        <w:t xml:space="preserve"> </w:t>
      </w:r>
      <w:r>
        <w:rPr>
          <w:i/>
          <w:iCs/>
        </w:rPr>
        <w:t xml:space="preserve">et al.</w:t>
      </w:r>
      <w:r>
        <w:t xml:space="preserve"> Altered</w:t>
      </w:r>
      <w:r>
        <w:t xml:space="preserve"> </w:t>
      </w:r>
      <w:r>
        <w:t xml:space="preserve">Development</w:t>
      </w:r>
      <w:r>
        <w:t xml:space="preserve"> </w:t>
      </w:r>
      <w:r>
        <w:t xml:space="preserve">of the</w:t>
      </w:r>
      <w:r>
        <w:t xml:space="preserve"> </w:t>
      </w:r>
      <w:r>
        <w:t xml:space="preserve">Hurst Exponent</w:t>
      </w:r>
      <w:r>
        <w:t xml:space="preserve"> </w:t>
      </w:r>
      <w:r>
        <w:t xml:space="preserve">in the</w:t>
      </w:r>
      <w:r>
        <w:t xml:space="preserve"> </w:t>
      </w:r>
      <w:r>
        <w:t xml:space="preserve">Medial Prefrontal Cortex</w:t>
      </w:r>
      <w:r>
        <w:t xml:space="preserve"> </w:t>
      </w:r>
      <w:r>
        <w:t xml:space="preserve">in</w:t>
      </w:r>
      <w:r>
        <w:t xml:space="preserve"> </w:t>
      </w:r>
      <w:r>
        <w:t xml:space="preserve">Preschoolers With Autism</w:t>
      </w:r>
      <w:r>
        <w:t xml:space="preserve">.</w:t>
      </w:r>
      <w:r>
        <w:t xml:space="preserve"> </w:t>
      </w:r>
      <w:r>
        <w:rPr>
          <w:i/>
          <w:iCs/>
        </w:rPr>
        <w:t xml:space="preserve">Biological Psychiatry: Cognitive Neuroscience and Neuroimaging</w:t>
      </w:r>
      <w:r>
        <w:t xml:space="preserve"> </w:t>
      </w:r>
      <w:r>
        <w:t xml:space="preserve">S2451902224002714 (2024) doi:</w:t>
      </w:r>
      <w:hyperlink r:id="rId167">
        <w:r>
          <w:rPr>
            <w:rStyle w:val="InternetLink"/>
          </w:rPr>
          <w:t xml:space="preserve">10.1016/j.bpsc.2024.09.003</w:t>
        </w:r>
      </w:hyperlink>
      <w:r>
        <w:t xml:space="preserve">.</w:t>
      </w:r>
    </w:p>
    <w:bookmarkEnd w:id="168"/>
    <w:bookmarkStart w:id="170" w:name="X9db7696ad2e4faacd50572793eadf5dbc11376b"/>
    <w:p>
      <w:pPr>
        <w:pStyle w:val="Bibliography"/>
      </w:pPr>
      <w:r>
        <w:t xml:space="preserve">44.</w:t>
      </w:r>
      <w:r>
        <w:t xml:space="preserve"> </w:t>
      </w:r>
      <w:r>
        <w:t xml:space="preserve">	</w:t>
      </w:r>
      <w:r>
        <w:t xml:space="preserve">Uscătescu, L. C.</w:t>
      </w:r>
      <w:r>
        <w:t xml:space="preserve"> </w:t>
      </w:r>
      <w:r>
        <w:rPr>
          <w:i/>
          <w:iCs/>
        </w:rPr>
        <w:t xml:space="preserve">et al.</w:t>
      </w:r>
      <w:r>
        <w:t xml:space="preserve"> Using the</w:t>
      </w:r>
      <w:r>
        <w:t xml:space="preserve"> </w:t>
      </w:r>
      <w:r>
        <w:t xml:space="preserve">Excitation</w:t>
      </w:r>
      <w:r>
        <w:t xml:space="preserve">/</w:t>
      </w:r>
      <w:r>
        <w:t xml:space="preserve">Inhibition Ratio</w:t>
      </w:r>
      <w:r>
        <w:t xml:space="preserve"> </w:t>
      </w:r>
      <w:r>
        <w:t xml:space="preserve">to</w:t>
      </w:r>
      <w:r>
        <w:t xml:space="preserve"> </w:t>
      </w:r>
      <w:r>
        <w:t xml:space="preserve">Optimize</w:t>
      </w:r>
      <w:r>
        <w:t xml:space="preserve"> </w:t>
      </w:r>
      <w:r>
        <w:t xml:space="preserve">the</w:t>
      </w:r>
      <w:r>
        <w:t xml:space="preserve"> </w:t>
      </w:r>
      <w:r>
        <w:t xml:space="preserve">Classification</w:t>
      </w:r>
      <w:r>
        <w:t xml:space="preserve"> </w:t>
      </w:r>
      <w:r>
        <w:t xml:space="preserve">of</w:t>
      </w:r>
      <w:r>
        <w:t xml:space="preserve"> </w:t>
      </w:r>
      <w:r>
        <w:t xml:space="preserve">Autism</w:t>
      </w:r>
      <w:r>
        <w:t xml:space="preserve"> </w:t>
      </w:r>
      <w:r>
        <w:t xml:space="preserve">and</w:t>
      </w:r>
      <w:r>
        <w:t xml:space="preserve"> </w:t>
      </w:r>
      <w:r>
        <w:t xml:space="preserve">Schizophrenia</w:t>
      </w:r>
      <w:r>
        <w:t xml:space="preserve">. 2022.05.24.22275531 (2023) doi:</w:t>
      </w:r>
      <w:hyperlink r:id="rId169">
        <w:r>
          <w:rPr>
            <w:rStyle w:val="InternetLink"/>
          </w:rPr>
          <w:t xml:space="preserve">10.1101/2022.05.24.22275531</w:t>
        </w:r>
      </w:hyperlink>
      <w:r>
        <w:t xml:space="preserve">.</w:t>
      </w:r>
    </w:p>
    <w:bookmarkEnd w:id="170"/>
    <w:bookmarkStart w:id="172" w:name="ref-donaFractalAnalysisBrain2017"/>
    <w:p>
      <w:pPr>
        <w:pStyle w:val="Bibliography"/>
      </w:pPr>
      <w:r>
        <w:t xml:space="preserve">45.</w:t>
      </w:r>
      <w:r>
        <w:t xml:space="preserve"> </w:t>
      </w:r>
      <w:r>
        <w:t xml:space="preserve">	</w:t>
      </w:r>
      <w:r>
        <w:t xml:space="preserve">Dona, O., Noseworthy, M. D., DeMatteo, C. &amp; Connolly, J. F.</w:t>
      </w:r>
      <w:r>
        <w:t xml:space="preserve"> </w:t>
      </w:r>
      <w:hyperlink r:id="rId171">
        <w:r>
          <w:rPr>
            <w:rStyle w:val="InternetLink"/>
          </w:rPr>
          <w:t xml:space="preserve">Fractal</w:t>
        </w:r>
        <w:r>
          <w:rPr>
            <w:rStyle w:val="InternetLink"/>
          </w:rPr>
          <w:t xml:space="preserve"> </w:t>
        </w:r>
        <w:r>
          <w:rPr>
            <w:rStyle w:val="InternetLink"/>
          </w:rPr>
          <w:t xml:space="preserve">Analysis</w:t>
        </w:r>
        <w:r>
          <w:rPr>
            <w:rStyle w:val="InternetLink"/>
          </w:rPr>
          <w:t xml:space="preserve"> </w:t>
        </w:r>
        <w:r>
          <w:rPr>
            <w:rStyle w:val="InternetLink"/>
          </w:rPr>
          <w:t xml:space="preserve">of</w:t>
        </w:r>
        <w:r>
          <w:rPr>
            <w:rStyle w:val="InternetLink"/>
          </w:rPr>
          <w:t xml:space="preserve"> </w:t>
        </w:r>
        <w:r>
          <w:rPr>
            <w:rStyle w:val="InternetLink"/>
          </w:rPr>
          <w:t xml:space="preserve">Brain Blood Oxygenation Level Dependent</w:t>
        </w:r>
        <w:r>
          <w:rPr>
            <w:rStyle w:val="InternetLink"/>
          </w:rPr>
          <w:t xml:space="preserve"> </w:t>
        </w:r>
        <w:r>
          <w:rPr>
            <w:rStyle w:val="InternetLink"/>
          </w:rPr>
          <w:t xml:space="preserve">(</w:t>
        </w:r>
        <w:r>
          <w:rPr>
            <w:rStyle w:val="InternetLink"/>
          </w:rPr>
          <w:t xml:space="preserve">BOLD</w:t>
        </w:r>
        <w:r>
          <w:rPr>
            <w:rStyle w:val="InternetLink"/>
          </w:rPr>
          <w:t xml:space="preserve">)</w:t>
        </w:r>
        <w:r>
          <w:rPr>
            <w:rStyle w:val="InternetLink"/>
          </w:rPr>
          <w:t xml:space="preserve"> </w:t>
        </w:r>
        <w:r>
          <w:rPr>
            <w:rStyle w:val="InternetLink"/>
          </w:rPr>
          <w:t xml:space="preserve">Signals</w:t>
        </w:r>
        <w:r>
          <w:rPr>
            <w:rStyle w:val="InternetLink"/>
          </w:rPr>
          <w:t xml:space="preserve"> </w:t>
        </w:r>
        <w:r>
          <w:rPr>
            <w:rStyle w:val="InternetLink"/>
          </w:rPr>
          <w:t xml:space="preserve">from</w:t>
        </w:r>
        <w:r>
          <w:rPr>
            <w:rStyle w:val="InternetLink"/>
          </w:rPr>
          <w:t xml:space="preserve"> </w:t>
        </w:r>
        <w:r>
          <w:rPr>
            <w:rStyle w:val="InternetLink"/>
          </w:rPr>
          <w:t xml:space="preserve">Children</w:t>
        </w:r>
        <w:r>
          <w:rPr>
            <w:rStyle w:val="InternetLink"/>
          </w:rPr>
          <w:t xml:space="preserve"> </w:t>
        </w:r>
        <w:r>
          <w:rPr>
            <w:rStyle w:val="InternetLink"/>
          </w:rPr>
          <w:t xml:space="preserve">with</w:t>
        </w:r>
        <w:r>
          <w:rPr>
            <w:rStyle w:val="InternetLink"/>
          </w:rPr>
          <w:t xml:space="preserve"> </w:t>
        </w:r>
        <w:r>
          <w:rPr>
            <w:rStyle w:val="InternetLink"/>
          </w:rPr>
          <w:t xml:space="preserve">Mild Traumatic Brain Injury</w:t>
        </w:r>
        <w:r>
          <w:rPr>
            <w:rStyle w:val="InternetLink"/>
          </w:rPr>
          <w:t xml:space="preserve"> </w:t>
        </w:r>
        <w:r>
          <w:rPr>
            <w:rStyle w:val="InternetLink"/>
          </w:rPr>
          <w:t xml:space="preserve">(</w:t>
        </w:r>
        <w:r>
          <w:rPr>
            <w:rStyle w:val="InternetLink"/>
          </w:rPr>
          <w:t xml:space="preserve">mTBI</w:t>
        </w:r>
        <w:r>
          <w:rPr>
            <w:rStyle w:val="InternetLink"/>
          </w:rPr>
          <w:t xml:space="preserve">)</w:t>
        </w:r>
      </w:hyperlink>
      <w:r>
        <w:t xml:space="preserve">.</w:t>
      </w:r>
      <w:r>
        <w:t xml:space="preserve"> </w:t>
      </w:r>
      <w:r>
        <w:rPr>
          <w:i/>
          <w:iCs/>
        </w:rPr>
        <w:t xml:space="preserve">PLOS ONE</w:t>
      </w:r>
      <w:r>
        <w:t xml:space="preserve"> </w:t>
      </w:r>
      <w:r>
        <w:rPr>
          <w:b/>
          <w:bCs/>
        </w:rPr>
        <w:t xml:space="preserve">12</w:t>
      </w:r>
      <w:r>
        <w:t xml:space="preserve">, e0169647 (2017).</w:t>
      </w:r>
    </w:p>
    <w:bookmarkEnd w:id="172"/>
    <w:bookmarkStart w:id="174" w:name="ref-weiIdentifyingMajorDepressive2013"/>
    <w:p>
      <w:pPr>
        <w:pStyle w:val="Bibliography"/>
      </w:pPr>
      <w:r>
        <w:t xml:space="preserve">46.</w:t>
      </w:r>
      <w:r>
        <w:t xml:space="preserve"> </w:t>
      </w:r>
      <w:r>
        <w:t xml:space="preserve">	</w:t>
      </w:r>
      <w:r>
        <w:t xml:space="preserve">Wei, M.</w:t>
      </w:r>
      <w:r>
        <w:t xml:space="preserve"> </w:t>
      </w:r>
      <w:r>
        <w:rPr>
          <w:i/>
          <w:iCs/>
        </w:rPr>
        <w:t xml:space="preserve">et al.</w:t>
      </w:r>
      <w:r>
        <w:t xml:space="preserve"> </w:t>
      </w:r>
      <w:hyperlink r:id="rId173">
        <w:r>
          <w:rPr>
            <w:rStyle w:val="InternetLink"/>
          </w:rPr>
          <w:t xml:space="preserve">Identifying major depressive disorder using</w:t>
        </w:r>
        <w:r>
          <w:rPr>
            <w:rStyle w:val="InternetLink"/>
          </w:rPr>
          <w:t xml:space="preserve"> </w:t>
        </w:r>
        <w:r>
          <w:rPr>
            <w:rStyle w:val="InternetLink"/>
          </w:rPr>
          <w:t xml:space="preserve">Hurst</w:t>
        </w:r>
        <w:r>
          <w:rPr>
            <w:rStyle w:val="InternetLink"/>
          </w:rPr>
          <w:t xml:space="preserve"> </w:t>
        </w:r>
        <w:r>
          <w:rPr>
            <w:rStyle w:val="InternetLink"/>
          </w:rPr>
          <w:t xml:space="preserve">exponent of resting-state brain networks</w:t>
        </w:r>
      </w:hyperlink>
      <w:r>
        <w:t xml:space="preserve">.</w:t>
      </w:r>
      <w:r>
        <w:t xml:space="preserve"> </w:t>
      </w:r>
      <w:r>
        <w:rPr>
          <w:i/>
          <w:iCs/>
        </w:rPr>
        <w:t xml:space="preserve">Psychiatry Research: Neuroimaging</w:t>
      </w:r>
      <w:r>
        <w:t xml:space="preserve"> </w:t>
      </w:r>
      <w:r>
        <w:rPr>
          <w:b/>
          <w:bCs/>
        </w:rPr>
        <w:t xml:space="preserve">214</w:t>
      </w:r>
      <w:r>
        <w:t xml:space="preserve">, 306–312 (2013).</w:t>
      </w:r>
    </w:p>
    <w:bookmarkEnd w:id="174"/>
    <w:bookmarkStart w:id="176" w:name="ref-jingIdentifyingCurrentRemitted2017"/>
    <w:p>
      <w:pPr>
        <w:pStyle w:val="Bibliography"/>
      </w:pPr>
      <w:r>
        <w:t xml:space="preserve">47.</w:t>
      </w:r>
      <w:r>
        <w:t xml:space="preserve"> </w:t>
      </w:r>
      <w:r>
        <w:t xml:space="preserve">	</w:t>
      </w:r>
      <w:r>
        <w:t xml:space="preserve">Jing, B.</w:t>
      </w:r>
      <w:r>
        <w:t xml:space="preserve"> </w:t>
      </w:r>
      <w:r>
        <w:rPr>
          <w:i/>
          <w:iCs/>
        </w:rPr>
        <w:t xml:space="preserve">et al.</w:t>
      </w:r>
      <w:r>
        <w:t xml:space="preserve"> </w:t>
      </w:r>
      <w:hyperlink r:id="rId175">
        <w:r>
          <w:rPr>
            <w:rStyle w:val="InternetLink"/>
          </w:rPr>
          <w:t xml:space="preserve">Identifying current and remitted major depressive disorder with the</w:t>
        </w:r>
        <w:r>
          <w:rPr>
            <w:rStyle w:val="InternetLink"/>
          </w:rPr>
          <w:t xml:space="preserve"> </w:t>
        </w:r>
        <w:r>
          <w:rPr>
            <w:rStyle w:val="InternetLink"/>
          </w:rPr>
          <w:t xml:space="preserve">Hurst</w:t>
        </w:r>
        <w:r>
          <w:rPr>
            <w:rStyle w:val="InternetLink"/>
          </w:rPr>
          <w:t xml:space="preserve"> </w:t>
        </w:r>
        <w:r>
          <w:rPr>
            <w:rStyle w:val="InternetLink"/>
          </w:rPr>
          <w:t xml:space="preserve">exponent: A comparative study on two automated anatomical labeling atlases</w:t>
        </w:r>
      </w:hyperlink>
      <w:r>
        <w:t xml:space="preserve">.</w:t>
      </w:r>
      <w:r>
        <w:t xml:space="preserve"> </w:t>
      </w:r>
      <w:r>
        <w:rPr>
          <w:i/>
          <w:iCs/>
        </w:rPr>
        <w:t xml:space="preserve">Oncotarget</w:t>
      </w:r>
      <w:r>
        <w:t xml:space="preserve"> </w:t>
      </w:r>
      <w:r>
        <w:rPr>
          <w:b/>
          <w:bCs/>
        </w:rPr>
        <w:t xml:space="preserve">8</w:t>
      </w:r>
      <w:r>
        <w:t xml:space="preserve">, 90452–90464 (2017).</w:t>
      </w:r>
    </w:p>
    <w:bookmarkEnd w:id="176"/>
    <w:bookmarkStart w:id="178" w:name="Xb33ad22c9aea02cb9e68fb14f52e57e52d7323b"/>
    <w:p>
      <w:pPr>
        <w:pStyle w:val="Bibliography"/>
      </w:pPr>
      <w:r>
        <w:t xml:space="preserve">48.</w:t>
      </w:r>
      <w:r>
        <w:t xml:space="preserve"> </w:t>
      </w:r>
      <w:r>
        <w:t xml:space="preserve">	</w:t>
      </w:r>
      <w:r>
        <w:t xml:space="preserve">Sokunbi, M. O.</w:t>
      </w:r>
      <w:r>
        <w:t xml:space="preserve"> </w:t>
      </w:r>
      <w:r>
        <w:rPr>
          <w:i/>
          <w:iCs/>
        </w:rPr>
        <w:t xml:space="preserve">et al.</w:t>
      </w:r>
      <w:r>
        <w:t xml:space="preserve"> </w:t>
      </w:r>
      <w:hyperlink r:id="rId177">
        <w:r>
          <w:rPr>
            <w:rStyle w:val="InternetLink"/>
          </w:rPr>
          <w:t xml:space="preserve">Nonlinear</w:t>
        </w:r>
        <w:r>
          <w:rPr>
            <w:rStyle w:val="InternetLink"/>
          </w:rPr>
          <w:t xml:space="preserve"> </w:t>
        </w:r>
        <w:r>
          <w:rPr>
            <w:rStyle w:val="InternetLink"/>
          </w:rPr>
          <w:t xml:space="preserve">Complexity Analysis</w:t>
        </w:r>
        <w:r>
          <w:rPr>
            <w:rStyle w:val="InternetLink"/>
          </w:rPr>
          <w:t xml:space="preserve"> </w:t>
        </w:r>
        <w:r>
          <w:rPr>
            <w:rStyle w:val="InternetLink"/>
          </w:rPr>
          <w:t xml:space="preserve">of</w:t>
        </w:r>
        <w:r>
          <w:rPr>
            <w:rStyle w:val="InternetLink"/>
          </w:rPr>
          <w:t xml:space="preserve"> </w:t>
        </w:r>
        <w:r>
          <w:rPr>
            <w:rStyle w:val="InternetLink"/>
          </w:rPr>
          <w:t xml:space="preserve">Brain fMRI Signals</w:t>
        </w:r>
        <w:r>
          <w:rPr>
            <w:rStyle w:val="InternetLink"/>
          </w:rPr>
          <w:t xml:space="preserve"> </w:t>
        </w:r>
        <w:r>
          <w:rPr>
            <w:rStyle w:val="InternetLink"/>
          </w:rPr>
          <w:t xml:space="preserve">in</w:t>
        </w:r>
        <w:r>
          <w:rPr>
            <w:rStyle w:val="InternetLink"/>
          </w:rPr>
          <w:t xml:space="preserve"> </w:t>
        </w:r>
        <w:r>
          <w:rPr>
            <w:rStyle w:val="InternetLink"/>
          </w:rPr>
          <w:t xml:space="preserve">Schizophrenia</w:t>
        </w:r>
      </w:hyperlink>
      <w:r>
        <w:t xml:space="preserve">.</w:t>
      </w:r>
      <w:r>
        <w:t xml:space="preserve"> </w:t>
      </w:r>
      <w:r>
        <w:rPr>
          <w:i/>
          <w:iCs/>
        </w:rPr>
        <w:t xml:space="preserve">PLoS ONE</w:t>
      </w:r>
      <w:r>
        <w:t xml:space="preserve"> </w:t>
      </w:r>
      <w:r>
        <w:rPr>
          <w:b/>
          <w:bCs/>
        </w:rPr>
        <w:t xml:space="preserve">9</w:t>
      </w:r>
      <w:r>
        <w:t xml:space="preserve">, e95146 (2014).</w:t>
      </w:r>
    </w:p>
    <w:bookmarkEnd w:id="178"/>
    <w:bookmarkStart w:id="180" w:name="X79642ef279d4aea0ebe5e10d2cba19e16f93a8d"/>
    <w:p>
      <w:pPr>
        <w:pStyle w:val="Bibliography"/>
      </w:pPr>
      <w:r>
        <w:t xml:space="preserve">49.</w:t>
      </w:r>
      <w:r>
        <w:t xml:space="preserve"> </w:t>
      </w:r>
      <w:r>
        <w:t xml:space="preserve">	</w:t>
      </w:r>
      <w:r>
        <w:t xml:space="preserve">Vico Varela, E., Etter, G. &amp; Williams, S.</w:t>
      </w:r>
      <w:r>
        <w:t xml:space="preserve"> </w:t>
      </w:r>
      <w:hyperlink r:id="rId179">
        <w:r>
          <w:rPr>
            <w:rStyle w:val="InternetLink"/>
          </w:rPr>
          <w:t xml:space="preserve">Excitatory-inhibitory imbalance in</w:t>
        </w:r>
        <w:r>
          <w:rPr>
            <w:rStyle w:val="InternetLink"/>
          </w:rPr>
          <w:t xml:space="preserve"> </w:t>
        </w:r>
        <w:r>
          <w:rPr>
            <w:rStyle w:val="InternetLink"/>
          </w:rPr>
          <w:t xml:space="preserve">Alzheimer</w:t>
        </w:r>
        <w:r>
          <w:rPr>
            <w:rStyle w:val="InternetLink"/>
          </w:rPr>
          <w:t xml:space="preserve">’s disease and therapeutic significance</w:t>
        </w:r>
      </w:hyperlink>
      <w:r>
        <w:t xml:space="preserve">.</w:t>
      </w:r>
      <w:r>
        <w:t xml:space="preserve"> </w:t>
      </w:r>
      <w:r>
        <w:rPr>
          <w:i/>
          <w:iCs/>
        </w:rPr>
        <w:t xml:space="preserve">Neurobiology of Disease</w:t>
      </w:r>
      <w:r>
        <w:t xml:space="preserve"> </w:t>
      </w:r>
      <w:r>
        <w:rPr>
          <w:b/>
          <w:bCs/>
        </w:rPr>
        <w:t xml:space="preserve">127</w:t>
      </w:r>
      <w:r>
        <w:t xml:space="preserve">, 605–615 (2019).</w:t>
      </w:r>
    </w:p>
    <w:bookmarkEnd w:id="180"/>
    <w:bookmarkStart w:id="182" w:name="X74eeba1900ceb98dfbcd7382bee95fe128676bf"/>
    <w:p>
      <w:pPr>
        <w:pStyle w:val="Bibliography"/>
      </w:pPr>
      <w:r>
        <w:t xml:space="preserve">50.</w:t>
      </w:r>
      <w:r>
        <w:t xml:space="preserve"> </w:t>
      </w:r>
      <w:r>
        <w:t xml:space="preserve">	</w:t>
      </w:r>
      <w:r>
        <w:t xml:space="preserve">Uzunova, G., Pallanti, S. &amp; Hollander, E.</w:t>
      </w:r>
      <w:r>
        <w:t xml:space="preserve"> </w:t>
      </w:r>
      <w:hyperlink r:id="rId181">
        <w:r>
          <w:rPr>
            <w:rStyle w:val="InternetLink"/>
          </w:rPr>
          <w:t xml:space="preserve">Excitatory/inhibitory imbalance in autism spectrum disorders:</w:t>
        </w:r>
        <w:r>
          <w:rPr>
            <w:rStyle w:val="InternetLink"/>
          </w:rPr>
          <w:t xml:space="preserve"> </w:t>
        </w:r>
        <w:r>
          <w:rPr>
            <w:rStyle w:val="InternetLink"/>
          </w:rPr>
          <w:t xml:space="preserve">Implications</w:t>
        </w:r>
        <w:r>
          <w:rPr>
            <w:rStyle w:val="InternetLink"/>
          </w:rPr>
          <w:t xml:space="preserve"> </w:t>
        </w:r>
        <w:r>
          <w:rPr>
            <w:rStyle w:val="InternetLink"/>
          </w:rPr>
          <w:t xml:space="preserve">for interventions and therapeutics</w:t>
        </w:r>
      </w:hyperlink>
      <w:r>
        <w:t xml:space="preserve">.</w:t>
      </w:r>
      <w:r>
        <w:t xml:space="preserve"> </w:t>
      </w:r>
      <w:r>
        <w:rPr>
          <w:i/>
          <w:iCs/>
        </w:rPr>
        <w:t xml:space="preserve">The World Journal of Biological Psychiatry</w:t>
      </w:r>
      <w:r>
        <w:t xml:space="preserve"> </w:t>
      </w:r>
      <w:r>
        <w:rPr>
          <w:b/>
          <w:bCs/>
        </w:rPr>
        <w:t xml:space="preserve">17</w:t>
      </w:r>
      <w:r>
        <w:t xml:space="preserve">, 174–186 (2016).</w:t>
      </w:r>
    </w:p>
    <w:bookmarkEnd w:id="182"/>
    <w:bookmarkStart w:id="184" w:name="X195a6a133ec6fab0acbef6fbf212c03ad0ed323"/>
    <w:p>
      <w:pPr>
        <w:pStyle w:val="Bibliography"/>
      </w:pPr>
      <w:r>
        <w:t xml:space="preserve">51.</w:t>
      </w:r>
      <w:r>
        <w:t xml:space="preserve"> </w:t>
      </w:r>
      <w:r>
        <w:t xml:space="preserve">	</w:t>
      </w:r>
      <w:r>
        <w:t xml:space="preserve">Page, C. E. &amp; Coutellier, L.</w:t>
      </w:r>
      <w:r>
        <w:t xml:space="preserve"> </w:t>
      </w:r>
      <w:hyperlink r:id="rId183">
        <w:r>
          <w:rPr>
            <w:rStyle w:val="InternetLink"/>
          </w:rPr>
          <w:t xml:space="preserve">Prefrontal excitatory/inhibitory balance in stress and emotional disorders:</w:t>
        </w:r>
        <w:r>
          <w:rPr>
            <w:rStyle w:val="InternetLink"/>
          </w:rPr>
          <w:t xml:space="preserve"> </w:t>
        </w:r>
        <w:r>
          <w:rPr>
            <w:rStyle w:val="InternetLink"/>
          </w:rPr>
          <w:t xml:space="preserve">Evidence</w:t>
        </w:r>
        <w:r>
          <w:rPr>
            <w:rStyle w:val="InternetLink"/>
          </w:rPr>
          <w:t xml:space="preserve"> </w:t>
        </w:r>
        <w:r>
          <w:rPr>
            <w:rStyle w:val="InternetLink"/>
          </w:rPr>
          <w:t xml:space="preserve">for over-inhibition</w:t>
        </w:r>
      </w:hyperlink>
      <w:r>
        <w:t xml:space="preserve">.</w:t>
      </w:r>
      <w:r>
        <w:t xml:space="preserve"> </w:t>
      </w:r>
      <w:r>
        <w:rPr>
          <w:i/>
          <w:iCs/>
        </w:rPr>
        <w:t xml:space="preserve">Neuroscience &amp; Biobehavioral Reviews</w:t>
      </w:r>
      <w:r>
        <w:t xml:space="preserve"> </w:t>
      </w:r>
      <w:r>
        <w:rPr>
          <w:b/>
          <w:bCs/>
        </w:rPr>
        <w:t xml:space="preserve">105</w:t>
      </w:r>
      <w:r>
        <w:t xml:space="preserve">, 39–51 (2019).</w:t>
      </w:r>
    </w:p>
    <w:bookmarkEnd w:id="184"/>
    <w:bookmarkStart w:id="186" w:name="ref-kangInterplayMentalDisorder2019"/>
    <w:p>
      <w:pPr>
        <w:pStyle w:val="Bibliography"/>
      </w:pPr>
      <w:r>
        <w:t xml:space="preserve">52.</w:t>
      </w:r>
      <w:r>
        <w:t xml:space="preserve"> </w:t>
      </w:r>
      <w:r>
        <w:t xml:space="preserve">	</w:t>
      </w:r>
      <w:r>
        <w:t xml:space="preserve">Kang, E.</w:t>
      </w:r>
      <w:r>
        <w:t xml:space="preserve"> </w:t>
      </w:r>
      <w:r>
        <w:rPr>
          <w:i/>
          <w:iCs/>
        </w:rPr>
        <w:t xml:space="preserve">et al.</w:t>
      </w:r>
      <w:r>
        <w:t xml:space="preserve"> </w:t>
      </w:r>
      <w:hyperlink r:id="rId185">
        <w:r>
          <w:rPr>
            <w:rStyle w:val="InternetLink"/>
          </w:rPr>
          <w:t xml:space="preserve">Interplay between a</w:t>
        </w:r>
        <w:r>
          <w:rPr>
            <w:rStyle w:val="InternetLink"/>
          </w:rPr>
          <w:t xml:space="preserve"> </w:t>
        </w:r>
        <w:r>
          <w:rPr>
            <w:rStyle w:val="InternetLink"/>
          </w:rPr>
          <w:t xml:space="preserve">Mental Disorder Risk Gene</w:t>
        </w:r>
        <w:r>
          <w:rPr>
            <w:rStyle w:val="InternetLink"/>
          </w:rPr>
          <w:t xml:space="preserve"> </w:t>
        </w:r>
        <w:r>
          <w:rPr>
            <w:rStyle w:val="InternetLink"/>
          </w:rPr>
          <w:t xml:space="preserve">and</w:t>
        </w:r>
        <w:r>
          <w:rPr>
            <w:rStyle w:val="InternetLink"/>
          </w:rPr>
          <w:t xml:space="preserve"> </w:t>
        </w:r>
        <w:r>
          <w:rPr>
            <w:rStyle w:val="InternetLink"/>
          </w:rPr>
          <w:t xml:space="preserve">Developmental Polarity Switch</w:t>
        </w:r>
        <w:r>
          <w:rPr>
            <w:rStyle w:val="InternetLink"/>
          </w:rPr>
          <w:t xml:space="preserve"> </w:t>
        </w:r>
        <w:r>
          <w:rPr>
            <w:rStyle w:val="InternetLink"/>
          </w:rPr>
          <w:t xml:space="preserve">of</w:t>
        </w:r>
        <w:r>
          <w:rPr>
            <w:rStyle w:val="InternetLink"/>
          </w:rPr>
          <w:t xml:space="preserve"> </w:t>
        </w:r>
        <w:r>
          <w:rPr>
            <w:rStyle w:val="InternetLink"/>
          </w:rPr>
          <w:t xml:space="preserve">GABA Action Leads</w:t>
        </w:r>
        <w:r>
          <w:rPr>
            <w:rStyle w:val="InternetLink"/>
          </w:rPr>
          <w:t xml:space="preserve"> </w:t>
        </w:r>
        <w:r>
          <w:rPr>
            <w:rStyle w:val="InternetLink"/>
          </w:rPr>
          <w:t xml:space="preserve">to</w:t>
        </w:r>
        <w:r>
          <w:rPr>
            <w:rStyle w:val="InternetLink"/>
          </w:rPr>
          <w:t xml:space="preserve"> </w:t>
        </w:r>
        <w:r>
          <w:rPr>
            <w:rStyle w:val="InternetLink"/>
          </w:rPr>
          <w:t xml:space="preserve">Excitation-Inhibition Imbalance</w:t>
        </w:r>
      </w:hyperlink>
      <w:r>
        <w:t xml:space="preserve">.</w:t>
      </w:r>
      <w:r>
        <w:t xml:space="preserve"> </w:t>
      </w:r>
      <w:r>
        <w:rPr>
          <w:i/>
          <w:iCs/>
        </w:rPr>
        <w:t xml:space="preserve">Cell Reports</w:t>
      </w:r>
      <w:r>
        <w:t xml:space="preserve"> </w:t>
      </w:r>
      <w:r>
        <w:rPr>
          <w:b/>
          <w:bCs/>
        </w:rPr>
        <w:t xml:space="preserve">28</w:t>
      </w:r>
      <w:r>
        <w:t xml:space="preserve">, 1419–1428.e3 (2019).</w:t>
      </w:r>
    </w:p>
    <w:bookmarkEnd w:id="186"/>
    <w:bookmarkStart w:id="188" w:name="ref-ajramContribution1HMagnetic2019"/>
    <w:p>
      <w:pPr>
        <w:pStyle w:val="Bibliography"/>
      </w:pPr>
      <w:r>
        <w:t xml:space="preserve">53.</w:t>
      </w:r>
      <w:r>
        <w:t xml:space="preserve"> </w:t>
      </w:r>
      <w:r>
        <w:t xml:space="preserve">	</w:t>
      </w:r>
      <w:r>
        <w:t xml:space="preserve">Ajram, L. A.</w:t>
      </w:r>
      <w:r>
        <w:t xml:space="preserve"> </w:t>
      </w:r>
      <w:r>
        <w:rPr>
          <w:i/>
          <w:iCs/>
        </w:rPr>
        <w:t xml:space="preserve">et al.</w:t>
      </w:r>
      <w:r>
        <w:t xml:space="preserve"> </w:t>
      </w:r>
      <w:hyperlink r:id="rId187">
        <w:r>
          <w:rPr>
            <w:rStyle w:val="InternetLink"/>
          </w:rPr>
          <w:t xml:space="preserve">The contribution of [</w:t>
        </w:r>
        <w:r>
          <w:rPr>
            <w:rStyle w:val="InternetLink"/>
          </w:rPr>
          <w:t xml:space="preserve">1H</w:t>
        </w:r>
        <w:r>
          <w:rPr>
            <w:rStyle w:val="InternetLink"/>
          </w:rPr>
          <w:t xml:space="preserve">] magnetic resonance spectroscopy to the study of excitation-inhibition in autism</w:t>
        </w:r>
      </w:hyperlink>
      <w:r>
        <w:t xml:space="preserve">.</w:t>
      </w:r>
      <w:r>
        <w:t xml:space="preserve"> </w:t>
      </w:r>
      <w:r>
        <w:rPr>
          <w:i/>
          <w:iCs/>
        </w:rPr>
        <w:t xml:space="preserve">Progress in Neuro-Psychopharmacology and Biological Psychiatry</w:t>
      </w:r>
      <w:r>
        <w:t xml:space="preserve"> </w:t>
      </w:r>
      <w:r>
        <w:rPr>
          <w:b/>
          <w:bCs/>
        </w:rPr>
        <w:t xml:space="preserve">89</w:t>
      </w:r>
      <w:r>
        <w:t xml:space="preserve">, 236–244 (2019).</w:t>
      </w:r>
    </w:p>
    <w:bookmarkEnd w:id="188"/>
    <w:bookmarkStart w:id="190" w:name="X33af55f10e3529ea3b703273ed55b97973a9c47"/>
    <w:p>
      <w:pPr>
        <w:pStyle w:val="Bibliography"/>
      </w:pPr>
      <w:r>
        <w:t xml:space="preserve">54.</w:t>
      </w:r>
      <w:r>
        <w:t xml:space="preserve"> </w:t>
      </w:r>
      <w:r>
        <w:t xml:space="preserve">	</w:t>
      </w:r>
      <w:r>
        <w:t xml:space="preserve">Stanley, J. A. &amp; Raz, N.</w:t>
      </w:r>
      <w:r>
        <w:t xml:space="preserve"> </w:t>
      </w:r>
      <w:hyperlink r:id="rId189">
        <w:r>
          <w:rPr>
            <w:rStyle w:val="InternetLink"/>
          </w:rPr>
          <w:t xml:space="preserve">Functional</w:t>
        </w:r>
        <w:r>
          <w:rPr>
            <w:rStyle w:val="InternetLink"/>
          </w:rPr>
          <w:t xml:space="preserve"> </w:t>
        </w:r>
        <w:r>
          <w:rPr>
            <w:rStyle w:val="InternetLink"/>
          </w:rPr>
          <w:t xml:space="preserve">Magnetic Resonance Spectroscopy</w:t>
        </w:r>
        <w:r>
          <w:rPr>
            <w:rStyle w:val="InternetLink"/>
          </w:rPr>
          <w:t xml:space="preserve">:</w:t>
        </w:r>
        <w:r>
          <w:rPr>
            <w:rStyle w:val="InternetLink"/>
          </w:rPr>
          <w:t xml:space="preserve"> </w:t>
        </w:r>
        <w:r>
          <w:rPr>
            <w:rStyle w:val="InternetLink"/>
          </w:rPr>
          <w:t xml:space="preserve">The</w:t>
        </w:r>
        <w:r>
          <w:rPr>
            <w:rStyle w:val="InternetLink"/>
          </w:rPr>
          <w:t xml:space="preserve"> </w:t>
        </w:r>
        <w:r>
          <w:rPr>
            <w:rStyle w:val="InternetLink"/>
          </w:rPr>
          <w:t xml:space="preserve">‘</w:t>
        </w:r>
        <w:r>
          <w:rPr>
            <w:rStyle w:val="InternetLink"/>
          </w:rPr>
          <w:t xml:space="preserve">New</w:t>
        </w:r>
        <w:r>
          <w:rPr>
            <w:rStyle w:val="InternetLink"/>
          </w:rPr>
          <w:t xml:space="preserve">’</w:t>
        </w:r>
        <w:r>
          <w:rPr>
            <w:rStyle w:val="InternetLink"/>
          </w:rPr>
          <w:t xml:space="preserve"> </w:t>
        </w:r>
        <w:r>
          <w:rPr>
            <w:rStyle w:val="InternetLink"/>
          </w:rPr>
          <w:t xml:space="preserve">MRS</w:t>
        </w:r>
        <w:r>
          <w:rPr>
            <w:rStyle w:val="InternetLink"/>
          </w:rPr>
          <w:t xml:space="preserve"> </w:t>
        </w:r>
        <w:r>
          <w:rPr>
            <w:rStyle w:val="InternetLink"/>
          </w:rPr>
          <w:t xml:space="preserve">for</w:t>
        </w:r>
        <w:r>
          <w:rPr>
            <w:rStyle w:val="InternetLink"/>
          </w:rPr>
          <w:t xml:space="preserve"> </w:t>
        </w:r>
        <w:r>
          <w:rPr>
            <w:rStyle w:val="InternetLink"/>
          </w:rPr>
          <w:t xml:space="preserve">Cognitive Neuroscience</w:t>
        </w:r>
        <w:r>
          <w:rPr>
            <w:rStyle w:val="InternetLink"/>
          </w:rPr>
          <w:t xml:space="preserve"> </w:t>
        </w:r>
        <w:r>
          <w:rPr>
            <w:rStyle w:val="InternetLink"/>
          </w:rPr>
          <w:t xml:space="preserve">and</w:t>
        </w:r>
        <w:r>
          <w:rPr>
            <w:rStyle w:val="InternetLink"/>
          </w:rPr>
          <w:t xml:space="preserve"> </w:t>
        </w:r>
        <w:r>
          <w:rPr>
            <w:rStyle w:val="InternetLink"/>
          </w:rPr>
          <w:t xml:space="preserve">Psychiatry Research</w:t>
        </w:r>
      </w:hyperlink>
      <w:r>
        <w:t xml:space="preserve">.</w:t>
      </w:r>
      <w:r>
        <w:t xml:space="preserve"> </w:t>
      </w:r>
      <w:r>
        <w:rPr>
          <w:i/>
          <w:iCs/>
        </w:rPr>
        <w:t xml:space="preserve">Frontiers in Psychiatry</w:t>
      </w:r>
      <w:r>
        <w:t xml:space="preserve"> </w:t>
      </w:r>
      <w:r>
        <w:rPr>
          <w:b/>
          <w:bCs/>
        </w:rPr>
        <w:t xml:space="preserve">9</w:t>
      </w:r>
      <w:r>
        <w:t xml:space="preserve">, 76 (2018).</w:t>
      </w:r>
    </w:p>
    <w:bookmarkEnd w:id="190"/>
    <w:bookmarkStart w:id="192" w:name="ref-harrisEdited1Magnetic2017"/>
    <w:p>
      <w:pPr>
        <w:pStyle w:val="Bibliography"/>
      </w:pPr>
      <w:r>
        <w:t xml:space="preserve">55.</w:t>
      </w:r>
      <w:r>
        <w:t xml:space="preserve"> </w:t>
      </w:r>
      <w:r>
        <w:t xml:space="preserve">	</w:t>
      </w:r>
      <w:r>
        <w:t xml:space="preserve">Harris, A. D., Saleh, M. G. &amp; Edden, R. A. E.</w:t>
      </w:r>
      <w:r>
        <w:t xml:space="preserve"> </w:t>
      </w:r>
      <w:hyperlink r:id="rId191">
        <w:r>
          <w:rPr>
            <w:rStyle w:val="InternetLink"/>
          </w:rPr>
          <w:t xml:space="preserve">Edited 1</w:t>
        </w:r>
        <w:r>
          <w:rPr>
            <w:rStyle w:val="InternetLink"/>
          </w:rPr>
          <w:t xml:space="preserve"> </w:t>
        </w:r>
        <w:r>
          <w:rPr>
            <w:rStyle w:val="InternetLink"/>
          </w:rPr>
          <w:t xml:space="preserve">H</w:t>
        </w:r>
        <w:r>
          <w:rPr>
            <w:rStyle w:val="InternetLink"/>
          </w:rPr>
          <w:t xml:space="preserve"> </w:t>
        </w:r>
        <w:r>
          <w:rPr>
            <w:rStyle w:val="InternetLink"/>
          </w:rPr>
          <w:t xml:space="preserve">magnetic resonance spectroscopy in vivo:</w:t>
        </w:r>
        <w:r>
          <w:rPr>
            <w:rStyle w:val="InternetLink"/>
          </w:rPr>
          <w:t xml:space="preserve"> </w:t>
        </w:r>
        <w:r>
          <w:rPr>
            <w:rStyle w:val="InternetLink"/>
          </w:rPr>
          <w:t xml:space="preserve">Methods</w:t>
        </w:r>
        <w:r>
          <w:rPr>
            <w:rStyle w:val="InternetLink"/>
          </w:rPr>
          <w:t xml:space="preserve"> </w:t>
        </w:r>
        <w:r>
          <w:rPr>
            <w:rStyle w:val="InternetLink"/>
          </w:rPr>
          <w:t xml:space="preserve">and metabolites</w:t>
        </w:r>
      </w:hyperlink>
      <w:r>
        <w:t xml:space="preserve">.</w:t>
      </w:r>
      <w:r>
        <w:t xml:space="preserve"> </w:t>
      </w:r>
      <w:r>
        <w:rPr>
          <w:i/>
          <w:iCs/>
        </w:rPr>
        <w:t xml:space="preserve">Magnetic Resonance in Medicine</w:t>
      </w:r>
      <w:r>
        <w:t xml:space="preserve"> </w:t>
      </w:r>
      <w:r>
        <w:rPr>
          <w:b/>
          <w:bCs/>
        </w:rPr>
        <w:t xml:space="preserve">77</w:t>
      </w:r>
      <w:r>
        <w:t xml:space="preserve">, 1377–1389 (2017).</w:t>
      </w:r>
    </w:p>
    <w:bookmarkEnd w:id="192"/>
    <w:bookmarkStart w:id="194" w:name="ref-peekComprehensiveGuideMEGAPRESS2023"/>
    <w:p>
      <w:pPr>
        <w:pStyle w:val="Bibliography"/>
      </w:pPr>
      <w:r>
        <w:t xml:space="preserve">56.</w:t>
      </w:r>
      <w:r>
        <w:t xml:space="preserve"> </w:t>
      </w:r>
      <w:r>
        <w:t xml:space="preserve">	</w:t>
      </w:r>
      <w:r>
        <w:t xml:space="preserve">Peek, A. L.</w:t>
      </w:r>
      <w:r>
        <w:t xml:space="preserve"> </w:t>
      </w:r>
      <w:r>
        <w:rPr>
          <w:i/>
          <w:iCs/>
        </w:rPr>
        <w:t xml:space="preserve">et al.</w:t>
      </w:r>
      <w:r>
        <w:t xml:space="preserve"> </w:t>
      </w:r>
      <w:hyperlink r:id="rId193">
        <w:r>
          <w:rPr>
            <w:rStyle w:val="InternetLink"/>
          </w:rPr>
          <w:t xml:space="preserve">A comprehensive guide to</w:t>
        </w:r>
        <w:r>
          <w:rPr>
            <w:rStyle w:val="InternetLink"/>
          </w:rPr>
          <w:t xml:space="preserve"> </w:t>
        </w:r>
        <w:r>
          <w:rPr>
            <w:rStyle w:val="InternetLink"/>
          </w:rPr>
          <w:t xml:space="preserve">MEGA-PRESS</w:t>
        </w:r>
        <w:r>
          <w:rPr>
            <w:rStyle w:val="InternetLink"/>
          </w:rPr>
          <w:t xml:space="preserve"> </w:t>
        </w:r>
        <w:r>
          <w:rPr>
            <w:rStyle w:val="InternetLink"/>
          </w:rPr>
          <w:t xml:space="preserve">for</w:t>
        </w:r>
        <w:r>
          <w:rPr>
            <w:rStyle w:val="InternetLink"/>
          </w:rPr>
          <w:t xml:space="preserve"> </w:t>
        </w:r>
        <w:r>
          <w:rPr>
            <w:rStyle w:val="InternetLink"/>
          </w:rPr>
          <w:t xml:space="preserve">GABA</w:t>
        </w:r>
        <w:r>
          <w:rPr>
            <w:rStyle w:val="InternetLink"/>
          </w:rPr>
          <w:t xml:space="preserve"> </w:t>
        </w:r>
        <w:r>
          <w:rPr>
            <w:rStyle w:val="InternetLink"/>
          </w:rPr>
          <w:t xml:space="preserve">measurement</w:t>
        </w:r>
      </w:hyperlink>
      <w:r>
        <w:t xml:space="preserve">.</w:t>
      </w:r>
      <w:r>
        <w:t xml:space="preserve"> </w:t>
      </w:r>
      <w:r>
        <w:rPr>
          <w:i/>
          <w:iCs/>
        </w:rPr>
        <w:t xml:space="preserve">Analytical Biochemistry</w:t>
      </w:r>
      <w:r>
        <w:t xml:space="preserve"> </w:t>
      </w:r>
      <w:r>
        <w:rPr>
          <w:b/>
          <w:bCs/>
        </w:rPr>
        <w:t xml:space="preserve">669</w:t>
      </w:r>
      <w:r>
        <w:t xml:space="preserve">, 115113 (2023).</w:t>
      </w:r>
    </w:p>
    <w:bookmarkEnd w:id="194"/>
    <w:bookmarkStart w:id="196" w:name="ref-poilFastNetworkOscillations2011"/>
    <w:p>
      <w:pPr>
        <w:pStyle w:val="Bibliography"/>
      </w:pPr>
      <w:r>
        <w:t xml:space="preserve">57.</w:t>
      </w:r>
      <w:r>
        <w:t xml:space="preserve"> </w:t>
      </w:r>
      <w:r>
        <w:t xml:space="preserve">	</w:t>
      </w:r>
      <w:r>
        <w:t xml:space="preserve">Poil, S.-S.</w:t>
      </w:r>
      <w:r>
        <w:t xml:space="preserve"> </w:t>
      </w:r>
      <w:r>
        <w:rPr>
          <w:i/>
          <w:iCs/>
        </w:rPr>
        <w:t xml:space="preserve">et al.</w:t>
      </w:r>
      <w:r>
        <w:t xml:space="preserve"> </w:t>
      </w:r>
      <w:hyperlink r:id="rId195">
        <w:r>
          <w:rPr>
            <w:rStyle w:val="InternetLink"/>
          </w:rPr>
          <w:t xml:space="preserve">Fast network oscillations in vitro exhibit a slow decay of temporal auto-correlations:</w:t>
        </w:r>
        <w:r>
          <w:rPr>
            <w:rStyle w:val="InternetLink"/>
          </w:rPr>
          <w:t xml:space="preserve"> </w:t>
        </w:r>
        <w:r>
          <w:rPr>
            <w:rStyle w:val="InternetLink"/>
          </w:rPr>
          <w:t xml:space="preserve">Stability</w:t>
        </w:r>
        <w:r>
          <w:rPr>
            <w:rStyle w:val="InternetLink"/>
          </w:rPr>
          <w:t xml:space="preserve"> </w:t>
        </w:r>
        <w:r>
          <w:rPr>
            <w:rStyle w:val="InternetLink"/>
          </w:rPr>
          <w:t xml:space="preserve">of fast network oscillations</w:t>
        </w:r>
      </w:hyperlink>
      <w:r>
        <w:t xml:space="preserve">.</w:t>
      </w:r>
      <w:r>
        <w:t xml:space="preserve"> </w:t>
      </w:r>
      <w:r>
        <w:rPr>
          <w:i/>
          <w:iCs/>
        </w:rPr>
        <w:t xml:space="preserve">European Journal of Neuroscience</w:t>
      </w:r>
      <w:r>
        <w:t xml:space="preserve"> </w:t>
      </w:r>
      <w:r>
        <w:rPr>
          <w:b/>
          <w:bCs/>
        </w:rPr>
        <w:t xml:space="preserve">34</w:t>
      </w:r>
      <w:r>
        <w:t xml:space="preserve">, 394–403 (2011).</w:t>
      </w:r>
    </w:p>
    <w:bookmarkEnd w:id="196"/>
    <w:bookmarkStart w:id="198" w:name="X670c54a005ed7507f4626875ce455b6cc32d0d9"/>
    <w:p>
      <w:pPr>
        <w:pStyle w:val="Bibliography"/>
      </w:pPr>
      <w:r>
        <w:t xml:space="preserve">58.</w:t>
      </w:r>
      <w:r>
        <w:t xml:space="preserve"> </w:t>
      </w:r>
      <w:r>
        <w:t xml:space="preserve">	</w:t>
      </w:r>
      <w:r>
        <w:t xml:space="preserve">Monto, S., Vanhatalo, S., Holmes, M. D. &amp; Palva, J. M.</w:t>
      </w:r>
      <w:r>
        <w:t xml:space="preserve"> </w:t>
      </w:r>
      <w:hyperlink r:id="rId197">
        <w:r>
          <w:rPr>
            <w:rStyle w:val="InternetLink"/>
          </w:rPr>
          <w:t xml:space="preserve">Epileptogenic</w:t>
        </w:r>
        <w:r>
          <w:rPr>
            <w:rStyle w:val="InternetLink"/>
          </w:rPr>
          <w:t xml:space="preserve"> </w:t>
        </w:r>
        <w:r>
          <w:rPr>
            <w:rStyle w:val="InternetLink"/>
          </w:rPr>
          <w:t xml:space="preserve">Neocortical Networks Are Revealed</w:t>
        </w:r>
        <w:r>
          <w:rPr>
            <w:rStyle w:val="InternetLink"/>
          </w:rPr>
          <w:t xml:space="preserve"> </w:t>
        </w:r>
        <w:r>
          <w:rPr>
            <w:rStyle w:val="InternetLink"/>
          </w:rPr>
          <w:t xml:space="preserve">by</w:t>
        </w:r>
        <w:r>
          <w:rPr>
            <w:rStyle w:val="InternetLink"/>
          </w:rPr>
          <w:t xml:space="preserve"> </w:t>
        </w:r>
        <w:r>
          <w:rPr>
            <w:rStyle w:val="InternetLink"/>
          </w:rPr>
          <w:t xml:space="preserve">Abnormal Temporal Dynamics</w:t>
        </w:r>
        <w:r>
          <w:rPr>
            <w:rStyle w:val="InternetLink"/>
          </w:rPr>
          <w:t xml:space="preserve"> </w:t>
        </w:r>
        <w:r>
          <w:rPr>
            <w:rStyle w:val="InternetLink"/>
          </w:rPr>
          <w:t xml:space="preserve">in</w:t>
        </w:r>
        <w:r>
          <w:rPr>
            <w:rStyle w:val="InternetLink"/>
          </w:rPr>
          <w:t xml:space="preserve"> </w:t>
        </w:r>
        <w:r>
          <w:rPr>
            <w:rStyle w:val="InternetLink"/>
          </w:rPr>
          <w:t xml:space="preserve">Seizure-Free Subdural EEG</w:t>
        </w:r>
      </w:hyperlink>
      <w:r>
        <w:t xml:space="preserve">.</w:t>
      </w:r>
      <w:r>
        <w:t xml:space="preserve"> </w:t>
      </w:r>
      <w:r>
        <w:rPr>
          <w:i/>
          <w:iCs/>
        </w:rPr>
        <w:t xml:space="preserve">Cerebral Cortex</w:t>
      </w:r>
      <w:r>
        <w:t xml:space="preserve"> </w:t>
      </w:r>
      <w:r>
        <w:rPr>
          <w:b/>
          <w:bCs/>
        </w:rPr>
        <w:t xml:space="preserve">17</w:t>
      </w:r>
      <w:r>
        <w:t xml:space="preserve">, 1386–1393 (2007).</w:t>
      </w:r>
    </w:p>
    <w:bookmarkEnd w:id="198"/>
    <w:bookmarkStart w:id="200" w:name="X57bd0e2605c22795c5bd8ffc8a5c4acda84f88f"/>
    <w:p>
      <w:pPr>
        <w:pStyle w:val="Bibliography"/>
      </w:pPr>
      <w:r>
        <w:t xml:space="preserve">59.</w:t>
      </w:r>
      <w:r>
        <w:t xml:space="preserve"> </w:t>
      </w:r>
      <w:r>
        <w:t xml:space="preserve">	</w:t>
      </w:r>
      <w:r>
        <w:t xml:space="preserve">Beggs, J. M. &amp; Plenz, D.</w:t>
      </w:r>
      <w:r>
        <w:t xml:space="preserve"> </w:t>
      </w:r>
      <w:hyperlink r:id="rId199">
        <w:r>
          <w:rPr>
            <w:rStyle w:val="InternetLink"/>
          </w:rPr>
          <w:t xml:space="preserve">Neuronal</w:t>
        </w:r>
        <w:r>
          <w:rPr>
            <w:rStyle w:val="InternetLink"/>
          </w:rPr>
          <w:t xml:space="preserve"> </w:t>
        </w:r>
        <w:r>
          <w:rPr>
            <w:rStyle w:val="InternetLink"/>
          </w:rPr>
          <w:t xml:space="preserve">Avalanches</w:t>
        </w:r>
        <w:r>
          <w:rPr>
            <w:rStyle w:val="InternetLink"/>
          </w:rPr>
          <w:t xml:space="preserve"> </w:t>
        </w:r>
        <w:r>
          <w:rPr>
            <w:rStyle w:val="InternetLink"/>
          </w:rPr>
          <w:t xml:space="preserve">in</w:t>
        </w:r>
        <w:r>
          <w:rPr>
            <w:rStyle w:val="InternetLink"/>
          </w:rPr>
          <w:t xml:space="preserve"> </w:t>
        </w:r>
        <w:r>
          <w:rPr>
            <w:rStyle w:val="InternetLink"/>
          </w:rPr>
          <w:t xml:space="preserve">Neocortical Circuits</w:t>
        </w:r>
      </w:hyperlink>
      <w:r>
        <w:t xml:space="preserve">.</w:t>
      </w:r>
      <w:r>
        <w:t xml:space="preserve"> </w:t>
      </w:r>
      <w:r>
        <w:rPr>
          <w:i/>
          <w:iCs/>
        </w:rPr>
        <w:t xml:space="preserve">The Journal of Neuroscience</w:t>
      </w:r>
      <w:r>
        <w:t xml:space="preserve"> </w:t>
      </w:r>
      <w:r>
        <w:rPr>
          <w:b/>
          <w:bCs/>
        </w:rPr>
        <w:t xml:space="preserve">23</w:t>
      </w:r>
      <w:r>
        <w:t xml:space="preserve">, 11167–11177 (2003).</w:t>
      </w:r>
    </w:p>
    <w:bookmarkEnd w:id="200"/>
    <w:bookmarkStart w:id="202" w:name="Xdb649a1852d5606ef37cf9435a5ad42696389d3"/>
    <w:p>
      <w:pPr>
        <w:pStyle w:val="Bibliography"/>
      </w:pPr>
      <w:r>
        <w:t xml:space="preserve">60.</w:t>
      </w:r>
      <w:r>
        <w:t xml:space="preserve"> </w:t>
      </w:r>
      <w:r>
        <w:t xml:space="preserve">	</w:t>
      </w:r>
      <w:r>
        <w:t xml:space="preserve">Gireesh, E. D. &amp; Plenz, D.</w:t>
      </w:r>
      <w:r>
        <w:t xml:space="preserve"> </w:t>
      </w:r>
      <w:hyperlink r:id="rId201">
        <w:r>
          <w:rPr>
            <w:rStyle w:val="InternetLink"/>
          </w:rPr>
          <w:t xml:space="preserve">Neuronal avalanches organize as nested theta- and beta/gamma-oscillations during development of cortical layer 2/3</w:t>
        </w:r>
      </w:hyperlink>
      <w:r>
        <w:t xml:space="preserve">.</w:t>
      </w:r>
      <w:r>
        <w:t xml:space="preserve"> </w:t>
      </w:r>
      <w:r>
        <w:rPr>
          <w:i/>
          <w:iCs/>
        </w:rPr>
        <w:t xml:space="preserve">Proceedings of the National Academy of Sciences</w:t>
      </w:r>
      <w:r>
        <w:t xml:space="preserve"> </w:t>
      </w:r>
      <w:r>
        <w:rPr>
          <w:b/>
          <w:bCs/>
        </w:rPr>
        <w:t xml:space="preserve">105</w:t>
      </w:r>
      <w:r>
        <w:t xml:space="preserve">, 7576–7581 (2008).</w:t>
      </w:r>
    </w:p>
    <w:bookmarkEnd w:id="202"/>
    <w:bookmarkStart w:id="204" w:name="ref-yangMaximalVariabilityPhase2012"/>
    <w:p>
      <w:pPr>
        <w:pStyle w:val="Bibliography"/>
      </w:pPr>
      <w:r>
        <w:t xml:space="preserve">61.</w:t>
      </w:r>
      <w:r>
        <w:t xml:space="preserve"> </w:t>
      </w:r>
      <w:r>
        <w:t xml:space="preserve">	</w:t>
      </w:r>
      <w:r>
        <w:t xml:space="preserve">Yang, H., Shew, W. L., Roy, R. &amp; Plenz, D.</w:t>
      </w:r>
      <w:r>
        <w:t xml:space="preserve"> </w:t>
      </w:r>
      <w:hyperlink r:id="rId203">
        <w:r>
          <w:rPr>
            <w:rStyle w:val="InternetLink"/>
          </w:rPr>
          <w:t xml:space="preserve">Maximal</w:t>
        </w:r>
        <w:r>
          <w:rPr>
            <w:rStyle w:val="InternetLink"/>
          </w:rPr>
          <w:t xml:space="preserve"> </w:t>
        </w:r>
        <w:r>
          <w:rPr>
            <w:rStyle w:val="InternetLink"/>
          </w:rPr>
          <w:t xml:space="preserve">Variability</w:t>
        </w:r>
        <w:r>
          <w:rPr>
            <w:rStyle w:val="InternetLink"/>
          </w:rPr>
          <w:t xml:space="preserve"> </w:t>
        </w:r>
        <w:r>
          <w:rPr>
            <w:rStyle w:val="InternetLink"/>
          </w:rPr>
          <w:t xml:space="preserve">of</w:t>
        </w:r>
        <w:r>
          <w:rPr>
            <w:rStyle w:val="InternetLink"/>
          </w:rPr>
          <w:t xml:space="preserve"> </w:t>
        </w:r>
        <w:r>
          <w:rPr>
            <w:rStyle w:val="InternetLink"/>
          </w:rPr>
          <w:t xml:space="preserve">Phase Synchrony</w:t>
        </w:r>
        <w:r>
          <w:rPr>
            <w:rStyle w:val="InternetLink"/>
          </w:rPr>
          <w:t xml:space="preserve"> </w:t>
        </w:r>
        <w:r>
          <w:rPr>
            <w:rStyle w:val="InternetLink"/>
          </w:rPr>
          <w:t xml:space="preserve">in</w:t>
        </w:r>
        <w:r>
          <w:rPr>
            <w:rStyle w:val="InternetLink"/>
          </w:rPr>
          <w:t xml:space="preserve"> </w:t>
        </w:r>
        <w:r>
          <w:rPr>
            <w:rStyle w:val="InternetLink"/>
          </w:rPr>
          <w:t xml:space="preserve">Cortical Networks</w:t>
        </w:r>
        <w:r>
          <w:rPr>
            <w:rStyle w:val="InternetLink"/>
          </w:rPr>
          <w:t xml:space="preserve"> </w:t>
        </w:r>
        <w:r>
          <w:rPr>
            <w:rStyle w:val="InternetLink"/>
          </w:rPr>
          <w:t xml:space="preserve">with</w:t>
        </w:r>
        <w:r>
          <w:rPr>
            <w:rStyle w:val="InternetLink"/>
          </w:rPr>
          <w:t xml:space="preserve"> </w:t>
        </w:r>
        <w:r>
          <w:rPr>
            <w:rStyle w:val="InternetLink"/>
          </w:rPr>
          <w:t xml:space="preserve">Neuronal Avalanches</w:t>
        </w:r>
      </w:hyperlink>
      <w:r>
        <w:t xml:space="preserve">.</w:t>
      </w:r>
      <w:r>
        <w:t xml:space="preserve"> </w:t>
      </w:r>
      <w:r>
        <w:rPr>
          <w:i/>
          <w:iCs/>
        </w:rPr>
        <w:t xml:space="preserve">The Journal of Neuroscience</w:t>
      </w:r>
      <w:r>
        <w:t xml:space="preserve"> </w:t>
      </w:r>
      <w:r>
        <w:rPr>
          <w:b/>
          <w:bCs/>
        </w:rPr>
        <w:t xml:space="preserve">32</w:t>
      </w:r>
      <w:r>
        <w:t xml:space="preserve">, 1061–1072 (2012).</w:t>
      </w:r>
    </w:p>
    <w:bookmarkEnd w:id="204"/>
    <w:bookmarkStart w:id="206" w:name="ref-obyrneHowCriticalBrain2022"/>
    <w:p>
      <w:pPr>
        <w:pStyle w:val="Bibliography"/>
      </w:pPr>
      <w:r>
        <w:t xml:space="preserve">62.</w:t>
      </w:r>
      <w:r>
        <w:t xml:space="preserve"> </w:t>
      </w:r>
      <w:r>
        <w:t xml:space="preserve">	</w:t>
      </w:r>
      <w:r>
        <w:t xml:space="preserve">O’Byrne, J. &amp; Jerbi, K.</w:t>
      </w:r>
      <w:r>
        <w:t xml:space="preserve"> </w:t>
      </w:r>
      <w:hyperlink r:id="rId205">
        <w:r>
          <w:rPr>
            <w:rStyle w:val="InternetLink"/>
          </w:rPr>
          <w:t xml:space="preserve">How critical is brain criticality?</w:t>
        </w:r>
      </w:hyperlink>
      <w:r>
        <w:t xml:space="preserve"> </w:t>
      </w:r>
      <w:r>
        <w:rPr>
          <w:i/>
          <w:iCs/>
        </w:rPr>
        <w:t xml:space="preserve">Trends in Neurosciences</w:t>
      </w:r>
      <w:r>
        <w:t xml:space="preserve"> </w:t>
      </w:r>
      <w:r>
        <w:rPr>
          <w:b/>
          <w:bCs/>
        </w:rPr>
        <w:t xml:space="preserve">45</w:t>
      </w:r>
      <w:r>
        <w:t xml:space="preserve">, 820–837 (2022).</w:t>
      </w:r>
    </w:p>
    <w:bookmarkEnd w:id="206"/>
    <w:bookmarkStart w:id="208" w:name="X8ce174dd83c21ef4ca7230b9898934f8cc25266"/>
    <w:p>
      <w:pPr>
        <w:pStyle w:val="Bibliography"/>
      </w:pPr>
      <w:r>
        <w:t xml:space="preserve">63.</w:t>
      </w:r>
      <w:r>
        <w:t xml:space="preserve"> </w:t>
      </w:r>
      <w:r>
        <w:t xml:space="preserve">	</w:t>
      </w:r>
      <w:r>
        <w:t xml:space="preserve">Plenz, D.</w:t>
      </w:r>
      <w:r>
        <w:t xml:space="preserve"> </w:t>
      </w:r>
      <w:r>
        <w:rPr>
          <w:i/>
          <w:iCs/>
        </w:rPr>
        <w:t xml:space="preserve">et al.</w:t>
      </w:r>
      <w:r>
        <w:t xml:space="preserve"> </w:t>
      </w:r>
      <w:hyperlink r:id="rId207">
        <w:r>
          <w:rPr>
            <w:rStyle w:val="InternetLink"/>
          </w:rPr>
          <w:t xml:space="preserve">Self-</w:t>
        </w:r>
        <w:r>
          <w:rPr>
            <w:rStyle w:val="InternetLink"/>
          </w:rPr>
          <w:t xml:space="preserve">Organized Criticality</w:t>
        </w:r>
        <w:r>
          <w:rPr>
            <w:rStyle w:val="InternetLink"/>
          </w:rPr>
          <w:t xml:space="preserve"> </w:t>
        </w:r>
        <w:r>
          <w:rPr>
            <w:rStyle w:val="InternetLink"/>
          </w:rPr>
          <w:t xml:space="preserve">in the</w:t>
        </w:r>
        <w:r>
          <w:rPr>
            <w:rStyle w:val="InternetLink"/>
          </w:rPr>
          <w:t xml:space="preserve"> </w:t>
        </w:r>
        <w:r>
          <w:rPr>
            <w:rStyle w:val="InternetLink"/>
          </w:rPr>
          <w:t xml:space="preserve">Brain</w:t>
        </w:r>
      </w:hyperlink>
      <w:r>
        <w:t xml:space="preserve">.</w:t>
      </w:r>
      <w:r>
        <w:t xml:space="preserve"> </w:t>
      </w:r>
      <w:r>
        <w:rPr>
          <w:i/>
          <w:iCs/>
        </w:rPr>
        <w:t xml:space="preserve">Frontiers in Physics</w:t>
      </w:r>
      <w:r>
        <w:t xml:space="preserve"> </w:t>
      </w:r>
      <w:r>
        <w:rPr>
          <w:b/>
          <w:bCs/>
        </w:rPr>
        <w:t xml:space="preserve">9</w:t>
      </w:r>
      <w:r>
        <w:t xml:space="preserve">, 639389 (2021).</w:t>
      </w:r>
    </w:p>
    <w:bookmarkEnd w:id="208"/>
    <w:bookmarkStart w:id="210" w:name="ref-avramieaRegulationCriticalBrain2023"/>
    <w:p>
      <w:pPr>
        <w:pStyle w:val="Bibliography"/>
      </w:pPr>
      <w:r>
        <w:t xml:space="preserve">64.</w:t>
      </w:r>
      <w:r>
        <w:t xml:space="preserve"> </w:t>
      </w:r>
      <w:r>
        <w:t xml:space="preserve">	</w:t>
      </w:r>
      <w:r>
        <w:t xml:space="preserve">Avrămiea, A.-E. Regulation of critical brain dynamics and its functional implications. HFAAA72020230307 (Vrije Universiteit Amsterdam, 2023). doi:</w:t>
      </w:r>
      <w:hyperlink r:id="rId209">
        <w:r>
          <w:rPr>
            <w:rStyle w:val="InternetLink"/>
          </w:rPr>
          <w:t xml:space="preserve">10.5463/thesis.144</w:t>
        </w:r>
      </w:hyperlink>
      <w:r>
        <w:t xml:space="preserve">.</w:t>
      </w:r>
    </w:p>
    <w:bookmarkEnd w:id="210"/>
    <w:bookmarkStart w:id="212" w:name="Xed66735bb6d2317bca3d933a96a148919293c77"/>
    <w:p>
      <w:pPr>
        <w:pStyle w:val="Bibliography"/>
      </w:pPr>
      <w:r>
        <w:t xml:space="preserve">65.</w:t>
      </w:r>
      <w:r>
        <w:t xml:space="preserve"> </w:t>
      </w:r>
      <w:r>
        <w:t xml:space="preserve">	</w:t>
      </w:r>
      <w:r>
        <w:t xml:space="preserve">Zeraati, R., Priesemann, V. &amp; Levina, A.</w:t>
      </w:r>
      <w:r>
        <w:t xml:space="preserve"> </w:t>
      </w:r>
      <w:hyperlink r:id="rId211">
        <w:r>
          <w:rPr>
            <w:rStyle w:val="InternetLink"/>
          </w:rPr>
          <w:t xml:space="preserve">Self-</w:t>
        </w:r>
        <w:r>
          <w:rPr>
            <w:rStyle w:val="InternetLink"/>
          </w:rPr>
          <w:t xml:space="preserve">Organization Toward Criticality</w:t>
        </w:r>
        <w:r>
          <w:rPr>
            <w:rStyle w:val="InternetLink"/>
          </w:rPr>
          <w:t xml:space="preserve"> </w:t>
        </w:r>
        <w:r>
          <w:rPr>
            <w:rStyle w:val="InternetLink"/>
          </w:rPr>
          <w:t xml:space="preserve">by</w:t>
        </w:r>
        <w:r>
          <w:rPr>
            <w:rStyle w:val="InternetLink"/>
          </w:rPr>
          <w:t xml:space="preserve"> </w:t>
        </w:r>
        <w:r>
          <w:rPr>
            <w:rStyle w:val="InternetLink"/>
          </w:rPr>
          <w:t xml:space="preserve">Synaptic Plasticity</w:t>
        </w:r>
      </w:hyperlink>
      <w:r>
        <w:t xml:space="preserve">.</w:t>
      </w:r>
      <w:r>
        <w:t xml:space="preserve"> </w:t>
      </w:r>
      <w:r>
        <w:rPr>
          <w:i/>
          <w:iCs/>
        </w:rPr>
        <w:t xml:space="preserve">Frontiers in Physics</w:t>
      </w:r>
      <w:r>
        <w:t xml:space="preserve"> </w:t>
      </w:r>
      <w:r>
        <w:rPr>
          <w:b/>
          <w:bCs/>
        </w:rPr>
        <w:t xml:space="preserve">9</w:t>
      </w:r>
      <w:r>
        <w:t xml:space="preserve">, 619661 (2021).</w:t>
      </w:r>
    </w:p>
    <w:bookmarkEnd w:id="212"/>
    <w:bookmarkStart w:id="214" w:name="X53ee3219835bedd3e8024e256fb42bd968bf7fb"/>
    <w:p>
      <w:pPr>
        <w:pStyle w:val="Bibliography"/>
      </w:pPr>
      <w:r>
        <w:t xml:space="preserve">66.</w:t>
      </w:r>
      <w:r>
        <w:t xml:space="preserve"> </w:t>
      </w:r>
      <w:r>
        <w:t xml:space="preserve">	</w:t>
      </w:r>
      <w:r>
        <w:t xml:space="preserve">Ikeda, N., Akita, D. &amp; Takahashi, H.</w:t>
      </w:r>
      <w:r>
        <w:t xml:space="preserve"> </w:t>
      </w:r>
      <w:hyperlink r:id="rId213">
        <w:r>
          <w:rPr>
            <w:rStyle w:val="InternetLink"/>
          </w:rPr>
          <w:t xml:space="preserve">Emergent functions of noise-driven spontaneous activity:</w:t>
        </w:r>
        <w:r>
          <w:rPr>
            <w:rStyle w:val="InternetLink"/>
          </w:rPr>
          <w:t xml:space="preserve"> </w:t>
        </w:r>
        <w:r>
          <w:rPr>
            <w:rStyle w:val="InternetLink"/>
          </w:rPr>
          <w:t xml:space="preserve">Homeostatic</w:t>
        </w:r>
        <w:r>
          <w:rPr>
            <w:rStyle w:val="InternetLink"/>
          </w:rPr>
          <w:t xml:space="preserve"> </w:t>
        </w:r>
        <w:r>
          <w:rPr>
            <w:rStyle w:val="InternetLink"/>
          </w:rPr>
          <w:t xml:space="preserve">maintenance of criticality and memory consolidation</w:t>
        </w:r>
      </w:hyperlink>
      <w:r>
        <w:t xml:space="preserve">. (2025).</w:t>
      </w:r>
    </w:p>
    <w:bookmarkEnd w:id="214"/>
    <w:bookmarkStart w:id="216" w:name="ref-xiePharmacoresistantTemporalLobe2024"/>
    <w:p>
      <w:pPr>
        <w:pStyle w:val="Bibliography"/>
      </w:pPr>
      <w:r>
        <w:t xml:space="preserve">67.</w:t>
      </w:r>
      <w:r>
        <w:t xml:space="preserve"> </w:t>
      </w:r>
      <w:r>
        <w:t xml:space="preserve">	</w:t>
      </w:r>
      <w:r>
        <w:t xml:space="preserve">Xie, K.</w:t>
      </w:r>
      <w:r>
        <w:t xml:space="preserve"> </w:t>
      </w:r>
      <w:r>
        <w:rPr>
          <w:i/>
          <w:iCs/>
        </w:rPr>
        <w:t xml:space="preserve">et al.</w:t>
      </w:r>
      <w:r>
        <w:t xml:space="preserve"> Pharmaco-resistant temporal lobe epilepsy gradually perturbs the cortex-wide excitation-inhibition balance. (2024) doi:</w:t>
      </w:r>
      <w:hyperlink r:id="rId215">
        <w:r>
          <w:rPr>
            <w:rStyle w:val="InternetLink"/>
          </w:rPr>
          <w:t xml:space="preserve">10.1101/2024.04.22.590555</w:t>
        </w:r>
      </w:hyperlink>
      <w:r>
        <w:t xml:space="preserve">.</w:t>
      </w:r>
    </w:p>
    <w:bookmarkEnd w:id="216"/>
    <w:bookmarkStart w:id="218" w:name="X66840f2e535e017a7b65cdb14133cdb34347199"/>
    <w:p>
      <w:pPr>
        <w:pStyle w:val="Bibliography"/>
      </w:pPr>
      <w:r>
        <w:t xml:space="preserve">68.</w:t>
      </w:r>
      <w:r>
        <w:t xml:space="preserve"> </w:t>
      </w:r>
      <w:r>
        <w:t xml:space="preserve">	</w:t>
      </w:r>
      <w:r>
        <w:t xml:space="preserve">Fotiadis, P.</w:t>
      </w:r>
      <w:r>
        <w:t xml:space="preserve"> </w:t>
      </w:r>
      <w:r>
        <w:rPr>
          <w:i/>
          <w:iCs/>
        </w:rPr>
        <w:t xml:space="preserve">et al.</w:t>
      </w:r>
      <w:r>
        <w:t xml:space="preserve"> </w:t>
      </w:r>
      <w:hyperlink r:id="rId217">
        <w:r>
          <w:rPr>
            <w:rStyle w:val="InternetLink"/>
          </w:rPr>
          <w:t xml:space="preserve">Myelination and excitation-inhibition balance synergistically shape structure-function coupling across the human cortex</w:t>
        </w:r>
      </w:hyperlink>
      <w:r>
        <w:t xml:space="preserve">.</w:t>
      </w:r>
      <w:r>
        <w:t xml:space="preserve"> </w:t>
      </w:r>
      <w:r>
        <w:rPr>
          <w:i/>
          <w:iCs/>
        </w:rPr>
        <w:t xml:space="preserve">Nature Communications</w:t>
      </w:r>
      <w:r>
        <w:t xml:space="preserve"> </w:t>
      </w:r>
      <w:r>
        <w:rPr>
          <w:b/>
          <w:bCs/>
        </w:rPr>
        <w:t xml:space="preserve">14</w:t>
      </w:r>
      <w:r>
        <w:t xml:space="preserve">, 6115 (2023).</w:t>
      </w:r>
    </w:p>
    <w:bookmarkEnd w:id="218"/>
    <w:bookmarkStart w:id="220" w:name="X64d5c77c0dd95405f1207ce5d2d112cdcadb366"/>
    <w:p>
      <w:pPr>
        <w:pStyle w:val="Bibliography"/>
      </w:pPr>
      <w:r>
        <w:t xml:space="preserve">69.</w:t>
      </w:r>
      <w:r>
        <w:t xml:space="preserve"> </w:t>
      </w:r>
      <w:r>
        <w:t xml:space="preserve">	</w:t>
      </w:r>
      <w:r>
        <w:t xml:space="preserve">Vanderwal, T., Eilbott, J. &amp; Castellanos, F. X.</w:t>
      </w:r>
      <w:r>
        <w:t xml:space="preserve"> </w:t>
      </w:r>
      <w:hyperlink r:id="rId219">
        <w:r>
          <w:rPr>
            <w:rStyle w:val="InternetLink"/>
          </w:rPr>
          <w:t xml:space="preserve">Movies in the magnet:</w:t>
        </w:r>
        <w:r>
          <w:rPr>
            <w:rStyle w:val="InternetLink"/>
          </w:rPr>
          <w:t xml:space="preserve"> </w:t>
        </w:r>
        <w:r>
          <w:rPr>
            <w:rStyle w:val="InternetLink"/>
          </w:rPr>
          <w:t xml:space="preserve">Naturalistic</w:t>
        </w:r>
        <w:r>
          <w:rPr>
            <w:rStyle w:val="InternetLink"/>
          </w:rPr>
          <w:t xml:space="preserve"> </w:t>
        </w:r>
        <w:r>
          <w:rPr>
            <w:rStyle w:val="InternetLink"/>
          </w:rPr>
          <w:t xml:space="preserve">paradigms in developmental functional neuroimaging</w:t>
        </w:r>
      </w:hyperlink>
      <w:r>
        <w:t xml:space="preserve">.</w:t>
      </w:r>
      <w:r>
        <w:t xml:space="preserve"> </w:t>
      </w:r>
      <w:r>
        <w:rPr>
          <w:i/>
          <w:iCs/>
        </w:rPr>
        <w:t xml:space="preserve">Developmental Cognitive Neuroscience</w:t>
      </w:r>
      <w:r>
        <w:t xml:space="preserve"> </w:t>
      </w:r>
      <w:r>
        <w:rPr>
          <w:b/>
          <w:bCs/>
        </w:rPr>
        <w:t xml:space="preserve">36</w:t>
      </w:r>
      <w:r>
        <w:t xml:space="preserve">, 100600 (2019).</w:t>
      </w:r>
    </w:p>
    <w:bookmarkEnd w:id="220"/>
    <w:bookmarkStart w:id="222" w:name="ref-linInvestigatingMetabolicChanges2012"/>
    <w:p>
      <w:pPr>
        <w:pStyle w:val="Bibliography"/>
      </w:pPr>
      <w:r>
        <w:t xml:space="preserve">70.</w:t>
      </w:r>
      <w:r>
        <w:t xml:space="preserve"> </w:t>
      </w:r>
      <w:r>
        <w:t xml:space="preserve">	</w:t>
      </w:r>
      <w:r>
        <w:t xml:space="preserve">Lin, Y., Stephenson, M. C., Xin, L., Napolitano, A. &amp; Morris, P. G.</w:t>
      </w:r>
      <w:r>
        <w:t xml:space="preserve"> </w:t>
      </w:r>
      <w:hyperlink r:id="rId221">
        <w:r>
          <w:rPr>
            <w:rStyle w:val="InternetLink"/>
          </w:rPr>
          <w:t xml:space="preserve">Investigating the</w:t>
        </w:r>
        <w:r>
          <w:rPr>
            <w:rStyle w:val="InternetLink"/>
          </w:rPr>
          <w:t xml:space="preserve"> </w:t>
        </w:r>
        <w:r>
          <w:rPr>
            <w:rStyle w:val="InternetLink"/>
          </w:rPr>
          <w:t xml:space="preserve">Metabolic Changes</w:t>
        </w:r>
        <w:r>
          <w:rPr>
            <w:rStyle w:val="InternetLink"/>
          </w:rPr>
          <w:t xml:space="preserve"> </w:t>
        </w:r>
        <w:r>
          <w:rPr>
            <w:rStyle w:val="InternetLink"/>
          </w:rPr>
          <w:t xml:space="preserve">due to</w:t>
        </w:r>
        <w:r>
          <w:rPr>
            <w:rStyle w:val="InternetLink"/>
          </w:rPr>
          <w:t xml:space="preserve"> </w:t>
        </w:r>
        <w:r>
          <w:rPr>
            <w:rStyle w:val="InternetLink"/>
          </w:rPr>
          <w:t xml:space="preserve">Visual Stimulation</w:t>
        </w:r>
        <w:r>
          <w:rPr>
            <w:rStyle w:val="InternetLink"/>
          </w:rPr>
          <w:t xml:space="preserve"> </w:t>
        </w:r>
        <w:r>
          <w:rPr>
            <w:rStyle w:val="InternetLink"/>
          </w:rPr>
          <w:t xml:space="preserve">using</w:t>
        </w:r>
        <w:r>
          <w:rPr>
            <w:rStyle w:val="InternetLink"/>
          </w:rPr>
          <w:t xml:space="preserve"> </w:t>
        </w:r>
        <w:r>
          <w:rPr>
            <w:rStyle w:val="InternetLink"/>
          </w:rPr>
          <w:t xml:space="preserve">Functional Proton Magnetic Resonance Spectroscopy</w:t>
        </w:r>
        <w:r>
          <w:rPr>
            <w:rStyle w:val="InternetLink"/>
          </w:rPr>
          <w:t xml:space="preserve"> </w:t>
        </w:r>
        <w:r>
          <w:rPr>
            <w:rStyle w:val="InternetLink"/>
          </w:rPr>
          <w:t xml:space="preserve">at 7</w:t>
        </w:r>
        <w:r>
          <w:rPr>
            <w:rStyle w:val="InternetLink"/>
          </w:rPr>
          <w:t xml:space="preserve"> </w:t>
        </w:r>
        <w:r>
          <w:rPr>
            <w:rStyle w:val="InternetLink"/>
          </w:rPr>
          <w:t xml:space="preserve">T</w:t>
        </w:r>
      </w:hyperlink>
      <w:r>
        <w:t xml:space="preserve">.</w:t>
      </w:r>
      <w:r>
        <w:t xml:space="preserve"> </w:t>
      </w:r>
      <w:r>
        <w:rPr>
          <w:i/>
          <w:iCs/>
        </w:rPr>
        <w:t xml:space="preserve">Journal of Cerebral Blood Flow &amp; Metabolism</w:t>
      </w:r>
      <w:r>
        <w:t xml:space="preserve"> </w:t>
      </w:r>
      <w:r>
        <w:rPr>
          <w:b/>
          <w:bCs/>
        </w:rPr>
        <w:t xml:space="preserve">32</w:t>
      </w:r>
      <w:r>
        <w:t xml:space="preserve">, 1484–1495 (2012).</w:t>
      </w:r>
    </w:p>
    <w:bookmarkEnd w:id="222"/>
    <w:bookmarkStart w:id="224" w:name="X3c88d9f185b840e7d37383eacc851b1a1df9e52"/>
    <w:p>
      <w:pPr>
        <w:pStyle w:val="Bibliography"/>
      </w:pPr>
      <w:r>
        <w:t xml:space="preserve">71.</w:t>
      </w:r>
      <w:r>
        <w:t xml:space="preserve"> </w:t>
      </w:r>
      <w:r>
        <w:t xml:space="preserve">	</w:t>
      </w:r>
      <w:r>
        <w:t xml:space="preserve">Martínez-Maestro, M., Labadie, C. &amp; Möller, H. E.</w:t>
      </w:r>
      <w:r>
        <w:t xml:space="preserve"> </w:t>
      </w:r>
      <w:hyperlink r:id="rId223">
        <w:r>
          <w:rPr>
            <w:rStyle w:val="InternetLink"/>
          </w:rPr>
          <w:t xml:space="preserve">Dynamic metabolic changes in human visual cortex in regions with positive and negative blood oxygenation level-dependent response</w:t>
        </w:r>
      </w:hyperlink>
      <w:r>
        <w:t xml:space="preserve">.</w:t>
      </w:r>
      <w:r>
        <w:t xml:space="preserve"> </w:t>
      </w:r>
      <w:r>
        <w:rPr>
          <w:i/>
          <w:iCs/>
        </w:rPr>
        <w:t xml:space="preserve">Journal of Cerebral Blood Flow and Metabolism: Official Journal of the International Society of Cerebral Blood Flow and Metabolism</w:t>
      </w:r>
      <w:r>
        <w:t xml:space="preserve"> </w:t>
      </w:r>
      <w:r>
        <w:rPr>
          <w:b/>
          <w:bCs/>
        </w:rPr>
        <w:t xml:space="preserve">39</w:t>
      </w:r>
      <w:r>
        <w:t xml:space="preserve">, 2295–2307 (2019).</w:t>
      </w:r>
    </w:p>
    <w:bookmarkEnd w:id="224"/>
    <w:bookmarkStart w:id="226" w:name="ref-saucedoChangesGABAGlutamate"/>
    <w:p>
      <w:pPr>
        <w:pStyle w:val="Bibliography"/>
      </w:pPr>
      <w:r>
        <w:t xml:space="preserve">72.</w:t>
      </w:r>
      <w:r>
        <w:t xml:space="preserve"> </w:t>
      </w:r>
      <w:r>
        <w:t xml:space="preserve">	</w:t>
      </w:r>
      <w:r>
        <w:t xml:space="preserve">Saucedo, A., Guo, F., Pappas, I. &amp; Wang, D. Changes in</w:t>
      </w:r>
      <w:r>
        <w:t xml:space="preserve"> </w:t>
      </w:r>
      <w:r>
        <w:t xml:space="preserve">GABA</w:t>
      </w:r>
      <w:r>
        <w:t xml:space="preserve"> </w:t>
      </w:r>
      <w:r>
        <w:t xml:space="preserve">and</w:t>
      </w:r>
      <w:r>
        <w:t xml:space="preserve"> </w:t>
      </w:r>
      <w:r>
        <w:t xml:space="preserve">Glutamate</w:t>
      </w:r>
      <w:r>
        <w:t xml:space="preserve"> </w:t>
      </w:r>
      <w:r>
        <w:t xml:space="preserve">levels with peripheral and central visual stimulation using functional magnetic resonance spectroscopy at</w:t>
      </w:r>
      <w:r>
        <w:t xml:space="preserve"> </w:t>
      </w:r>
      <w:r>
        <w:t xml:space="preserve">7T</w:t>
      </w:r>
      <w:r>
        <w:t xml:space="preserve">. in</w:t>
      </w:r>
      <w:r>
        <w:t xml:space="preserve"> </w:t>
      </w:r>
      <w:r>
        <w:rPr>
          <w:i/>
          <w:iCs/>
        </w:rPr>
        <w:t xml:space="preserve">2024</w:t>
      </w:r>
      <w:r>
        <w:rPr>
          <w:i/>
          <w:iCs/>
        </w:rPr>
        <w:t xml:space="preserve"> </w:t>
      </w:r>
      <w:r>
        <w:rPr>
          <w:i/>
          <w:iCs/>
        </w:rPr>
        <w:t xml:space="preserve">ISMRM</w:t>
      </w:r>
      <w:r>
        <w:rPr>
          <w:i/>
          <w:iCs/>
        </w:rPr>
        <w:t xml:space="preserve"> </w:t>
      </w:r>
      <w:r>
        <w:rPr>
          <w:i/>
          <w:iCs/>
        </w:rPr>
        <w:t xml:space="preserve">&amp;</w:t>
      </w:r>
      <w:r>
        <w:rPr>
          <w:i/>
          <w:iCs/>
        </w:rPr>
        <w:t xml:space="preserve"> </w:t>
      </w:r>
      <w:r>
        <w:rPr>
          <w:i/>
          <w:iCs/>
        </w:rPr>
        <w:t xml:space="preserve">ISMRT Annual Meeting</w:t>
      </w:r>
      <w:r>
        <w:t xml:space="preserve"> </w:t>
      </w:r>
      <w:r>
        <w:t xml:space="preserve">1922 (Toronto, ON, Canada). doi:</w:t>
      </w:r>
      <w:hyperlink r:id="rId225">
        <w:r>
          <w:rPr>
            <w:rStyle w:val="InternetLink"/>
          </w:rPr>
          <w:t xml:space="preserve">10.58530/2024/1922</w:t>
        </w:r>
      </w:hyperlink>
      <w:r>
        <w:t xml:space="preserve">.</w:t>
      </w:r>
    </w:p>
    <w:bookmarkEnd w:id="226"/>
    <w:bookmarkStart w:id="228" w:name="ref-kurcyusOppositeDynamicsGABA2018"/>
    <w:p>
      <w:pPr>
        <w:pStyle w:val="Bibliography"/>
      </w:pPr>
      <w:r>
        <w:t xml:space="preserve">73.</w:t>
      </w:r>
      <w:r>
        <w:t xml:space="preserve"> </w:t>
      </w:r>
      <w:r>
        <w:t xml:space="preserve">	</w:t>
      </w:r>
      <w:r>
        <w:t xml:space="preserve">Kurcyus, K.</w:t>
      </w:r>
      <w:r>
        <w:t xml:space="preserve"> </w:t>
      </w:r>
      <w:r>
        <w:rPr>
          <w:i/>
          <w:iCs/>
        </w:rPr>
        <w:t xml:space="preserve">et al.</w:t>
      </w:r>
      <w:r>
        <w:t xml:space="preserve"> </w:t>
      </w:r>
      <w:hyperlink r:id="rId227">
        <w:r>
          <w:rPr>
            <w:rStyle w:val="InternetLink"/>
          </w:rPr>
          <w:t xml:space="preserve">Opposite</w:t>
        </w:r>
        <w:r>
          <w:rPr>
            <w:rStyle w:val="InternetLink"/>
          </w:rPr>
          <w:t xml:space="preserve"> </w:t>
        </w:r>
        <w:r>
          <w:rPr>
            <w:rStyle w:val="InternetLink"/>
          </w:rPr>
          <w:t xml:space="preserve">Dynamics</w:t>
        </w:r>
        <w:r>
          <w:rPr>
            <w:rStyle w:val="InternetLink"/>
          </w:rPr>
          <w:t xml:space="preserve"> </w:t>
        </w:r>
        <w:r>
          <w:rPr>
            <w:rStyle w:val="InternetLink"/>
          </w:rPr>
          <w:t xml:space="preserve">of</w:t>
        </w:r>
        <w:r>
          <w:rPr>
            <w:rStyle w:val="InternetLink"/>
          </w:rPr>
          <w:t xml:space="preserve"> </w:t>
        </w:r>
        <w:r>
          <w:rPr>
            <w:rStyle w:val="InternetLink"/>
          </w:rPr>
          <w:t xml:space="preserve">GABA</w:t>
        </w:r>
        <w:r>
          <w:rPr>
            <w:rStyle w:val="InternetLink"/>
          </w:rPr>
          <w:t xml:space="preserve"> </w:t>
        </w:r>
        <w:r>
          <w:rPr>
            <w:rStyle w:val="InternetLink"/>
          </w:rPr>
          <w:t xml:space="preserve">and</w:t>
        </w:r>
        <w:r>
          <w:rPr>
            <w:rStyle w:val="InternetLink"/>
          </w:rPr>
          <w:t xml:space="preserve"> </w:t>
        </w:r>
        <w:r>
          <w:rPr>
            <w:rStyle w:val="InternetLink"/>
          </w:rPr>
          <w:t xml:space="preserve">Glutamate Levels</w:t>
        </w:r>
        <w:r>
          <w:rPr>
            <w:rStyle w:val="InternetLink"/>
          </w:rPr>
          <w:t xml:space="preserve"> </w:t>
        </w:r>
        <w:r>
          <w:rPr>
            <w:rStyle w:val="InternetLink"/>
          </w:rPr>
          <w:t xml:space="preserve">in the</w:t>
        </w:r>
        <w:r>
          <w:rPr>
            <w:rStyle w:val="InternetLink"/>
          </w:rPr>
          <w:t xml:space="preserve"> </w:t>
        </w:r>
        <w:r>
          <w:rPr>
            <w:rStyle w:val="InternetLink"/>
          </w:rPr>
          <w:t xml:space="preserve">Occipital Cortex</w:t>
        </w:r>
        <w:r>
          <w:rPr>
            <w:rStyle w:val="InternetLink"/>
          </w:rPr>
          <w:t xml:space="preserve"> </w:t>
        </w:r>
        <w:r>
          <w:rPr>
            <w:rStyle w:val="InternetLink"/>
          </w:rPr>
          <w:t xml:space="preserve">during</w:t>
        </w:r>
        <w:r>
          <w:rPr>
            <w:rStyle w:val="InternetLink"/>
          </w:rPr>
          <w:t xml:space="preserve"> </w:t>
        </w:r>
        <w:r>
          <w:rPr>
            <w:rStyle w:val="InternetLink"/>
          </w:rPr>
          <w:t xml:space="preserve">Visual Processing</w:t>
        </w:r>
      </w:hyperlink>
      <w:r>
        <w:t xml:space="preserve">.</w:t>
      </w:r>
      <w:r>
        <w:t xml:space="preserve"> </w:t>
      </w:r>
      <w:r>
        <w:rPr>
          <w:i/>
          <w:iCs/>
        </w:rPr>
        <w:t xml:space="preserve">The Journal of Neuroscience</w:t>
      </w:r>
      <w:r>
        <w:t xml:space="preserve"> </w:t>
      </w:r>
      <w:r>
        <w:rPr>
          <w:b/>
          <w:bCs/>
        </w:rPr>
        <w:t xml:space="preserve">38</w:t>
      </w:r>
      <w:r>
        <w:t xml:space="preserve">, 9967–9976 (2018).</w:t>
      </w:r>
    </w:p>
    <w:bookmarkEnd w:id="228"/>
    <w:bookmarkStart w:id="230" w:name="X2deb2be2adb62c9f33832d8596f4171cb63eb82"/>
    <w:p>
      <w:pPr>
        <w:pStyle w:val="Bibliography"/>
      </w:pPr>
      <w:r>
        <w:t xml:space="preserve">74.</w:t>
      </w:r>
      <w:r>
        <w:t xml:space="preserve"> </w:t>
      </w:r>
      <w:r>
        <w:t xml:space="preserve">	</w:t>
      </w:r>
      <w:r>
        <w:t xml:space="preserve">Oz, G. &amp; Tkáč, I.</w:t>
      </w:r>
      <w:r>
        <w:t xml:space="preserve"> </w:t>
      </w:r>
      <w:hyperlink r:id="rId229">
        <w:r>
          <w:rPr>
            <w:rStyle w:val="InternetLink"/>
          </w:rPr>
          <w:t xml:space="preserve">Short-echo, single-shot, full-intensity proton magnetic resonance spectroscopy for neurochemical profiling at 4</w:t>
        </w:r>
        <w:r>
          <w:rPr>
            <w:rStyle w:val="InternetLink"/>
          </w:rPr>
          <w:t xml:space="preserve"> </w:t>
        </w:r>
        <w:r>
          <w:rPr>
            <w:rStyle w:val="InternetLink"/>
          </w:rPr>
          <w:t xml:space="preserve">T</w:t>
        </w:r>
        <w:r>
          <w:rPr>
            <w:rStyle w:val="InternetLink"/>
          </w:rPr>
          <w:t xml:space="preserve">: Validation in the cerebellum and brainstem</w:t>
        </w:r>
      </w:hyperlink>
      <w:r>
        <w:t xml:space="preserve">.</w:t>
      </w:r>
      <w:r>
        <w:t xml:space="preserve"> </w:t>
      </w:r>
      <w:r>
        <w:rPr>
          <w:i/>
          <w:iCs/>
        </w:rPr>
        <w:t xml:space="preserve">Magnetic Resonance in Medicine</w:t>
      </w:r>
      <w:r>
        <w:t xml:space="preserve"> </w:t>
      </w:r>
      <w:r>
        <w:rPr>
          <w:b/>
          <w:bCs/>
        </w:rPr>
        <w:t xml:space="preserve">65</w:t>
      </w:r>
      <w:r>
        <w:t xml:space="preserve">, 901–910 (2011).</w:t>
      </w:r>
    </w:p>
    <w:bookmarkEnd w:id="230"/>
    <w:bookmarkStart w:id="232" w:name="ref-mescherSimultaneousVivoSpectral1998"/>
    <w:p>
      <w:pPr>
        <w:pStyle w:val="Bibliography"/>
      </w:pPr>
      <w:r>
        <w:t xml:space="preserve">75.</w:t>
      </w:r>
      <w:r>
        <w:t xml:space="preserve"> </w:t>
      </w:r>
      <w:r>
        <w:t xml:space="preserve">	</w:t>
      </w:r>
      <w:r>
        <w:t xml:space="preserve">Mescher, M., Merkle, H., Kirsch, J., Garwood, M. &amp; Gruetter, R.</w:t>
      </w:r>
      <w:r>
        <w:t xml:space="preserve"> </w:t>
      </w:r>
      <w:hyperlink r:id="rId231">
        <w:r>
          <w:rPr>
            <w:rStyle w:val="InternetLink"/>
          </w:rPr>
          <w:t xml:space="preserve">Simultaneous in vivo spectral editing and water suppression</w:t>
        </w:r>
      </w:hyperlink>
      <w:r>
        <w:t xml:space="preserve">.</w:t>
      </w:r>
      <w:r>
        <w:t xml:space="preserve"> </w:t>
      </w:r>
      <w:r>
        <w:rPr>
          <w:i/>
          <w:iCs/>
        </w:rPr>
        <w:t xml:space="preserve">NMR in biomedicine</w:t>
      </w:r>
      <w:r>
        <w:t xml:space="preserve"> </w:t>
      </w:r>
      <w:r>
        <w:rPr>
          <w:b/>
          <w:bCs/>
        </w:rPr>
        <w:t xml:space="preserve">11</w:t>
      </w:r>
      <w:r>
        <w:t xml:space="preserve">, 266–272 (1998).</w:t>
      </w:r>
    </w:p>
    <w:bookmarkEnd w:id="232"/>
    <w:bookmarkStart w:id="233" w:name="ref-cordeyJungles2019"/>
    <w:p>
      <w:pPr>
        <w:pStyle w:val="Bibliography"/>
      </w:pPr>
      <w:r>
        <w:t xml:space="preserve">76.</w:t>
      </w:r>
      <w:r>
        <w:t xml:space="preserve"> </w:t>
      </w:r>
      <w:r>
        <w:t xml:space="preserve">	</w:t>
      </w:r>
      <w:r>
        <w:t xml:space="preserve">Cordey, H. Jungles.</w:t>
      </w:r>
      <w:r>
        <w:t xml:space="preserve"> </w:t>
      </w:r>
      <w:r>
        <w:rPr>
          <w:i/>
          <w:iCs/>
        </w:rPr>
        <w:t xml:space="preserve">Our Planet</w:t>
      </w:r>
      <w:r>
        <w:t xml:space="preserve"> </w:t>
      </w:r>
      <w:r>
        <w:t xml:space="preserve">(2019).</w:t>
      </w:r>
    </w:p>
    <w:bookmarkEnd w:id="233"/>
    <w:bookmarkStart w:id="235" w:name="ref-ipCombinedFMRIMRSAcquires2017"/>
    <w:p>
      <w:pPr>
        <w:pStyle w:val="Bibliography"/>
      </w:pPr>
      <w:r>
        <w:t xml:space="preserve">77.</w:t>
      </w:r>
      <w:r>
        <w:t xml:space="preserve"> </w:t>
      </w:r>
      <w:r>
        <w:t xml:space="preserve">	</w:t>
      </w:r>
      <w:r>
        <w:t xml:space="preserve">Ip, I. B.</w:t>
      </w:r>
      <w:r>
        <w:t xml:space="preserve"> </w:t>
      </w:r>
      <w:r>
        <w:rPr>
          <w:i/>
          <w:iCs/>
        </w:rPr>
        <w:t xml:space="preserve">et al.</w:t>
      </w:r>
      <w:r>
        <w:t xml:space="preserve"> </w:t>
      </w:r>
      <w:hyperlink r:id="rId234">
        <w:r>
          <w:rPr>
            <w:rStyle w:val="InternetLink"/>
          </w:rPr>
          <w:t xml:space="preserve">Combined</w:t>
        </w:r>
        <w:r>
          <w:rPr>
            <w:rStyle w:val="InternetLink"/>
          </w:rPr>
          <w:t xml:space="preserve"> </w:t>
        </w:r>
        <w:r>
          <w:rPr>
            <w:rStyle w:val="InternetLink"/>
          </w:rPr>
          <w:t xml:space="preserve">fMRI-MRS</w:t>
        </w:r>
        <w:r>
          <w:rPr>
            <w:rStyle w:val="InternetLink"/>
          </w:rPr>
          <w:t xml:space="preserve"> </w:t>
        </w:r>
        <w:r>
          <w:rPr>
            <w:rStyle w:val="InternetLink"/>
          </w:rPr>
          <w:t xml:space="preserve">acquires simultaneous glutamate and</w:t>
        </w:r>
        <w:r>
          <w:rPr>
            <w:rStyle w:val="InternetLink"/>
          </w:rPr>
          <w:t xml:space="preserve"> </w:t>
        </w:r>
        <w:r>
          <w:rPr>
            <w:rStyle w:val="InternetLink"/>
          </w:rPr>
          <w:t xml:space="preserve">BOLD-fMRI</w:t>
        </w:r>
        <w:r>
          <w:rPr>
            <w:rStyle w:val="InternetLink"/>
          </w:rPr>
          <w:t xml:space="preserve"> </w:t>
        </w:r>
        <w:r>
          <w:rPr>
            <w:rStyle w:val="InternetLink"/>
          </w:rPr>
          <w:t xml:space="preserve">signals in the human brain</w:t>
        </w:r>
      </w:hyperlink>
      <w:r>
        <w:t xml:space="preserve">.</w:t>
      </w:r>
      <w:r>
        <w:t xml:space="preserve"> </w:t>
      </w:r>
      <w:r>
        <w:rPr>
          <w:i/>
          <w:iCs/>
        </w:rPr>
        <w:t xml:space="preserve">NeuroImage</w:t>
      </w:r>
      <w:r>
        <w:t xml:space="preserve"> </w:t>
      </w:r>
      <w:r>
        <w:rPr>
          <w:b/>
          <w:bCs/>
        </w:rPr>
        <w:t xml:space="preserve">155</w:t>
      </w:r>
      <w:r>
        <w:t xml:space="preserve">, 113–119 (2017).</w:t>
      </w:r>
    </w:p>
    <w:bookmarkEnd w:id="235"/>
    <w:bookmarkStart w:id="237" w:name="X56c2864753b60d9230ad09d1af7ca17bd280dab"/>
    <w:p>
      <w:pPr>
        <w:pStyle w:val="Bibliography"/>
      </w:pPr>
      <w:r>
        <w:t xml:space="preserve">78.</w:t>
      </w:r>
      <w:r>
        <w:t xml:space="preserve"> </w:t>
      </w:r>
      <w:r>
        <w:t xml:space="preserve">	</w:t>
      </w:r>
      <w:r>
        <w:t xml:space="preserve">Wilson, M.</w:t>
      </w:r>
      <w:r>
        <w:t xml:space="preserve"> </w:t>
      </w:r>
      <w:r>
        <w:rPr>
          <w:i/>
          <w:iCs/>
        </w:rPr>
        <w:t xml:space="preserve">et al.</w:t>
      </w:r>
      <w:r>
        <w:t xml:space="preserve"> </w:t>
      </w:r>
      <w:hyperlink r:id="rId236">
        <w:r>
          <w:rPr>
            <w:rStyle w:val="InternetLink"/>
          </w:rPr>
          <w:t xml:space="preserve">Methodological consensus on clinical proton</w:t>
        </w:r>
        <w:r>
          <w:rPr>
            <w:rStyle w:val="InternetLink"/>
          </w:rPr>
          <w:t xml:space="preserve"> </w:t>
        </w:r>
        <w:r>
          <w:rPr>
            <w:rStyle w:val="InternetLink"/>
          </w:rPr>
          <w:t xml:space="preserve">MRS</w:t>
        </w:r>
        <w:r>
          <w:rPr>
            <w:rStyle w:val="InternetLink"/>
          </w:rPr>
          <w:t xml:space="preserve"> </w:t>
        </w:r>
        <w:r>
          <w:rPr>
            <w:rStyle w:val="InternetLink"/>
          </w:rPr>
          <w:t xml:space="preserve">of the brain:</w:t>
        </w:r>
        <w:r>
          <w:rPr>
            <w:rStyle w:val="InternetLink"/>
          </w:rPr>
          <w:t xml:space="preserve"> </w:t>
        </w:r>
        <w:r>
          <w:rPr>
            <w:rStyle w:val="InternetLink"/>
          </w:rPr>
          <w:t xml:space="preserve">Review</w:t>
        </w:r>
        <w:r>
          <w:rPr>
            <w:rStyle w:val="InternetLink"/>
          </w:rPr>
          <w:t xml:space="preserve"> </w:t>
        </w:r>
        <w:r>
          <w:rPr>
            <w:rStyle w:val="InternetLink"/>
          </w:rPr>
          <w:t xml:space="preserve">and recommendations</w:t>
        </w:r>
      </w:hyperlink>
      <w:r>
        <w:t xml:space="preserve">.</w:t>
      </w:r>
      <w:r>
        <w:t xml:space="preserve"> </w:t>
      </w:r>
      <w:r>
        <w:rPr>
          <w:i/>
          <w:iCs/>
        </w:rPr>
        <w:t xml:space="preserve">Magnetic Resonance in Medicine</w:t>
      </w:r>
      <w:r>
        <w:t xml:space="preserve"> </w:t>
      </w:r>
      <w:r>
        <w:rPr>
          <w:b/>
          <w:bCs/>
        </w:rPr>
        <w:t xml:space="preserve">82</w:t>
      </w:r>
      <w:r>
        <w:t xml:space="preserve">, 527–550 (2019).</w:t>
      </w:r>
    </w:p>
    <w:bookmarkEnd w:id="237"/>
    <w:bookmarkStart w:id="239" w:name="X43d031096c745031e21b8d0f664225976fbb7fa"/>
    <w:p>
      <w:pPr>
        <w:pStyle w:val="Bibliography"/>
      </w:pPr>
      <w:r>
        <w:t xml:space="preserve">79.</w:t>
      </w:r>
      <w:r>
        <w:t xml:space="preserve"> </w:t>
      </w:r>
      <w:r>
        <w:t xml:space="preserve">	</w:t>
      </w:r>
      <w:r>
        <w:t xml:space="preserve">Van Veenendaal, T. M.</w:t>
      </w:r>
      <w:r>
        <w:t xml:space="preserve"> </w:t>
      </w:r>
      <w:r>
        <w:rPr>
          <w:i/>
          <w:iCs/>
        </w:rPr>
        <w:t xml:space="preserve">et al.</w:t>
      </w:r>
      <w:r>
        <w:t xml:space="preserve"> </w:t>
      </w:r>
      <w:hyperlink r:id="rId238">
        <w:r>
          <w:rPr>
            <w:rStyle w:val="InternetLink"/>
          </w:rPr>
          <w:t xml:space="preserve">Glutamate quantification by</w:t>
        </w:r>
        <w:r>
          <w:rPr>
            <w:rStyle w:val="InternetLink"/>
          </w:rPr>
          <w:t xml:space="preserve"> </w:t>
        </w:r>
        <w:r>
          <w:rPr>
            <w:rStyle w:val="InternetLink"/>
          </w:rPr>
          <w:t xml:space="preserve">PRESS</w:t>
        </w:r>
        <w:r>
          <w:rPr>
            <w:rStyle w:val="InternetLink"/>
          </w:rPr>
          <w:t xml:space="preserve"> </w:t>
        </w:r>
        <w:r>
          <w:rPr>
            <w:rStyle w:val="InternetLink"/>
          </w:rPr>
          <w:t xml:space="preserve">or</w:t>
        </w:r>
        <w:r>
          <w:rPr>
            <w:rStyle w:val="InternetLink"/>
          </w:rPr>
          <w:t xml:space="preserve"> </w:t>
        </w:r>
        <w:r>
          <w:rPr>
            <w:rStyle w:val="InternetLink"/>
          </w:rPr>
          <w:t xml:space="preserve">MEGA-PRESS</w:t>
        </w:r>
        <w:r>
          <w:rPr>
            <w:rStyle w:val="InternetLink"/>
          </w:rPr>
          <w:t xml:space="preserve">:</w:t>
        </w:r>
        <w:r>
          <w:rPr>
            <w:rStyle w:val="InternetLink"/>
          </w:rPr>
          <w:t xml:space="preserve"> </w:t>
        </w:r>
        <w:r>
          <w:rPr>
            <w:rStyle w:val="InternetLink"/>
          </w:rPr>
          <w:t xml:space="preserve">Validation</w:t>
        </w:r>
        <w:r>
          <w:rPr>
            <w:rStyle w:val="InternetLink"/>
          </w:rPr>
          <w:t xml:space="preserve">, repeatability, and concordance</w:t>
        </w:r>
      </w:hyperlink>
      <w:r>
        <w:t xml:space="preserve">.</w:t>
      </w:r>
      <w:r>
        <w:t xml:space="preserve"> </w:t>
      </w:r>
      <w:r>
        <w:rPr>
          <w:i/>
          <w:iCs/>
        </w:rPr>
        <w:t xml:space="preserve">Magnetic Resonance Imaging</w:t>
      </w:r>
      <w:r>
        <w:t xml:space="preserve"> </w:t>
      </w:r>
      <w:r>
        <w:rPr>
          <w:b/>
          <w:bCs/>
        </w:rPr>
        <w:t xml:space="preserve">48</w:t>
      </w:r>
      <w:r>
        <w:t xml:space="preserve">, 107–114 (2018).</w:t>
      </w:r>
    </w:p>
    <w:bookmarkEnd w:id="239"/>
    <w:bookmarkStart w:id="241" w:name="ref-liFirstStepNeuroimaging2016"/>
    <w:p>
      <w:pPr>
        <w:pStyle w:val="Bibliography"/>
      </w:pPr>
      <w:r>
        <w:t xml:space="preserve">80.</w:t>
      </w:r>
      <w:r>
        <w:t xml:space="preserve"> </w:t>
      </w:r>
      <w:r>
        <w:t xml:space="preserve">	</w:t>
      </w:r>
      <w:r>
        <w:t xml:space="preserve">Li, X., Morgan, P. S., Ashburner, J., Smith, J. &amp; Rorden, C.</w:t>
      </w:r>
      <w:r>
        <w:t xml:space="preserve"> </w:t>
      </w:r>
      <w:hyperlink r:id="rId240">
        <w:r>
          <w:rPr>
            <w:rStyle w:val="InternetLink"/>
          </w:rPr>
          <w:t xml:space="preserve">The first step for neuroimaging data analysis:</w:t>
        </w:r>
        <w:r>
          <w:rPr>
            <w:rStyle w:val="InternetLink"/>
          </w:rPr>
          <w:t xml:space="preserve"> </w:t>
        </w:r>
        <w:r>
          <w:rPr>
            <w:rStyle w:val="InternetLink"/>
          </w:rPr>
          <w:t xml:space="preserve">DICOM</w:t>
        </w:r>
        <w:r>
          <w:rPr>
            <w:rStyle w:val="InternetLink"/>
          </w:rPr>
          <w:t xml:space="preserve"> </w:t>
        </w:r>
        <w:r>
          <w:rPr>
            <w:rStyle w:val="InternetLink"/>
          </w:rPr>
          <w:t xml:space="preserve">to</w:t>
        </w:r>
        <w:r>
          <w:rPr>
            <w:rStyle w:val="InternetLink"/>
          </w:rPr>
          <w:t xml:space="preserve"> </w:t>
        </w:r>
        <w:r>
          <w:rPr>
            <w:rStyle w:val="InternetLink"/>
          </w:rPr>
          <w:t xml:space="preserve">NIfTI</w:t>
        </w:r>
        <w:r>
          <w:rPr>
            <w:rStyle w:val="InternetLink"/>
          </w:rPr>
          <w:t xml:space="preserve"> </w:t>
        </w:r>
        <w:r>
          <w:rPr>
            <w:rStyle w:val="InternetLink"/>
          </w:rPr>
          <w:t xml:space="preserve">conversion</w:t>
        </w:r>
      </w:hyperlink>
      <w:r>
        <w:t xml:space="preserve">.</w:t>
      </w:r>
      <w:r>
        <w:t xml:space="preserve"> </w:t>
      </w:r>
      <w:r>
        <w:rPr>
          <w:i/>
          <w:iCs/>
        </w:rPr>
        <w:t xml:space="preserve">Journal of Neuroscience Methods</w:t>
      </w:r>
      <w:r>
        <w:t xml:space="preserve"> </w:t>
      </w:r>
      <w:r>
        <w:rPr>
          <w:b/>
          <w:bCs/>
        </w:rPr>
        <w:t xml:space="preserve">264</w:t>
      </w:r>
      <w:r>
        <w:t xml:space="preserve">, 47–56 (2016).</w:t>
      </w:r>
    </w:p>
    <w:bookmarkEnd w:id="241"/>
    <w:bookmarkStart w:id="243" w:name="ref-gorgolewskiBrainImagingData2016"/>
    <w:p>
      <w:pPr>
        <w:pStyle w:val="Bibliography"/>
      </w:pPr>
      <w:r>
        <w:t xml:space="preserve">81.</w:t>
      </w:r>
      <w:r>
        <w:t xml:space="preserve"> </w:t>
      </w:r>
      <w:r>
        <w:t xml:space="preserve">	</w:t>
      </w:r>
      <w:r>
        <w:t xml:space="preserve">Gorgolewski, K. J.</w:t>
      </w:r>
      <w:r>
        <w:t xml:space="preserve"> </w:t>
      </w:r>
      <w:r>
        <w:rPr>
          <w:i/>
          <w:iCs/>
        </w:rPr>
        <w:t xml:space="preserve">et al.</w:t>
      </w:r>
      <w:r>
        <w:t xml:space="preserve"> </w:t>
      </w:r>
      <w:hyperlink r:id="rId242">
        <w:r>
          <w:rPr>
            <w:rStyle w:val="InternetLink"/>
          </w:rPr>
          <w:t xml:space="preserve">The brain imaging data structure, a format for organizing and describing outputs of neuroimaging experiments</w:t>
        </w:r>
      </w:hyperlink>
      <w:r>
        <w:t xml:space="preserve">.</w:t>
      </w:r>
      <w:r>
        <w:t xml:space="preserve"> </w:t>
      </w:r>
      <w:r>
        <w:rPr>
          <w:i/>
          <w:iCs/>
        </w:rPr>
        <w:t xml:space="preserve">Scientific Data</w:t>
      </w:r>
      <w:r>
        <w:t xml:space="preserve"> </w:t>
      </w:r>
      <w:r>
        <w:rPr>
          <w:b/>
          <w:bCs/>
        </w:rPr>
        <w:t xml:space="preserve">3</w:t>
      </w:r>
      <w:r>
        <w:t xml:space="preserve">, 160044 (2016).</w:t>
      </w:r>
    </w:p>
    <w:bookmarkEnd w:id="243"/>
    <w:bookmarkStart w:id="245" w:name="ref-boreDcm2Bids2023"/>
    <w:p>
      <w:pPr>
        <w:pStyle w:val="Bibliography"/>
      </w:pPr>
      <w:r>
        <w:t xml:space="preserve">82.</w:t>
      </w:r>
      <w:r>
        <w:t xml:space="preserve"> </w:t>
      </w:r>
      <w:r>
        <w:t xml:space="preserve">	</w:t>
      </w:r>
      <w:r>
        <w:t xml:space="preserve">Boré, A., Guay, S., Bedetti, C., Meisler, S. &amp; GuenTher, N.</w:t>
      </w:r>
      <w:r>
        <w:t xml:space="preserve"> </w:t>
      </w:r>
      <w:r>
        <w:t xml:space="preserve">Dcm2Bids</w:t>
      </w:r>
      <w:r>
        <w:t xml:space="preserve">. (2023) doi:</w:t>
      </w:r>
      <w:hyperlink r:id="rId244">
        <w:r>
          <w:rPr>
            <w:rStyle w:val="InternetLink"/>
          </w:rPr>
          <w:t xml:space="preserve">10.5281/zenodo.8436509</w:t>
        </w:r>
      </w:hyperlink>
      <w:r>
        <w:t xml:space="preserve">.</w:t>
      </w:r>
    </w:p>
    <w:bookmarkEnd w:id="245"/>
    <w:bookmarkStart w:id="247" w:name="ref-tustisonN4ITKImprovedN32010"/>
    <w:p>
      <w:pPr>
        <w:pStyle w:val="Bibliography"/>
      </w:pPr>
      <w:r>
        <w:t xml:space="preserve">83.</w:t>
      </w:r>
      <w:r>
        <w:t xml:space="preserve"> </w:t>
      </w:r>
      <w:r>
        <w:t xml:space="preserve">	</w:t>
      </w:r>
      <w:r>
        <w:t xml:space="preserve">Tustison, N. J.</w:t>
      </w:r>
      <w:r>
        <w:t xml:space="preserve"> </w:t>
      </w:r>
      <w:r>
        <w:rPr>
          <w:i/>
          <w:iCs/>
        </w:rPr>
        <w:t xml:space="preserve">et al.</w:t>
      </w:r>
      <w:r>
        <w:t xml:space="preserve"> </w:t>
      </w:r>
      <w:hyperlink r:id="rId246">
        <w:r>
          <w:rPr>
            <w:rStyle w:val="InternetLink"/>
          </w:rPr>
          <w:t xml:space="preserve">N4ITK</w:t>
        </w:r>
        <w:r>
          <w:rPr>
            <w:rStyle w:val="InternetLink"/>
          </w:rPr>
          <w:t xml:space="preserve">:</w:t>
        </w:r>
        <w:r>
          <w:rPr>
            <w:rStyle w:val="InternetLink"/>
          </w:rPr>
          <w:t xml:space="preserve"> </w:t>
        </w:r>
        <w:r>
          <w:rPr>
            <w:rStyle w:val="InternetLink"/>
          </w:rPr>
          <w:t xml:space="preserve">Improved N3 Bias Correction</w:t>
        </w:r>
      </w:hyperlink>
      <w:r>
        <w:t xml:space="preserve">.</w:t>
      </w:r>
      <w:r>
        <w:t xml:space="preserve"> </w:t>
      </w:r>
      <w:r>
        <w:rPr>
          <w:i/>
          <w:iCs/>
        </w:rPr>
        <w:t xml:space="preserve">IEEE Transactions on Medical Imaging</w:t>
      </w:r>
      <w:r>
        <w:t xml:space="preserve"> </w:t>
      </w:r>
      <w:r>
        <w:rPr>
          <w:b/>
          <w:bCs/>
        </w:rPr>
        <w:t xml:space="preserve">29</w:t>
      </w:r>
      <w:r>
        <w:t xml:space="preserve">, 1310–1320 (2010).</w:t>
      </w:r>
    </w:p>
    <w:bookmarkEnd w:id="247"/>
    <w:bookmarkStart w:id="249" w:name="Xeefaf9082b75bd08ec775a50708dca4153d9690"/>
    <w:p>
      <w:pPr>
        <w:pStyle w:val="Bibliography"/>
      </w:pPr>
      <w:r>
        <w:t xml:space="preserve">84.</w:t>
      </w:r>
      <w:r>
        <w:t xml:space="preserve"> </w:t>
      </w:r>
      <w:r>
        <w:t xml:space="preserve">	</w:t>
      </w:r>
      <w:r>
        <w:t xml:space="preserve">Avants, B. B., Epstein, C. L., Grossman, M. &amp; Gee, J. C.</w:t>
      </w:r>
      <w:r>
        <w:t xml:space="preserve"> </w:t>
      </w:r>
      <w:hyperlink r:id="rId248">
        <w:r>
          <w:rPr>
            <w:rStyle w:val="InternetLink"/>
          </w:rPr>
          <w:t xml:space="preserve">Symmetric diffeomorphic image registration with cross-correlation: Evaluating automated labeling of elderly and neurodegenerative brain</w:t>
        </w:r>
      </w:hyperlink>
      <w:r>
        <w:t xml:space="preserve">.</w:t>
      </w:r>
      <w:r>
        <w:t xml:space="preserve"> </w:t>
      </w:r>
      <w:r>
        <w:rPr>
          <w:i/>
          <w:iCs/>
        </w:rPr>
        <w:t xml:space="preserve">Medical Image Analysis</w:t>
      </w:r>
      <w:r>
        <w:t xml:space="preserve"> </w:t>
      </w:r>
      <w:r>
        <w:rPr>
          <w:b/>
          <w:bCs/>
        </w:rPr>
        <w:t xml:space="preserve">12</w:t>
      </w:r>
      <w:r>
        <w:t xml:space="preserve">, 26–41 (2008).</w:t>
      </w:r>
    </w:p>
    <w:bookmarkEnd w:id="249"/>
    <w:bookmarkStart w:id="251" w:name="X43711a0a118a74b3ee63b3c5ba2faa681733756"/>
    <w:p>
      <w:pPr>
        <w:pStyle w:val="Bibliography"/>
      </w:pPr>
      <w:r>
        <w:t xml:space="preserve">85.</w:t>
      </w:r>
      <w:r>
        <w:t xml:space="preserve"> </w:t>
      </w:r>
      <w:r>
        <w:t xml:space="preserve">	</w:t>
      </w:r>
      <w:r>
        <w:t xml:space="preserve">Gorgolewski, K. J.</w:t>
      </w:r>
      <w:r>
        <w:t xml:space="preserve"> </w:t>
      </w:r>
      <w:r>
        <w:rPr>
          <w:i/>
          <w:iCs/>
        </w:rPr>
        <w:t xml:space="preserve">et al.</w:t>
      </w:r>
      <w:r>
        <w:t xml:space="preserve"> Nipype: A flexible, lightweight and extensible neuroimaging data processing framework in</w:t>
      </w:r>
      <w:r>
        <w:t xml:space="preserve"> </w:t>
      </w:r>
      <w:r>
        <w:t xml:space="preserve">Python</w:t>
      </w:r>
      <w:r>
        <w:t xml:space="preserve">. 0.12.0-Rc1. (2016) doi:</w:t>
      </w:r>
      <w:hyperlink r:id="rId250">
        <w:r>
          <w:rPr>
            <w:rStyle w:val="InternetLink"/>
          </w:rPr>
          <w:t xml:space="preserve">10.5281/zenodo.50186</w:t>
        </w:r>
      </w:hyperlink>
      <w:r>
        <w:t xml:space="preserve">.</w:t>
      </w:r>
    </w:p>
    <w:bookmarkEnd w:id="251"/>
    <w:bookmarkStart w:id="253" w:name="ref-zhangSegmentationBrainMR2001"/>
    <w:p>
      <w:pPr>
        <w:pStyle w:val="Bibliography"/>
      </w:pPr>
      <w:r>
        <w:t xml:space="preserve">86.</w:t>
      </w:r>
      <w:r>
        <w:t xml:space="preserve"> </w:t>
      </w:r>
      <w:r>
        <w:t xml:space="preserve">	</w:t>
      </w:r>
      <w:r>
        <w:t xml:space="preserve">Zhang, Y., Brady, M. &amp; Smith, S.</w:t>
      </w:r>
      <w:r>
        <w:t xml:space="preserve"> </w:t>
      </w:r>
      <w:hyperlink r:id="rId252">
        <w:r>
          <w:rPr>
            <w:rStyle w:val="InternetLink"/>
          </w:rPr>
          <w:t xml:space="preserve">Segmentation of brain</w:t>
        </w:r>
        <w:r>
          <w:rPr>
            <w:rStyle w:val="InternetLink"/>
          </w:rPr>
          <w:t xml:space="preserve"> </w:t>
        </w:r>
        <w:r>
          <w:rPr>
            <w:rStyle w:val="InternetLink"/>
          </w:rPr>
          <w:t xml:space="preserve">MR</w:t>
        </w:r>
        <w:r>
          <w:rPr>
            <w:rStyle w:val="InternetLink"/>
          </w:rPr>
          <w:t xml:space="preserve"> </w:t>
        </w:r>
        <w:r>
          <w:rPr>
            <w:rStyle w:val="InternetLink"/>
          </w:rPr>
          <w:t xml:space="preserve">images through a hidden</w:t>
        </w:r>
        <w:r>
          <w:rPr>
            <w:rStyle w:val="InternetLink"/>
          </w:rPr>
          <w:t xml:space="preserve"> </w:t>
        </w:r>
        <w:r>
          <w:rPr>
            <w:rStyle w:val="InternetLink"/>
          </w:rPr>
          <w:t xml:space="preserve">Markov</w:t>
        </w:r>
        <w:r>
          <w:rPr>
            <w:rStyle w:val="InternetLink"/>
          </w:rPr>
          <w:t xml:space="preserve"> </w:t>
        </w:r>
        <w:r>
          <w:rPr>
            <w:rStyle w:val="InternetLink"/>
          </w:rPr>
          <w:t xml:space="preserve">random field model and the expectation-maximization algorithm</w:t>
        </w:r>
      </w:hyperlink>
      <w:r>
        <w:t xml:space="preserve">.</w:t>
      </w:r>
      <w:r>
        <w:t xml:space="preserve"> </w:t>
      </w:r>
      <w:r>
        <w:rPr>
          <w:i/>
          <w:iCs/>
        </w:rPr>
        <w:t xml:space="preserve">IEEE Transactions on Medical Imaging</w:t>
      </w:r>
      <w:r>
        <w:t xml:space="preserve"> </w:t>
      </w:r>
      <w:r>
        <w:rPr>
          <w:b/>
          <w:bCs/>
        </w:rPr>
        <w:t xml:space="preserve">20</w:t>
      </w:r>
      <w:r>
        <w:t xml:space="preserve">, 45–57 (2001).</w:t>
      </w:r>
    </w:p>
    <w:bookmarkEnd w:id="253"/>
    <w:bookmarkStart w:id="255" w:name="X9e85724468787baf5444247f89a11ca552f98cd"/>
    <w:p>
      <w:pPr>
        <w:pStyle w:val="Bibliography"/>
      </w:pPr>
      <w:r>
        <w:t xml:space="preserve">87.</w:t>
      </w:r>
      <w:r>
        <w:t xml:space="preserve"> </w:t>
      </w:r>
      <w:r>
        <w:t xml:space="preserve">	</w:t>
      </w:r>
      <w:r>
        <w:t xml:space="preserve">Smith, S. M.</w:t>
      </w:r>
      <w:r>
        <w:t xml:space="preserve"> </w:t>
      </w:r>
      <w:r>
        <w:rPr>
          <w:i/>
          <w:iCs/>
        </w:rPr>
        <w:t xml:space="preserve">et al.</w:t>
      </w:r>
      <w:r>
        <w:t xml:space="preserve"> </w:t>
      </w:r>
      <w:hyperlink r:id="rId254">
        <w:r>
          <w:rPr>
            <w:rStyle w:val="InternetLink"/>
          </w:rPr>
          <w:t xml:space="preserve">Advances in functional and structural</w:t>
        </w:r>
        <w:r>
          <w:rPr>
            <w:rStyle w:val="InternetLink"/>
          </w:rPr>
          <w:t xml:space="preserve"> </w:t>
        </w:r>
        <w:r>
          <w:rPr>
            <w:rStyle w:val="InternetLink"/>
          </w:rPr>
          <w:t xml:space="preserve">MR</w:t>
        </w:r>
        <w:r>
          <w:rPr>
            <w:rStyle w:val="InternetLink"/>
          </w:rPr>
          <w:t xml:space="preserve"> </w:t>
        </w:r>
        <w:r>
          <w:rPr>
            <w:rStyle w:val="InternetLink"/>
          </w:rPr>
          <w:t xml:space="preserve">image analysis and implementation as</w:t>
        </w:r>
        <w:r>
          <w:rPr>
            <w:rStyle w:val="InternetLink"/>
          </w:rPr>
          <w:t xml:space="preserve"> </w:t>
        </w:r>
        <w:r>
          <w:rPr>
            <w:rStyle w:val="InternetLink"/>
          </w:rPr>
          <w:t xml:space="preserve">FSL</w:t>
        </w:r>
      </w:hyperlink>
      <w:r>
        <w:t xml:space="preserve">.</w:t>
      </w:r>
      <w:r>
        <w:t xml:space="preserve"> </w:t>
      </w:r>
      <w:r>
        <w:rPr>
          <w:i/>
          <w:iCs/>
        </w:rPr>
        <w:t xml:space="preserve">NeuroImage</w:t>
      </w:r>
      <w:r>
        <w:t xml:space="preserve"> </w:t>
      </w:r>
      <w:r>
        <w:rPr>
          <w:b/>
          <w:bCs/>
        </w:rPr>
        <w:t xml:space="preserve">23 Suppl 1</w:t>
      </w:r>
      <w:r>
        <w:t xml:space="preserve">, S208–219 (2004).</w:t>
      </w:r>
    </w:p>
    <w:bookmarkEnd w:id="255"/>
    <w:bookmarkStart w:id="257" w:name="ref-daleCorticalSurfacebasedAnalysis1999"/>
    <w:p>
      <w:pPr>
        <w:pStyle w:val="Bibliography"/>
      </w:pPr>
      <w:r>
        <w:t xml:space="preserve">88.</w:t>
      </w:r>
      <w:r>
        <w:t xml:space="preserve"> </w:t>
      </w:r>
      <w:r>
        <w:t xml:space="preserve">	</w:t>
      </w:r>
      <w:r>
        <w:t xml:space="preserve">Dale, A. M., Fischl, B. &amp; Sereno, M. I.</w:t>
      </w:r>
      <w:r>
        <w:t xml:space="preserve"> </w:t>
      </w:r>
      <w:hyperlink r:id="rId256">
        <w:r>
          <w:rPr>
            <w:rStyle w:val="InternetLink"/>
          </w:rPr>
          <w:t xml:space="preserve">Cortical surface-based analysis.</w:t>
        </w:r>
        <w:r>
          <w:rPr>
            <w:rStyle w:val="InternetLink"/>
          </w:rPr>
          <w:t xml:space="preserve"> </w:t>
        </w:r>
        <w:r>
          <w:rPr>
            <w:rStyle w:val="InternetLink"/>
          </w:rPr>
          <w:t xml:space="preserve">I</w:t>
        </w:r>
        <w:r>
          <w:rPr>
            <w:rStyle w:val="InternetLink"/>
          </w:rPr>
          <w:t xml:space="preserve">.</w:t>
        </w:r>
        <w:r>
          <w:rPr>
            <w:rStyle w:val="InternetLink"/>
          </w:rPr>
          <w:t xml:space="preserve"> </w:t>
        </w:r>
        <w:r>
          <w:rPr>
            <w:rStyle w:val="InternetLink"/>
          </w:rPr>
          <w:t xml:space="preserve">Segmentation</w:t>
        </w:r>
        <w:r>
          <w:rPr>
            <w:rStyle w:val="InternetLink"/>
          </w:rPr>
          <w:t xml:space="preserve"> </w:t>
        </w:r>
        <w:r>
          <w:rPr>
            <w:rStyle w:val="InternetLink"/>
          </w:rPr>
          <w:t xml:space="preserve">and surface reconstruction</w:t>
        </w:r>
      </w:hyperlink>
      <w:r>
        <w:t xml:space="preserve">.</w:t>
      </w:r>
      <w:r>
        <w:t xml:space="preserve"> </w:t>
      </w:r>
      <w:r>
        <w:rPr>
          <w:i/>
          <w:iCs/>
        </w:rPr>
        <w:t xml:space="preserve">NeuroImage</w:t>
      </w:r>
      <w:r>
        <w:t xml:space="preserve"> </w:t>
      </w:r>
      <w:r>
        <w:rPr>
          <w:b/>
          <w:bCs/>
        </w:rPr>
        <w:t xml:space="preserve">9</w:t>
      </w:r>
      <w:r>
        <w:t xml:space="preserve">, 179–194 (1999).</w:t>
      </w:r>
    </w:p>
    <w:bookmarkEnd w:id="257"/>
    <w:bookmarkStart w:id="259" w:name="X3c1fe9de21a1d29d636da9e3eada512cffb92e2"/>
    <w:p>
      <w:pPr>
        <w:pStyle w:val="Bibliography"/>
      </w:pPr>
      <w:r>
        <w:t xml:space="preserve">89.</w:t>
      </w:r>
      <w:r>
        <w:t xml:space="preserve"> </w:t>
      </w:r>
      <w:r>
        <w:t xml:space="preserve">	</w:t>
      </w:r>
      <w:r>
        <w:t xml:space="preserve">Klein, A.</w:t>
      </w:r>
      <w:r>
        <w:t xml:space="preserve"> </w:t>
      </w:r>
      <w:r>
        <w:rPr>
          <w:i/>
          <w:iCs/>
        </w:rPr>
        <w:t xml:space="preserve">et al.</w:t>
      </w:r>
      <w:r>
        <w:t xml:space="preserve"> </w:t>
      </w:r>
      <w:hyperlink r:id="rId258">
        <w:r>
          <w:rPr>
            <w:rStyle w:val="InternetLink"/>
          </w:rPr>
          <w:t xml:space="preserve">Mindboggling morphometry of human brains</w:t>
        </w:r>
      </w:hyperlink>
      <w:r>
        <w:t xml:space="preserve">.</w:t>
      </w:r>
      <w:r>
        <w:t xml:space="preserve"> </w:t>
      </w:r>
      <w:r>
        <w:rPr>
          <w:i/>
          <w:iCs/>
        </w:rPr>
        <w:t xml:space="preserve">PLoS computational biology</w:t>
      </w:r>
      <w:r>
        <w:t xml:space="preserve"> </w:t>
      </w:r>
      <w:r>
        <w:rPr>
          <w:b/>
          <w:bCs/>
        </w:rPr>
        <w:t xml:space="preserve">13</w:t>
      </w:r>
      <w:r>
        <w:t xml:space="preserve">, e1005350 (2017).</w:t>
      </w:r>
    </w:p>
    <w:bookmarkEnd w:id="259"/>
    <w:bookmarkStart w:id="261" w:name="Xe1081da162060deb82331b9df54dc7d82337269"/>
    <w:p>
      <w:pPr>
        <w:pStyle w:val="Bibliography"/>
      </w:pPr>
      <w:r>
        <w:t xml:space="preserve">90.</w:t>
      </w:r>
      <w:r>
        <w:t xml:space="preserve"> </w:t>
      </w:r>
      <w:r>
        <w:t xml:space="preserve">	</w:t>
      </w:r>
      <w:r>
        <w:t xml:space="preserve">Esteban, O.</w:t>
      </w:r>
      <w:r>
        <w:t xml:space="preserve"> </w:t>
      </w:r>
      <w:r>
        <w:rPr>
          <w:i/>
          <w:iCs/>
        </w:rPr>
        <w:t xml:space="preserve">et al.</w:t>
      </w:r>
      <w:r>
        <w:t xml:space="preserve"> </w:t>
      </w:r>
      <w:hyperlink r:id="rId260">
        <w:r>
          <w:rPr>
            <w:rStyle w:val="InternetLink"/>
          </w:rPr>
          <w:t xml:space="preserve">fMRIPrep</w:t>
        </w:r>
        <w:r>
          <w:rPr>
            <w:rStyle w:val="InternetLink"/>
          </w:rPr>
          <w:t xml:space="preserve">: A robust preprocessing pipeline for functional</w:t>
        </w:r>
        <w:r>
          <w:rPr>
            <w:rStyle w:val="InternetLink"/>
          </w:rPr>
          <w:t xml:space="preserve"> </w:t>
        </w:r>
        <w:r>
          <w:rPr>
            <w:rStyle w:val="InternetLink"/>
          </w:rPr>
          <w:t xml:space="preserve">MRI</w:t>
        </w:r>
      </w:hyperlink>
      <w:r>
        <w:t xml:space="preserve">.</w:t>
      </w:r>
      <w:r>
        <w:t xml:space="preserve"> </w:t>
      </w:r>
      <w:r>
        <w:rPr>
          <w:i/>
          <w:iCs/>
        </w:rPr>
        <w:t xml:space="preserve">Nature Methods</w:t>
      </w:r>
      <w:r>
        <w:t xml:space="preserve"> </w:t>
      </w:r>
      <w:r>
        <w:rPr>
          <w:b/>
          <w:bCs/>
        </w:rPr>
        <w:t xml:space="preserve">16</w:t>
      </w:r>
      <w:r>
        <w:t xml:space="preserve">, 111–116 (2019).</w:t>
      </w:r>
    </w:p>
    <w:bookmarkEnd w:id="261"/>
    <w:bookmarkStart w:id="263" w:name="Xf6126b899085a9a785ebf6398c9bce49f28ea50"/>
    <w:p>
      <w:pPr>
        <w:pStyle w:val="Bibliography"/>
      </w:pPr>
      <w:r>
        <w:t xml:space="preserve">91.</w:t>
      </w:r>
      <w:r>
        <w:t xml:space="preserve"> </w:t>
      </w:r>
      <w:r>
        <w:t xml:space="preserve">	</w:t>
      </w:r>
      <w:r>
        <w:t xml:space="preserve">Jenkinson, M., Bannister, P., Brady, M. &amp; Smith, S.</w:t>
      </w:r>
      <w:r>
        <w:t xml:space="preserve"> </w:t>
      </w:r>
      <w:hyperlink r:id="rId262">
        <w:r>
          <w:rPr>
            <w:rStyle w:val="InternetLink"/>
          </w:rPr>
          <w:t xml:space="preserve">Improved optimization for the robust and accurate linear registration and motion correction of brain images</w:t>
        </w:r>
      </w:hyperlink>
      <w:r>
        <w:t xml:space="preserve">.</w:t>
      </w:r>
      <w:r>
        <w:t xml:space="preserve"> </w:t>
      </w:r>
      <w:r>
        <w:rPr>
          <w:i/>
          <w:iCs/>
        </w:rPr>
        <w:t xml:space="preserve">NeuroImage</w:t>
      </w:r>
      <w:r>
        <w:t xml:space="preserve"> </w:t>
      </w:r>
      <w:r>
        <w:rPr>
          <w:b/>
          <w:bCs/>
        </w:rPr>
        <w:t xml:space="preserve">17</w:t>
      </w:r>
      <w:r>
        <w:t xml:space="preserve">, 825–841 (2002).</w:t>
      </w:r>
    </w:p>
    <w:bookmarkEnd w:id="263"/>
    <w:bookmarkStart w:id="265" w:name="ref-coxAFNISoftwareAnalysis1996"/>
    <w:p>
      <w:pPr>
        <w:pStyle w:val="Bibliography"/>
      </w:pPr>
      <w:r>
        <w:t xml:space="preserve">92.</w:t>
      </w:r>
      <w:r>
        <w:t xml:space="preserve"> </w:t>
      </w:r>
      <w:r>
        <w:t xml:space="preserve">	</w:t>
      </w:r>
      <w:r>
        <w:t xml:space="preserve">Cox, R. W.</w:t>
      </w:r>
      <w:r>
        <w:t xml:space="preserve"> </w:t>
      </w:r>
      <w:hyperlink r:id="rId264">
        <w:r>
          <w:rPr>
            <w:rStyle w:val="InternetLink"/>
          </w:rPr>
          <w:t xml:space="preserve">AFNI</w:t>
        </w:r>
        <w:r>
          <w:rPr>
            <w:rStyle w:val="InternetLink"/>
          </w:rPr>
          <w:t xml:space="preserve">:</w:t>
        </w:r>
        <w:r>
          <w:rPr>
            <w:rStyle w:val="InternetLink"/>
          </w:rPr>
          <w:t xml:space="preserve"> </w:t>
        </w:r>
        <w:r>
          <w:rPr>
            <w:rStyle w:val="InternetLink"/>
          </w:rPr>
          <w:t xml:space="preserve">Software</w:t>
        </w:r>
        <w:r>
          <w:rPr>
            <w:rStyle w:val="InternetLink"/>
          </w:rPr>
          <w:t xml:space="preserve"> </w:t>
        </w:r>
        <w:r>
          <w:rPr>
            <w:rStyle w:val="InternetLink"/>
          </w:rPr>
          <w:t xml:space="preserve">for</w:t>
        </w:r>
        <w:r>
          <w:rPr>
            <w:rStyle w:val="InternetLink"/>
          </w:rPr>
          <w:t xml:space="preserve"> </w:t>
        </w:r>
        <w:r>
          <w:rPr>
            <w:rStyle w:val="InternetLink"/>
          </w:rPr>
          <w:t xml:space="preserve">Analysis</w:t>
        </w:r>
        <w:r>
          <w:rPr>
            <w:rStyle w:val="InternetLink"/>
          </w:rPr>
          <w:t xml:space="preserve"> </w:t>
        </w:r>
        <w:r>
          <w:rPr>
            <w:rStyle w:val="InternetLink"/>
          </w:rPr>
          <w:t xml:space="preserve">and</w:t>
        </w:r>
        <w:r>
          <w:rPr>
            <w:rStyle w:val="InternetLink"/>
          </w:rPr>
          <w:t xml:space="preserve"> </w:t>
        </w:r>
        <w:r>
          <w:rPr>
            <w:rStyle w:val="InternetLink"/>
          </w:rPr>
          <w:t xml:space="preserve">Visualization</w:t>
        </w:r>
        <w:r>
          <w:rPr>
            <w:rStyle w:val="InternetLink"/>
          </w:rPr>
          <w:t xml:space="preserve"> </w:t>
        </w:r>
        <w:r>
          <w:rPr>
            <w:rStyle w:val="InternetLink"/>
          </w:rPr>
          <w:t xml:space="preserve">of</w:t>
        </w:r>
        <w:r>
          <w:rPr>
            <w:rStyle w:val="InternetLink"/>
          </w:rPr>
          <w:t xml:space="preserve"> </w:t>
        </w:r>
        <w:r>
          <w:rPr>
            <w:rStyle w:val="InternetLink"/>
          </w:rPr>
          <w:t xml:space="preserve">Functional Magnetic Resonance Neuroimages</w:t>
        </w:r>
      </w:hyperlink>
      <w:r>
        <w:t xml:space="preserve">.</w:t>
      </w:r>
      <w:r>
        <w:t xml:space="preserve"> </w:t>
      </w:r>
      <w:r>
        <w:rPr>
          <w:i/>
          <w:iCs/>
        </w:rPr>
        <w:t xml:space="preserve">Computers and Biomedical Research</w:t>
      </w:r>
      <w:r>
        <w:t xml:space="preserve"> </w:t>
      </w:r>
      <w:r>
        <w:rPr>
          <w:b/>
          <w:bCs/>
        </w:rPr>
        <w:t xml:space="preserve">29</w:t>
      </w:r>
      <w:r>
        <w:t xml:space="preserve">, 162–173 (1996).</w:t>
      </w:r>
    </w:p>
    <w:bookmarkEnd w:id="265"/>
    <w:bookmarkStart w:id="267" w:name="X699ec02cddd59da9f6ce2f525f26c7d6f5ae283"/>
    <w:p>
      <w:pPr>
        <w:pStyle w:val="Bibliography"/>
      </w:pPr>
      <w:r>
        <w:t xml:space="preserve">93.</w:t>
      </w:r>
      <w:r>
        <w:t xml:space="preserve"> </w:t>
      </w:r>
      <w:r>
        <w:t xml:space="preserve">	</w:t>
      </w:r>
      <w:r>
        <w:t xml:space="preserve">Posse, S.</w:t>
      </w:r>
      <w:r>
        <w:t xml:space="preserve"> </w:t>
      </w:r>
      <w:r>
        <w:rPr>
          <w:i/>
          <w:iCs/>
        </w:rPr>
        <w:t xml:space="preserve">et al.</w:t>
      </w:r>
      <w:r>
        <w:t xml:space="preserve"> </w:t>
      </w:r>
      <w:hyperlink r:id="rId266">
        <w:r>
          <w:rPr>
            <w:rStyle w:val="InternetLink"/>
          </w:rPr>
          <w:t xml:space="preserve">Enhancement of</w:t>
        </w:r>
        <w:r>
          <w:rPr>
            <w:rStyle w:val="InternetLink"/>
          </w:rPr>
          <w:t xml:space="preserve"> </w:t>
        </w:r>
        <w:r>
          <w:rPr>
            <w:rStyle w:val="InternetLink"/>
          </w:rPr>
          <w:t xml:space="preserve">BOLD-contrast</w:t>
        </w:r>
        <w:r>
          <w:rPr>
            <w:rStyle w:val="InternetLink"/>
          </w:rPr>
          <w:t xml:space="preserve"> </w:t>
        </w:r>
        <w:r>
          <w:rPr>
            <w:rStyle w:val="InternetLink"/>
          </w:rPr>
          <w:t xml:space="preserve">sensitivity by single-shot multi-echo functional</w:t>
        </w:r>
        <w:r>
          <w:rPr>
            <w:rStyle w:val="InternetLink"/>
          </w:rPr>
          <w:t xml:space="preserve"> </w:t>
        </w:r>
        <w:r>
          <w:rPr>
            <w:rStyle w:val="InternetLink"/>
          </w:rPr>
          <w:t xml:space="preserve">MR</w:t>
        </w:r>
        <w:r>
          <w:rPr>
            <w:rStyle w:val="InternetLink"/>
          </w:rPr>
          <w:t xml:space="preserve"> </w:t>
        </w:r>
        <w:r>
          <w:rPr>
            <w:rStyle w:val="InternetLink"/>
          </w:rPr>
          <w:t xml:space="preserve">imaging</w:t>
        </w:r>
      </w:hyperlink>
      <w:r>
        <w:t xml:space="preserve">.</w:t>
      </w:r>
      <w:r>
        <w:t xml:space="preserve"> </w:t>
      </w:r>
      <w:r>
        <w:rPr>
          <w:i/>
          <w:iCs/>
        </w:rPr>
        <w:t xml:space="preserve">Magnetic Resonance in Medicine</w:t>
      </w:r>
      <w:r>
        <w:t xml:space="preserve"> </w:t>
      </w:r>
      <w:r>
        <w:rPr>
          <w:b/>
          <w:bCs/>
        </w:rPr>
        <w:t xml:space="preserve">42</w:t>
      </w:r>
      <w:r>
        <w:t xml:space="preserve">, 87–97 (1999).</w:t>
      </w:r>
    </w:p>
    <w:bookmarkEnd w:id="267"/>
    <w:bookmarkStart w:id="269" w:name="X3a598bbf6fcf345f81ae1f5a13bc405d17b0a4c"/>
    <w:p>
      <w:pPr>
        <w:pStyle w:val="Bibliography"/>
      </w:pPr>
      <w:r>
        <w:t xml:space="preserve">94.</w:t>
      </w:r>
      <w:r>
        <w:t xml:space="preserve"> </w:t>
      </w:r>
      <w:r>
        <w:t xml:space="preserve">	</w:t>
      </w:r>
      <w:r>
        <w:t xml:space="preserve">DuPre, E.</w:t>
      </w:r>
      <w:r>
        <w:t xml:space="preserve"> </w:t>
      </w:r>
      <w:r>
        <w:rPr>
          <w:i/>
          <w:iCs/>
        </w:rPr>
        <w:t xml:space="preserve">et al.</w:t>
      </w:r>
      <w:r>
        <w:t xml:space="preserve"> </w:t>
      </w:r>
      <w:hyperlink r:id="rId268">
        <w:r>
          <w:rPr>
            <w:rStyle w:val="InternetLink"/>
          </w:rPr>
          <w:t xml:space="preserve">TE-dependent</w:t>
        </w:r>
        <w:r>
          <w:rPr>
            <w:rStyle w:val="InternetLink"/>
          </w:rPr>
          <w:t xml:space="preserve"> </w:t>
        </w:r>
        <w:r>
          <w:rPr>
            <w:rStyle w:val="InternetLink"/>
          </w:rPr>
          <w:t xml:space="preserve">analysis of multi-echo</w:t>
        </w:r>
        <w:r>
          <w:rPr>
            <w:rStyle w:val="InternetLink"/>
          </w:rPr>
          <w:t xml:space="preserve"> </w:t>
        </w:r>
        <w:r>
          <w:rPr>
            <w:rStyle w:val="InternetLink"/>
          </w:rPr>
          <w:t xml:space="preserve">fMRI</w:t>
        </w:r>
        <w:r>
          <w:rPr>
            <w:rStyle w:val="InternetLink"/>
          </w:rPr>
          <w:t xml:space="preserve"> </w:t>
        </w:r>
        <w:r>
          <w:rPr>
            <w:rStyle w:val="InternetLink"/>
          </w:rPr>
          <w:t xml:space="preserve">with *tedana*</w:t>
        </w:r>
      </w:hyperlink>
      <w:r>
        <w:t xml:space="preserve">.</w:t>
      </w:r>
      <w:r>
        <w:t xml:space="preserve"> </w:t>
      </w:r>
      <w:r>
        <w:rPr>
          <w:i/>
          <w:iCs/>
        </w:rPr>
        <w:t xml:space="preserve">Journal of Open Source Software</w:t>
      </w:r>
      <w:r>
        <w:t xml:space="preserve"> </w:t>
      </w:r>
      <w:r>
        <w:rPr>
          <w:b/>
          <w:bCs/>
        </w:rPr>
        <w:t xml:space="preserve">6</w:t>
      </w:r>
      <w:r>
        <w:t xml:space="preserve">, 3669 (2021).</w:t>
      </w:r>
    </w:p>
    <w:bookmarkEnd w:id="269"/>
    <w:bookmarkStart w:id="271" w:name="X3269ade3d7f8b0f39f41bc530824d1dc76d0dfa"/>
    <w:p>
      <w:pPr>
        <w:pStyle w:val="Bibliography"/>
      </w:pPr>
      <w:r>
        <w:t xml:space="preserve">95.</w:t>
      </w:r>
      <w:r>
        <w:t xml:space="preserve"> </w:t>
      </w:r>
      <w:r>
        <w:t xml:space="preserve">	</w:t>
      </w:r>
      <w:r>
        <w:t xml:space="preserve">Oeltzschner, G.</w:t>
      </w:r>
      <w:r>
        <w:t xml:space="preserve"> </w:t>
      </w:r>
      <w:r>
        <w:rPr>
          <w:i/>
          <w:iCs/>
        </w:rPr>
        <w:t xml:space="preserve">et al.</w:t>
      </w:r>
      <w:r>
        <w:t xml:space="preserve"> </w:t>
      </w:r>
      <w:hyperlink r:id="rId270">
        <w:r>
          <w:rPr>
            <w:rStyle w:val="InternetLink"/>
          </w:rPr>
          <w:t xml:space="preserve">Osprey:</w:t>
        </w:r>
        <w:r>
          <w:rPr>
            <w:rStyle w:val="InternetLink"/>
          </w:rPr>
          <w:t xml:space="preserve"> </w:t>
        </w:r>
        <w:r>
          <w:rPr>
            <w:rStyle w:val="InternetLink"/>
          </w:rPr>
          <w:t xml:space="preserve">Open-Source Processing</w:t>
        </w:r>
        <w:r>
          <w:rPr>
            <w:rStyle w:val="InternetLink"/>
          </w:rPr>
          <w:t xml:space="preserve">,</w:t>
        </w:r>
        <w:r>
          <w:rPr>
            <w:rStyle w:val="InternetLink"/>
          </w:rPr>
          <w:t xml:space="preserve"> </w:t>
        </w:r>
        <w:r>
          <w:rPr>
            <w:rStyle w:val="InternetLink"/>
          </w:rPr>
          <w:t xml:space="preserve">Reconstruction</w:t>
        </w:r>
        <w:r>
          <w:rPr>
            <w:rStyle w:val="InternetLink"/>
          </w:rPr>
          <w:t xml:space="preserve"> </w:t>
        </w:r>
        <w:r>
          <w:rPr>
            <w:rStyle w:val="InternetLink"/>
          </w:rPr>
          <w:t xml:space="preserve">&amp;</w:t>
        </w:r>
        <w:r>
          <w:rPr>
            <w:rStyle w:val="InternetLink"/>
          </w:rPr>
          <w:t xml:space="preserve"> </w:t>
        </w:r>
        <w:r>
          <w:rPr>
            <w:rStyle w:val="InternetLink"/>
          </w:rPr>
          <w:t xml:space="preserve">Estimation</w:t>
        </w:r>
        <w:r>
          <w:rPr>
            <w:rStyle w:val="InternetLink"/>
          </w:rPr>
          <w:t xml:space="preserve"> </w:t>
        </w:r>
        <w:r>
          <w:rPr>
            <w:rStyle w:val="InternetLink"/>
          </w:rPr>
          <w:t xml:space="preserve">of</w:t>
        </w:r>
        <w:r>
          <w:rPr>
            <w:rStyle w:val="InternetLink"/>
          </w:rPr>
          <w:t xml:space="preserve"> </w:t>
        </w:r>
        <w:r>
          <w:rPr>
            <w:rStyle w:val="InternetLink"/>
          </w:rPr>
          <w:t xml:space="preserve">Magnetic Resonance Spectroscopy Data</w:t>
        </w:r>
      </w:hyperlink>
      <w:r>
        <w:t xml:space="preserve">.</w:t>
      </w:r>
      <w:r>
        <w:t xml:space="preserve"> </w:t>
      </w:r>
      <w:r>
        <w:rPr>
          <w:i/>
          <w:iCs/>
        </w:rPr>
        <w:t xml:space="preserve">Journal of neuroscience methods</w:t>
      </w:r>
      <w:r>
        <w:t xml:space="preserve"> </w:t>
      </w:r>
      <w:r>
        <w:rPr>
          <w:b/>
          <w:bCs/>
        </w:rPr>
        <w:t xml:space="preserve">343</w:t>
      </w:r>
      <w:r>
        <w:t xml:space="preserve">, 108827 (2020).</w:t>
      </w:r>
    </w:p>
    <w:bookmarkEnd w:id="271"/>
    <w:bookmarkStart w:id="273" w:name="Xa737e5e392e4bcd51c7fd23331cbb80e3818b9a"/>
    <w:p>
      <w:pPr>
        <w:pStyle w:val="Bibliography"/>
      </w:pPr>
      <w:r>
        <w:t xml:space="preserve">96.</w:t>
      </w:r>
      <w:r>
        <w:t xml:space="preserve"> </w:t>
      </w:r>
      <w:r>
        <w:t xml:space="preserve">	</w:t>
      </w:r>
      <w:r>
        <w:t xml:space="preserve">Provencher, S. W.</w:t>
      </w:r>
      <w:r>
        <w:t xml:space="preserve"> </w:t>
      </w:r>
      <w:hyperlink r:id="rId272">
        <w:r>
          <w:rPr>
            <w:rStyle w:val="InternetLink"/>
          </w:rPr>
          <w:t xml:space="preserve">Automatic quantitation of localized in vivo</w:t>
        </w:r>
        <w:r>
          <w:rPr>
            <w:rStyle w:val="InternetLink"/>
          </w:rPr>
          <w:t xml:space="preserve"> </w:t>
        </w:r>
        <w:r>
          <w:rPr>
            <w:rStyle w:val="InternetLink"/>
          </w:rPr>
          <w:t xml:space="preserve">1H</w:t>
        </w:r>
        <w:r>
          <w:rPr>
            <w:rStyle w:val="InternetLink"/>
          </w:rPr>
          <w:t xml:space="preserve"> </w:t>
        </w:r>
        <w:r>
          <w:rPr>
            <w:rStyle w:val="InternetLink"/>
          </w:rPr>
          <w:t xml:space="preserve">spectra with</w:t>
        </w:r>
        <w:r>
          <w:rPr>
            <w:rStyle w:val="InternetLink"/>
          </w:rPr>
          <w:t xml:space="preserve"> </w:t>
        </w:r>
        <w:r>
          <w:rPr>
            <w:rStyle w:val="InternetLink"/>
          </w:rPr>
          <w:t xml:space="preserve">LCModel</w:t>
        </w:r>
      </w:hyperlink>
      <w:r>
        <w:t xml:space="preserve">.</w:t>
      </w:r>
      <w:r>
        <w:t xml:space="preserve"> </w:t>
      </w:r>
      <w:r>
        <w:rPr>
          <w:i/>
          <w:iCs/>
        </w:rPr>
        <w:t xml:space="preserve">NMR in biomedicine</w:t>
      </w:r>
      <w:r>
        <w:t xml:space="preserve"> </w:t>
      </w:r>
      <w:r>
        <w:rPr>
          <w:b/>
          <w:bCs/>
        </w:rPr>
        <w:t xml:space="preserve">14</w:t>
      </w:r>
      <w:r>
        <w:t xml:space="preserve">, 260–264 (2001).</w:t>
      </w:r>
    </w:p>
    <w:bookmarkEnd w:id="273"/>
    <w:bookmarkStart w:id="275" w:name="ref-pasantaFunctionalMRSStudies2023"/>
    <w:p>
      <w:pPr>
        <w:pStyle w:val="Bibliography"/>
      </w:pPr>
      <w:r>
        <w:t xml:space="preserve">97.</w:t>
      </w:r>
      <w:r>
        <w:t xml:space="preserve"> </w:t>
      </w:r>
      <w:r>
        <w:t xml:space="preserve">	</w:t>
      </w:r>
      <w:r>
        <w:t xml:space="preserve">Pasanta, D.</w:t>
      </w:r>
      <w:r>
        <w:t xml:space="preserve"> </w:t>
      </w:r>
      <w:r>
        <w:rPr>
          <w:i/>
          <w:iCs/>
        </w:rPr>
        <w:t xml:space="preserve">et al.</w:t>
      </w:r>
      <w:r>
        <w:t xml:space="preserve"> </w:t>
      </w:r>
      <w:hyperlink r:id="rId274">
        <w:r>
          <w:rPr>
            <w:rStyle w:val="InternetLink"/>
          </w:rPr>
          <w:t xml:space="preserve">Functional</w:t>
        </w:r>
        <w:r>
          <w:rPr>
            <w:rStyle w:val="InternetLink"/>
          </w:rPr>
          <w:t xml:space="preserve"> </w:t>
        </w:r>
        <w:r>
          <w:rPr>
            <w:rStyle w:val="InternetLink"/>
          </w:rPr>
          <w:t xml:space="preserve">MRS</w:t>
        </w:r>
        <w:r>
          <w:rPr>
            <w:rStyle w:val="InternetLink"/>
          </w:rPr>
          <w:t xml:space="preserve"> </w:t>
        </w:r>
        <w:r>
          <w:rPr>
            <w:rStyle w:val="InternetLink"/>
          </w:rPr>
          <w:t xml:space="preserve">studies of</w:t>
        </w:r>
        <w:r>
          <w:rPr>
            <w:rStyle w:val="InternetLink"/>
          </w:rPr>
          <w:t xml:space="preserve"> </w:t>
        </w:r>
        <w:r>
          <w:rPr>
            <w:rStyle w:val="InternetLink"/>
          </w:rPr>
          <w:t xml:space="preserve">GABA</w:t>
        </w:r>
        <w:r>
          <w:rPr>
            <w:rStyle w:val="InternetLink"/>
          </w:rPr>
          <w:t xml:space="preserve"> </w:t>
        </w:r>
        <w:r>
          <w:rPr>
            <w:rStyle w:val="InternetLink"/>
          </w:rPr>
          <w:t xml:space="preserve">and glutamate/</w:t>
        </w:r>
        <w:r>
          <w:rPr>
            <w:rStyle w:val="InternetLink"/>
          </w:rPr>
          <w:t xml:space="preserve">Glx</w:t>
        </w:r>
        <w:r>
          <w:rPr>
            <w:rStyle w:val="InternetLink"/>
          </w:rPr>
          <w:t xml:space="preserve"> </w:t>
        </w:r>
        <w:r>
          <w:rPr>
            <w:rStyle w:val="InternetLink"/>
          </w:rPr>
          <w:t xml:space="preserve">–</w:t>
        </w:r>
        <w:r>
          <w:rPr>
            <w:rStyle w:val="InternetLink"/>
          </w:rPr>
          <w:t xml:space="preserve"> </w:t>
        </w:r>
        <w:r>
          <w:rPr>
            <w:rStyle w:val="InternetLink"/>
          </w:rPr>
          <w:t xml:space="preserve">A</w:t>
        </w:r>
        <w:r>
          <w:rPr>
            <w:rStyle w:val="InternetLink"/>
          </w:rPr>
          <w:t xml:space="preserve"> </w:t>
        </w:r>
        <w:r>
          <w:rPr>
            <w:rStyle w:val="InternetLink"/>
          </w:rPr>
          <w:t xml:space="preserve">systematic review and meta-analysis</w:t>
        </w:r>
      </w:hyperlink>
      <w:r>
        <w:t xml:space="preserve">.</w:t>
      </w:r>
      <w:r>
        <w:t xml:space="preserve"> </w:t>
      </w:r>
      <w:r>
        <w:rPr>
          <w:i/>
          <w:iCs/>
        </w:rPr>
        <w:t xml:space="preserve">Neuroscience &amp; Biobehavioral Reviews</w:t>
      </w:r>
      <w:r>
        <w:t xml:space="preserve"> </w:t>
      </w:r>
      <w:r>
        <w:rPr>
          <w:b/>
          <w:bCs/>
        </w:rPr>
        <w:t xml:space="preserve">144</w:t>
      </w:r>
      <w:r>
        <w:t xml:space="preserve">, 104940 (2023).</w:t>
      </w:r>
    </w:p>
    <w:bookmarkEnd w:id="275"/>
    <w:bookmarkStart w:id="277" w:name="ref-ramadanGlutamateGlutamineReview2013"/>
    <w:p>
      <w:pPr>
        <w:pStyle w:val="Bibliography"/>
      </w:pPr>
      <w:r>
        <w:t xml:space="preserve">98.</w:t>
      </w:r>
      <w:r>
        <w:t xml:space="preserve"> </w:t>
      </w:r>
      <w:r>
        <w:t xml:space="preserve">	</w:t>
      </w:r>
      <w:r>
        <w:t xml:space="preserve">Ramadan, S., Lin, A. &amp; Stanwell, P.</w:t>
      </w:r>
      <w:r>
        <w:t xml:space="preserve"> </w:t>
      </w:r>
      <w:hyperlink r:id="rId276">
        <w:r>
          <w:rPr>
            <w:rStyle w:val="InternetLink"/>
          </w:rPr>
          <w:t xml:space="preserve">Glutamate and</w:t>
        </w:r>
        <w:r>
          <w:rPr>
            <w:rStyle w:val="InternetLink"/>
          </w:rPr>
          <w:t xml:space="preserve"> </w:t>
        </w:r>
        <w:r>
          <w:rPr>
            <w:rStyle w:val="InternetLink"/>
          </w:rPr>
          <w:t xml:space="preserve">Glutamine</w:t>
        </w:r>
        <w:r>
          <w:rPr>
            <w:rStyle w:val="InternetLink"/>
          </w:rPr>
          <w:t xml:space="preserve">:</w:t>
        </w:r>
        <w:r>
          <w:rPr>
            <w:rStyle w:val="InternetLink"/>
          </w:rPr>
          <w:t xml:space="preserve"> </w:t>
        </w:r>
        <w:r>
          <w:rPr>
            <w:rStyle w:val="InternetLink"/>
          </w:rPr>
          <w:t xml:space="preserve">A Review</w:t>
        </w:r>
        <w:r>
          <w:rPr>
            <w:rStyle w:val="InternetLink"/>
          </w:rPr>
          <w:t xml:space="preserve"> </w:t>
        </w:r>
        <w:r>
          <w:rPr>
            <w:rStyle w:val="InternetLink"/>
          </w:rPr>
          <w:t xml:space="preserve">of</w:t>
        </w:r>
        <w:r>
          <w:rPr>
            <w:rStyle w:val="InternetLink"/>
          </w:rPr>
          <w:t xml:space="preserve"> </w:t>
        </w:r>
        <w:r>
          <w:rPr>
            <w:rStyle w:val="InternetLink"/>
          </w:rPr>
          <w:t xml:space="preserve">In Vivo MRS</w:t>
        </w:r>
        <w:r>
          <w:rPr>
            <w:rStyle w:val="InternetLink"/>
          </w:rPr>
          <w:t xml:space="preserve"> </w:t>
        </w:r>
        <w:r>
          <w:rPr>
            <w:rStyle w:val="InternetLink"/>
          </w:rPr>
          <w:t xml:space="preserve">in the</w:t>
        </w:r>
        <w:r>
          <w:rPr>
            <w:rStyle w:val="InternetLink"/>
          </w:rPr>
          <w:t xml:space="preserve"> </w:t>
        </w:r>
        <w:r>
          <w:rPr>
            <w:rStyle w:val="InternetLink"/>
          </w:rPr>
          <w:t xml:space="preserve">Human Brain</w:t>
        </w:r>
      </w:hyperlink>
      <w:r>
        <w:t xml:space="preserve">.</w:t>
      </w:r>
      <w:r>
        <w:t xml:space="preserve"> </w:t>
      </w:r>
      <w:r>
        <w:rPr>
          <w:i/>
          <w:iCs/>
        </w:rPr>
        <w:t xml:space="preserve">NMR in biomedicine</w:t>
      </w:r>
      <w:r>
        <w:t xml:space="preserve"> </w:t>
      </w:r>
      <w:r>
        <w:rPr>
          <w:b/>
          <w:bCs/>
        </w:rPr>
        <w:t xml:space="preserve">26</w:t>
      </w:r>
      <w:r>
        <w:t xml:space="preserve">, 10.1002/nbm.3045 (2013).</w:t>
      </w:r>
    </w:p>
    <w:bookmarkEnd w:id="277"/>
    <w:bookmarkStart w:id="279" w:name="X052b6cafc7e5dc3a47aa528e7a043214fc5326f"/>
    <w:p>
      <w:pPr>
        <w:pStyle w:val="Bibliography"/>
      </w:pPr>
      <w:r>
        <w:t xml:space="preserve">99.</w:t>
      </w:r>
      <w:r>
        <w:t xml:space="preserve"> </w:t>
      </w:r>
      <w:r>
        <w:t xml:space="preserve">	</w:t>
      </w:r>
      <w:r>
        <w:t xml:space="preserve">Zöllner, H. J.</w:t>
      </w:r>
      <w:r>
        <w:t xml:space="preserve"> </w:t>
      </w:r>
      <w:r>
        <w:rPr>
          <w:i/>
          <w:iCs/>
        </w:rPr>
        <w:t xml:space="preserve">et al.</w:t>
      </w:r>
      <w:r>
        <w:t xml:space="preserve"> </w:t>
      </w:r>
      <w:hyperlink r:id="rId278">
        <w:r>
          <w:rPr>
            <w:rStyle w:val="InternetLink"/>
          </w:rPr>
          <w:t xml:space="preserve">Comparison of different linear-combination modeling algorithms for short-</w:t>
        </w:r>
        <w:r>
          <w:rPr>
            <w:rStyle w:val="InternetLink"/>
          </w:rPr>
          <w:t xml:space="preserve">TE</w:t>
        </w:r>
        <w:r>
          <w:rPr>
            <w:rStyle w:val="InternetLink"/>
          </w:rPr>
          <w:t xml:space="preserve"> </w:t>
        </w:r>
        <w:r>
          <w:rPr>
            <w:rStyle w:val="InternetLink"/>
          </w:rPr>
          <w:t xml:space="preserve">proton spectra</w:t>
        </w:r>
      </w:hyperlink>
      <w:r>
        <w:t xml:space="preserve">.</w:t>
      </w:r>
      <w:r>
        <w:t xml:space="preserve"> </w:t>
      </w:r>
      <w:r>
        <w:rPr>
          <w:i/>
          <w:iCs/>
        </w:rPr>
        <w:t xml:space="preserve">NMR in biomedicine</w:t>
      </w:r>
      <w:r>
        <w:t xml:space="preserve"> </w:t>
      </w:r>
      <w:r>
        <w:rPr>
          <w:b/>
          <w:bCs/>
        </w:rPr>
        <w:t xml:space="preserve">34</w:t>
      </w:r>
      <w:r>
        <w:t xml:space="preserve">, e4482 (2021).</w:t>
      </w:r>
    </w:p>
    <w:bookmarkEnd w:id="279"/>
    <w:bookmarkStart w:id="281" w:name="X75e3a610a061c8794902153a8faf5931aea2967"/>
    <w:p>
      <w:pPr>
        <w:pStyle w:val="Bibliography"/>
      </w:pPr>
      <w:r>
        <w:t xml:space="preserve">100.</w:t>
      </w:r>
      <w:r>
        <w:t xml:space="preserve"> </w:t>
      </w:r>
      <w:r>
        <w:t xml:space="preserve">	</w:t>
      </w:r>
      <w:r>
        <w:t xml:space="preserve">Zöllner, H. J.</w:t>
      </w:r>
      <w:r>
        <w:t xml:space="preserve"> </w:t>
      </w:r>
      <w:r>
        <w:rPr>
          <w:i/>
          <w:iCs/>
        </w:rPr>
        <w:t xml:space="preserve">et al.</w:t>
      </w:r>
      <w:r>
        <w:t xml:space="preserve"> </w:t>
      </w:r>
      <w:hyperlink r:id="rId280">
        <w:r>
          <w:rPr>
            <w:rStyle w:val="InternetLink"/>
          </w:rPr>
          <w:t xml:space="preserve">Comparison of linear combination modeling strategies for edited magnetic resonance spectroscopy at 3 </w:t>
        </w:r>
        <w:r>
          <w:rPr>
            <w:rStyle w:val="InternetLink"/>
          </w:rPr>
          <w:t xml:space="preserve">T</w:t>
        </w:r>
      </w:hyperlink>
      <w:r>
        <w:t xml:space="preserve">.</w:t>
      </w:r>
      <w:r>
        <w:t xml:space="preserve"> </w:t>
      </w:r>
      <w:r>
        <w:rPr>
          <w:i/>
          <w:iCs/>
        </w:rPr>
        <w:t xml:space="preserve">NMR in biomedicine</w:t>
      </w:r>
      <w:r>
        <w:t xml:space="preserve"> </w:t>
      </w:r>
      <w:r>
        <w:rPr>
          <w:b/>
          <w:bCs/>
        </w:rPr>
        <w:t xml:space="preserve">35</w:t>
      </w:r>
      <w:r>
        <w:t xml:space="preserve">, e4618 (2022).</w:t>
      </w:r>
    </w:p>
    <w:bookmarkEnd w:id="281"/>
    <w:bookmarkStart w:id="283" w:name="X180a60f14470e5f085a3ed4594321e508d6ec55"/>
    <w:p>
      <w:pPr>
        <w:pStyle w:val="Bibliography"/>
      </w:pPr>
      <w:r>
        <w:t xml:space="preserve">101.</w:t>
      </w:r>
      <w:r>
        <w:t xml:space="preserve"> </w:t>
      </w:r>
      <w:r>
        <w:t xml:space="preserve">	</w:t>
      </w:r>
      <w:r>
        <w:t xml:space="preserve">An, L., Willem Van Der Veen, J., Li, S., Thomasson, D. M. &amp; Shen, J.</w:t>
      </w:r>
      <w:r>
        <w:t xml:space="preserve"> </w:t>
      </w:r>
      <w:hyperlink r:id="rId282">
        <w:r>
          <w:rPr>
            <w:rStyle w:val="InternetLink"/>
          </w:rPr>
          <w:t xml:space="preserve">Combination of multichannel single-voxel</w:t>
        </w:r>
        <w:r>
          <w:rPr>
            <w:rStyle w:val="InternetLink"/>
          </w:rPr>
          <w:t xml:space="preserve"> </w:t>
        </w:r>
        <w:r>
          <w:rPr>
            <w:rStyle w:val="InternetLink"/>
          </w:rPr>
          <w:t xml:space="preserve">MRS</w:t>
        </w:r>
        <w:r>
          <w:rPr>
            <w:rStyle w:val="InternetLink"/>
          </w:rPr>
          <w:t xml:space="preserve"> </w:t>
        </w:r>
        <w:r>
          <w:rPr>
            <w:rStyle w:val="InternetLink"/>
          </w:rPr>
          <w:t xml:space="preserve">signals using generalized least squares</w:t>
        </w:r>
      </w:hyperlink>
      <w:r>
        <w:t xml:space="preserve">.</w:t>
      </w:r>
      <w:r>
        <w:t xml:space="preserve"> </w:t>
      </w:r>
      <w:r>
        <w:rPr>
          <w:i/>
          <w:iCs/>
        </w:rPr>
        <w:t xml:space="preserve">Journal of Magnetic Resonance Imaging</w:t>
      </w:r>
      <w:r>
        <w:t xml:space="preserve"> </w:t>
      </w:r>
      <w:r>
        <w:rPr>
          <w:b/>
          <w:bCs/>
        </w:rPr>
        <w:t xml:space="preserve">37</w:t>
      </w:r>
      <w:r>
        <w:t xml:space="preserve">, 1445–1450 (2013).</w:t>
      </w:r>
    </w:p>
    <w:bookmarkEnd w:id="283"/>
    <w:bookmarkStart w:id="285" w:name="ref-bouchardNoiseDecorrelationCoil2025"/>
    <w:p>
      <w:pPr>
        <w:pStyle w:val="Bibliography"/>
      </w:pPr>
      <w:r>
        <w:t xml:space="preserve">102.</w:t>
      </w:r>
      <w:r>
        <w:t xml:space="preserve"> </w:t>
      </w:r>
      <w:r>
        <w:t xml:space="preserve">	</w:t>
      </w:r>
      <w:r>
        <w:t xml:space="preserve">Bouchard, A. E. &amp; Mikkelsen, M.</w:t>
      </w:r>
      <w:r>
        <w:t xml:space="preserve"> </w:t>
      </w:r>
      <w:hyperlink r:id="rId284">
        <w:r>
          <w:rPr>
            <w:rStyle w:val="InternetLink"/>
          </w:rPr>
          <w:t xml:space="preserve">Noise decorrelation coil combination optimizes</w:t>
        </w:r>
        <w:r>
          <w:rPr>
            <w:rStyle w:val="InternetLink"/>
          </w:rPr>
          <w:t xml:space="preserve"> </w:t>
        </w:r>
        <w:r>
          <w:rPr>
            <w:rStyle w:val="InternetLink"/>
          </w:rPr>
          <w:t xml:space="preserve">SNR</w:t>
        </w:r>
        <w:r>
          <w:rPr>
            <w:rStyle w:val="InternetLink"/>
          </w:rPr>
          <w:t xml:space="preserve"> </w:t>
        </w:r>
        <w:r>
          <w:rPr>
            <w:rStyle w:val="InternetLink"/>
          </w:rPr>
          <w:t xml:space="preserve">of edited</w:t>
        </w:r>
        <w:r>
          <w:rPr>
            <w:rStyle w:val="InternetLink"/>
          </w:rPr>
          <w:t xml:space="preserve"> </w:t>
        </w:r>
        <w:r>
          <w:rPr>
            <w:rStyle w:val="InternetLink"/>
          </w:rPr>
          <w:t xml:space="preserve">1H MRS</w:t>
        </w:r>
        <w:r>
          <w:rPr>
            <w:rStyle w:val="InternetLink"/>
          </w:rPr>
          <w:t xml:space="preserve"> </w:t>
        </w:r>
        <w:r>
          <w:rPr>
            <w:rStyle w:val="InternetLink"/>
          </w:rPr>
          <w:t xml:space="preserve">data</w:t>
        </w:r>
      </w:hyperlink>
      <w:r>
        <w:t xml:space="preserve">.</w:t>
      </w:r>
      <w:r>
        <w:t xml:space="preserve"> </w:t>
      </w:r>
      <w:r>
        <w:rPr>
          <w:i/>
          <w:iCs/>
        </w:rPr>
        <w:t xml:space="preserve">Magnetic Resonance Imaging</w:t>
      </w:r>
      <w:r>
        <w:t xml:space="preserve"> </w:t>
      </w:r>
      <w:r>
        <w:rPr>
          <w:b/>
          <w:bCs/>
        </w:rPr>
        <w:t xml:space="preserve">122</w:t>
      </w:r>
      <w:r>
        <w:t xml:space="preserve">, 110452 (2025).</w:t>
      </w:r>
    </w:p>
    <w:bookmarkEnd w:id="285"/>
    <w:bookmarkStart w:id="287" w:name="X34dcf5b26e20f7c34f09cc47bce142128fdda22"/>
    <w:p>
      <w:pPr>
        <w:pStyle w:val="Bibliography"/>
      </w:pPr>
      <w:r>
        <w:t xml:space="preserve">103.</w:t>
      </w:r>
      <w:r>
        <w:t xml:space="preserve"> </w:t>
      </w:r>
      <w:r>
        <w:t xml:space="preserve">	</w:t>
      </w:r>
      <w:r>
        <w:t xml:space="preserve">Harris, A. D., Puts, N. A. J., Barker, P. B. &amp; Edden, R. A. E.</w:t>
      </w:r>
      <w:r>
        <w:t xml:space="preserve"> </w:t>
      </w:r>
      <w:hyperlink r:id="rId286">
        <w:r>
          <w:rPr>
            <w:rStyle w:val="InternetLink"/>
          </w:rPr>
          <w:t xml:space="preserve">Spectral-</w:t>
        </w:r>
        <w:r>
          <w:rPr>
            <w:rStyle w:val="InternetLink"/>
          </w:rPr>
          <w:t xml:space="preserve">Editing Measurements</w:t>
        </w:r>
        <w:r>
          <w:rPr>
            <w:rStyle w:val="InternetLink"/>
          </w:rPr>
          <w:t xml:space="preserve"> </w:t>
        </w:r>
        <w:r>
          <w:rPr>
            <w:rStyle w:val="InternetLink"/>
          </w:rPr>
          <w:t xml:space="preserve">of</w:t>
        </w:r>
        <w:r>
          <w:rPr>
            <w:rStyle w:val="InternetLink"/>
          </w:rPr>
          <w:t xml:space="preserve"> </w:t>
        </w:r>
        <w:r>
          <w:rPr>
            <w:rStyle w:val="InternetLink"/>
          </w:rPr>
          <w:t xml:space="preserve">GABA</w:t>
        </w:r>
        <w:r>
          <w:rPr>
            <w:rStyle w:val="InternetLink"/>
          </w:rPr>
          <w:t xml:space="preserve"> </w:t>
        </w:r>
        <w:r>
          <w:rPr>
            <w:rStyle w:val="InternetLink"/>
          </w:rPr>
          <w:t xml:space="preserve">in the</w:t>
        </w:r>
        <w:r>
          <w:rPr>
            <w:rStyle w:val="InternetLink"/>
          </w:rPr>
          <w:t xml:space="preserve"> </w:t>
        </w:r>
        <w:r>
          <w:rPr>
            <w:rStyle w:val="InternetLink"/>
          </w:rPr>
          <w:t xml:space="preserve">Human Brain</w:t>
        </w:r>
        <w:r>
          <w:rPr>
            <w:rStyle w:val="InternetLink"/>
          </w:rPr>
          <w:t xml:space="preserve"> </w:t>
        </w:r>
        <w:r>
          <w:rPr>
            <w:rStyle w:val="InternetLink"/>
          </w:rPr>
          <w:t xml:space="preserve">with and without</w:t>
        </w:r>
        <w:r>
          <w:rPr>
            <w:rStyle w:val="InternetLink"/>
          </w:rPr>
          <w:t xml:space="preserve"> </w:t>
        </w:r>
        <w:r>
          <w:rPr>
            <w:rStyle w:val="InternetLink"/>
          </w:rPr>
          <w:t xml:space="preserve">Macromolecule Suppression</w:t>
        </w:r>
      </w:hyperlink>
      <w:r>
        <w:t xml:space="preserve">.</w:t>
      </w:r>
      <w:r>
        <w:t xml:space="preserve"> </w:t>
      </w:r>
      <w:r>
        <w:rPr>
          <w:i/>
          <w:iCs/>
        </w:rPr>
        <w:t xml:space="preserve">Magnetic resonance in medicine</w:t>
      </w:r>
      <w:r>
        <w:t xml:space="preserve"> </w:t>
      </w:r>
      <w:r>
        <w:rPr>
          <w:b/>
          <w:bCs/>
        </w:rPr>
        <w:t xml:space="preserve">74</w:t>
      </w:r>
      <w:r>
        <w:t xml:space="preserve">, 1523–1529 (2015).</w:t>
      </w:r>
    </w:p>
    <w:bookmarkEnd w:id="287"/>
    <w:bookmarkStart w:id="289" w:name="ref-mikkelsenBigGABAII2019"/>
    <w:p>
      <w:pPr>
        <w:pStyle w:val="Bibliography"/>
      </w:pPr>
      <w:r>
        <w:t xml:space="preserve">104.</w:t>
      </w:r>
      <w:r>
        <w:t xml:space="preserve"> </w:t>
      </w:r>
      <w:r>
        <w:t xml:space="preserve">	</w:t>
      </w:r>
      <w:r>
        <w:t xml:space="preserve">Mikkelsen, M.</w:t>
      </w:r>
      <w:r>
        <w:t xml:space="preserve"> </w:t>
      </w:r>
      <w:r>
        <w:rPr>
          <w:i/>
          <w:iCs/>
        </w:rPr>
        <w:t xml:space="preserve">et al.</w:t>
      </w:r>
      <w:r>
        <w:t xml:space="preserve"> </w:t>
      </w:r>
      <w:hyperlink r:id="rId288">
        <w:r>
          <w:rPr>
            <w:rStyle w:val="InternetLink"/>
          </w:rPr>
          <w:t xml:space="preserve">Big</w:t>
        </w:r>
        <w:r>
          <w:rPr>
            <w:rStyle w:val="InternetLink"/>
          </w:rPr>
          <w:t xml:space="preserve"> </w:t>
        </w:r>
        <w:r>
          <w:rPr>
            <w:rStyle w:val="InternetLink"/>
          </w:rPr>
          <w:t xml:space="preserve">GABA II</w:t>
        </w:r>
        <w:r>
          <w:rPr>
            <w:rStyle w:val="InternetLink"/>
          </w:rPr>
          <w:t xml:space="preserve">:</w:t>
        </w:r>
        <w:r>
          <w:rPr>
            <w:rStyle w:val="InternetLink"/>
          </w:rPr>
          <w:t xml:space="preserve"> </w:t>
        </w:r>
        <w:r>
          <w:rPr>
            <w:rStyle w:val="InternetLink"/>
          </w:rPr>
          <w:t xml:space="preserve">Water-referenced</w:t>
        </w:r>
        <w:r>
          <w:rPr>
            <w:rStyle w:val="InternetLink"/>
          </w:rPr>
          <w:t xml:space="preserve"> </w:t>
        </w:r>
        <w:r>
          <w:rPr>
            <w:rStyle w:val="InternetLink"/>
          </w:rPr>
          <w:t xml:space="preserve">edited</w:t>
        </w:r>
        <w:r>
          <w:rPr>
            <w:rStyle w:val="InternetLink"/>
          </w:rPr>
          <w:t xml:space="preserve"> </w:t>
        </w:r>
        <w:r>
          <w:rPr>
            <w:rStyle w:val="InternetLink"/>
          </w:rPr>
          <w:t xml:space="preserve">MR</w:t>
        </w:r>
        <w:r>
          <w:rPr>
            <w:rStyle w:val="InternetLink"/>
          </w:rPr>
          <w:t xml:space="preserve"> </w:t>
        </w:r>
        <w:r>
          <w:rPr>
            <w:rStyle w:val="InternetLink"/>
          </w:rPr>
          <w:t xml:space="preserve">spectroscopy at 25 research sites</w:t>
        </w:r>
      </w:hyperlink>
      <w:r>
        <w:t xml:space="preserve">.</w:t>
      </w:r>
      <w:r>
        <w:t xml:space="preserve"> </w:t>
      </w:r>
      <w:r>
        <w:rPr>
          <w:i/>
          <w:iCs/>
        </w:rPr>
        <w:t xml:space="preserve">NeuroImage</w:t>
      </w:r>
      <w:r>
        <w:t xml:space="preserve"> </w:t>
      </w:r>
      <w:r>
        <w:rPr>
          <w:b/>
          <w:bCs/>
        </w:rPr>
        <w:t xml:space="preserve">191</w:t>
      </w:r>
      <w:r>
        <w:t xml:space="preserve">, 537–548 (2019).</w:t>
      </w:r>
    </w:p>
    <w:bookmarkEnd w:id="289"/>
    <w:bookmarkStart w:id="291" w:name="ref-mikkelsenBigGABAEdited2017"/>
    <w:p>
      <w:pPr>
        <w:pStyle w:val="Bibliography"/>
      </w:pPr>
      <w:r>
        <w:t xml:space="preserve">105.</w:t>
      </w:r>
      <w:r>
        <w:t xml:space="preserve"> </w:t>
      </w:r>
      <w:r>
        <w:t xml:space="preserve">	</w:t>
      </w:r>
      <w:r>
        <w:t xml:space="preserve">Mikkelsen, M.</w:t>
      </w:r>
      <w:r>
        <w:t xml:space="preserve"> </w:t>
      </w:r>
      <w:r>
        <w:rPr>
          <w:i/>
          <w:iCs/>
        </w:rPr>
        <w:t xml:space="preserve">et al.</w:t>
      </w:r>
      <w:r>
        <w:t xml:space="preserve"> </w:t>
      </w:r>
      <w:hyperlink r:id="rId290">
        <w:r>
          <w:rPr>
            <w:rStyle w:val="InternetLink"/>
          </w:rPr>
          <w:t xml:space="preserve">Big</w:t>
        </w:r>
        <w:r>
          <w:rPr>
            <w:rStyle w:val="InternetLink"/>
          </w:rPr>
          <w:t xml:space="preserve"> </w:t>
        </w:r>
        <w:r>
          <w:rPr>
            <w:rStyle w:val="InternetLink"/>
          </w:rPr>
          <w:t xml:space="preserve">GABA</w:t>
        </w:r>
        <w:r>
          <w:rPr>
            <w:rStyle w:val="InternetLink"/>
          </w:rPr>
          <w:t xml:space="preserve">:</w:t>
        </w:r>
        <w:r>
          <w:rPr>
            <w:rStyle w:val="InternetLink"/>
          </w:rPr>
          <w:t xml:space="preserve"> </w:t>
        </w:r>
        <w:r>
          <w:rPr>
            <w:rStyle w:val="InternetLink"/>
          </w:rPr>
          <w:t xml:space="preserve">Edited MR</w:t>
        </w:r>
        <w:r>
          <w:rPr>
            <w:rStyle w:val="InternetLink"/>
          </w:rPr>
          <w:t xml:space="preserve"> </w:t>
        </w:r>
        <w:r>
          <w:rPr>
            <w:rStyle w:val="InternetLink"/>
          </w:rPr>
          <w:t xml:space="preserve">spectroscopy at 24 research sites</w:t>
        </w:r>
      </w:hyperlink>
      <w:r>
        <w:t xml:space="preserve">.</w:t>
      </w:r>
      <w:r>
        <w:t xml:space="preserve"> </w:t>
      </w:r>
      <w:r>
        <w:rPr>
          <w:i/>
          <w:iCs/>
        </w:rPr>
        <w:t xml:space="preserve">NeuroImage</w:t>
      </w:r>
      <w:r>
        <w:t xml:space="preserve"> </w:t>
      </w:r>
      <w:r>
        <w:rPr>
          <w:b/>
          <w:bCs/>
        </w:rPr>
        <w:t xml:space="preserve">159</w:t>
      </w:r>
      <w:r>
        <w:t xml:space="preserve">, 32–45 (2017).</w:t>
      </w:r>
    </w:p>
    <w:bookmarkEnd w:id="291"/>
    <w:bookmarkStart w:id="292" w:name="Xa40a6c308a7c4ecd374d5d433164d97a4c07e0f"/>
    <w:p>
      <w:pPr>
        <w:pStyle w:val="Bibliography"/>
      </w:pPr>
      <w:r>
        <w:t xml:space="preserve">106.</w:t>
      </w:r>
      <w:r>
        <w:t xml:space="preserve"> </w:t>
      </w:r>
      <w:r>
        <w:t xml:space="preserve">	</w:t>
      </w:r>
      <w:r>
        <w:t xml:space="preserve">Friston, K., Ashburner, J., Kiebel, S., Nichols, T. &amp; Penny, W.</w:t>
      </w:r>
      <w:r>
        <w:t xml:space="preserve"> </w:t>
      </w:r>
      <w:r>
        <w:rPr>
          <w:i/>
          <w:iCs/>
        </w:rPr>
        <w:t xml:space="preserve">Statistical</w:t>
      </w:r>
      <w:r>
        <w:rPr>
          <w:i/>
          <w:iCs/>
        </w:rPr>
        <w:t xml:space="preserve"> </w:t>
      </w:r>
      <w:r>
        <w:rPr>
          <w:i/>
          <w:iCs/>
        </w:rPr>
        <w:t xml:space="preserve">Parametric Mapping</w:t>
      </w:r>
      <w:r>
        <w:rPr>
          <w:i/>
          <w:iCs/>
        </w:rPr>
        <w:t xml:space="preserve">:</w:t>
      </w:r>
      <w:r>
        <w:rPr>
          <w:i/>
          <w:iCs/>
        </w:rPr>
        <w:t xml:space="preserve"> </w:t>
      </w:r>
      <w:r>
        <w:rPr>
          <w:i/>
          <w:iCs/>
        </w:rPr>
        <w:t xml:space="preserve">The Analysis</w:t>
      </w:r>
      <w:r>
        <w:rPr>
          <w:i/>
          <w:iCs/>
        </w:rPr>
        <w:t xml:space="preserve"> </w:t>
      </w:r>
      <w:r>
        <w:rPr>
          <w:i/>
          <w:iCs/>
        </w:rPr>
        <w:t xml:space="preserve">of</w:t>
      </w:r>
      <w:r>
        <w:rPr>
          <w:i/>
          <w:iCs/>
        </w:rPr>
        <w:t xml:space="preserve"> </w:t>
      </w:r>
      <w:r>
        <w:rPr>
          <w:i/>
          <w:iCs/>
        </w:rPr>
        <w:t xml:space="preserve">Functional Brain Images</w:t>
      </w:r>
      <w:r>
        <w:t xml:space="preserve">. (Elsevier Ltd., 2007).</w:t>
      </w:r>
    </w:p>
    <w:bookmarkEnd w:id="292"/>
    <w:bookmarkStart w:id="294" w:name="ref-gasparovicUseTissueWater2006"/>
    <w:p>
      <w:pPr>
        <w:pStyle w:val="Bibliography"/>
      </w:pPr>
      <w:r>
        <w:t xml:space="preserve">107.</w:t>
      </w:r>
      <w:r>
        <w:t xml:space="preserve"> </w:t>
      </w:r>
      <w:r>
        <w:t xml:space="preserve">	</w:t>
      </w:r>
      <w:r>
        <w:t xml:space="preserve">Gasparovic, C.</w:t>
      </w:r>
      <w:r>
        <w:t xml:space="preserve"> </w:t>
      </w:r>
      <w:r>
        <w:rPr>
          <w:i/>
          <w:iCs/>
        </w:rPr>
        <w:t xml:space="preserve">et al.</w:t>
      </w:r>
      <w:r>
        <w:t xml:space="preserve"> </w:t>
      </w:r>
      <w:hyperlink r:id="rId293">
        <w:r>
          <w:rPr>
            <w:rStyle w:val="InternetLink"/>
          </w:rPr>
          <w:t xml:space="preserve">Use of tissue water as a concentration reference for proton spectroscopic imaging</w:t>
        </w:r>
      </w:hyperlink>
      <w:r>
        <w:t xml:space="preserve">.</w:t>
      </w:r>
      <w:r>
        <w:t xml:space="preserve"> </w:t>
      </w:r>
      <w:r>
        <w:rPr>
          <w:i/>
          <w:iCs/>
        </w:rPr>
        <w:t xml:space="preserve">Magnetic Resonance in Medicine</w:t>
      </w:r>
      <w:r>
        <w:t xml:space="preserve"> </w:t>
      </w:r>
      <w:r>
        <w:rPr>
          <w:b/>
          <w:bCs/>
        </w:rPr>
        <w:t xml:space="preserve">55</w:t>
      </w:r>
      <w:r>
        <w:t xml:space="preserve">, 1219–1226 (2006).</w:t>
      </w:r>
    </w:p>
    <w:bookmarkEnd w:id="294"/>
    <w:bookmarkStart w:id="296" w:name="X3bd4325490f39fc8d86d2a451dd0fe154a395df"/>
    <w:p>
      <w:pPr>
        <w:pStyle w:val="Bibliography"/>
      </w:pPr>
      <w:r>
        <w:t xml:space="preserve">108.</w:t>
      </w:r>
      <w:r>
        <w:t xml:space="preserve"> </w:t>
      </w:r>
      <w:r>
        <w:t xml:space="preserve">	</w:t>
      </w:r>
      <w:r>
        <w:t xml:space="preserve">Rideaux, R.</w:t>
      </w:r>
      <w:r>
        <w:t xml:space="preserve"> </w:t>
      </w:r>
      <w:hyperlink r:id="rId295">
        <w:r>
          <w:rPr>
            <w:rStyle w:val="InternetLink"/>
          </w:rPr>
          <w:t xml:space="preserve">No balance between glutamate+glutamine and</w:t>
        </w:r>
        <w:r>
          <w:rPr>
            <w:rStyle w:val="InternetLink"/>
          </w:rPr>
          <w:t xml:space="preserve"> </w:t>
        </w:r>
        <w:r>
          <w:rPr>
            <w:rStyle w:val="InternetLink"/>
          </w:rPr>
          <w:t xml:space="preserve">GABA</w:t>
        </w:r>
        <w:r>
          <w:rPr>
            <w:rStyle w:val="InternetLink"/>
          </w:rPr>
          <w:t xml:space="preserve">+ in visual or motor cortices of the human brain:</w:t>
        </w:r>
        <w:r>
          <w:rPr>
            <w:rStyle w:val="InternetLink"/>
          </w:rPr>
          <w:t xml:space="preserve"> </w:t>
        </w:r>
        <w:r>
          <w:rPr>
            <w:rStyle w:val="InternetLink"/>
          </w:rPr>
          <w:t xml:space="preserve">A</w:t>
        </w:r>
        <w:r>
          <w:rPr>
            <w:rStyle w:val="InternetLink"/>
          </w:rPr>
          <w:t xml:space="preserve"> </w:t>
        </w:r>
        <w:r>
          <w:rPr>
            <w:rStyle w:val="InternetLink"/>
          </w:rPr>
          <w:t xml:space="preserve">magnetic resonance spectroscopy study</w:t>
        </w:r>
      </w:hyperlink>
      <w:r>
        <w:t xml:space="preserve">.</w:t>
      </w:r>
      <w:r>
        <w:t xml:space="preserve"> </w:t>
      </w:r>
      <w:r>
        <w:rPr>
          <w:i/>
          <w:iCs/>
        </w:rPr>
        <w:t xml:space="preserve">NeuroImage</w:t>
      </w:r>
      <w:r>
        <w:t xml:space="preserve"> </w:t>
      </w:r>
      <w:r>
        <w:rPr>
          <w:b/>
          <w:bCs/>
        </w:rPr>
        <w:t xml:space="preserve">237</w:t>
      </w:r>
      <w:r>
        <w:t xml:space="preserve">, 118191 (2021).</w:t>
      </w:r>
    </w:p>
    <w:bookmarkEnd w:id="296"/>
    <w:bookmarkStart w:id="298" w:name="ref-juchemB0ShimmingVivo2021"/>
    <w:p>
      <w:pPr>
        <w:pStyle w:val="Bibliography"/>
      </w:pPr>
      <w:r>
        <w:t xml:space="preserve">109.</w:t>
      </w:r>
      <w:r>
        <w:t xml:space="preserve"> </w:t>
      </w:r>
      <w:r>
        <w:t xml:space="preserve">	</w:t>
      </w:r>
      <w:r>
        <w:t xml:space="preserve">Juchem, C.</w:t>
      </w:r>
      <w:r>
        <w:t xml:space="preserve"> </w:t>
      </w:r>
      <w:r>
        <w:rPr>
          <w:i/>
          <w:iCs/>
        </w:rPr>
        <w:t xml:space="preserve">et al.</w:t>
      </w:r>
      <w:r>
        <w:t xml:space="preserve"> </w:t>
      </w:r>
      <w:hyperlink r:id="rId297">
        <w:r>
          <w:rPr>
            <w:rStyle w:val="InternetLink"/>
          </w:rPr>
          <w:t xml:space="preserve">B</w:t>
        </w:r>
        <w:r>
          <w:rPr>
            <w:rStyle w:val="InternetLink"/>
            <w:vertAlign w:val="subscript"/>
          </w:rPr>
          <w:t xml:space="preserve">0</w:t>
        </w:r>
        <w:r>
          <w:rPr>
            <w:rStyle w:val="InternetLink"/>
          </w:rPr>
          <w:t xml:space="preserve"> </w:t>
        </w:r>
        <w:r>
          <w:rPr>
            <w:rStyle w:val="InternetLink"/>
          </w:rPr>
          <w:t xml:space="preserve">shimming for in vivo magnetic resonance spectroscopy:</w:t>
        </w:r>
        <w:r>
          <w:rPr>
            <w:rStyle w:val="InternetLink"/>
          </w:rPr>
          <w:t xml:space="preserve"> </w:t>
        </w:r>
        <w:r>
          <w:rPr>
            <w:rStyle w:val="InternetLink"/>
          </w:rPr>
          <w:t xml:space="preserve">Experts</w:t>
        </w:r>
        <w:r>
          <w:rPr>
            <w:rStyle w:val="InternetLink"/>
          </w:rPr>
          <w:t xml:space="preserve">’ consensus recommendations</w:t>
        </w:r>
      </w:hyperlink>
      <w:r>
        <w:t xml:space="preserve">.</w:t>
      </w:r>
      <w:r>
        <w:t xml:space="preserve"> </w:t>
      </w:r>
      <w:r>
        <w:rPr>
          <w:i/>
          <w:iCs/>
        </w:rPr>
        <w:t xml:space="preserve">NMR in Biomedicine</w:t>
      </w:r>
      <w:r>
        <w:t xml:space="preserve"> </w:t>
      </w:r>
      <w:r>
        <w:rPr>
          <w:b/>
          <w:bCs/>
        </w:rPr>
        <w:t xml:space="preserve">34</w:t>
      </w:r>
      <w:r>
        <w:t xml:space="preserve">, e4350 (2021).</w:t>
      </w:r>
    </w:p>
    <w:bookmarkEnd w:id="298"/>
    <w:bookmarkStart w:id="300" w:name="ref-eddenGannetBatchprocessingTool2014"/>
    <w:p>
      <w:pPr>
        <w:pStyle w:val="Bibliography"/>
      </w:pPr>
      <w:r>
        <w:t xml:space="preserve">110.</w:t>
      </w:r>
      <w:r>
        <w:t xml:space="preserve"> </w:t>
      </w:r>
      <w:r>
        <w:t xml:space="preserve">	</w:t>
      </w:r>
      <w:r>
        <w:t xml:space="preserve">Edden, R. A. E., Puts, N. A. J., Harris, A. D., Barker, P. B. &amp; Evans, C. J.</w:t>
      </w:r>
      <w:r>
        <w:t xml:space="preserve"> </w:t>
      </w:r>
      <w:hyperlink r:id="rId299">
        <w:r>
          <w:rPr>
            <w:rStyle w:val="InternetLink"/>
          </w:rPr>
          <w:t xml:space="preserve">Gannet:</w:t>
        </w:r>
        <w:r>
          <w:rPr>
            <w:rStyle w:val="InternetLink"/>
          </w:rPr>
          <w:t xml:space="preserve"> </w:t>
        </w:r>
        <w:r>
          <w:rPr>
            <w:rStyle w:val="InternetLink"/>
          </w:rPr>
          <w:t xml:space="preserve">A</w:t>
        </w:r>
        <w:r>
          <w:rPr>
            <w:rStyle w:val="InternetLink"/>
          </w:rPr>
          <w:t xml:space="preserve"> </w:t>
        </w:r>
        <w:r>
          <w:rPr>
            <w:rStyle w:val="InternetLink"/>
          </w:rPr>
          <w:t xml:space="preserve">batch-processing tool for the quantitative analysis of gamma-aminobutyric acid–edited</w:t>
        </w:r>
        <w:r>
          <w:rPr>
            <w:rStyle w:val="InternetLink"/>
          </w:rPr>
          <w:t xml:space="preserve"> </w:t>
        </w:r>
        <w:r>
          <w:rPr>
            <w:rStyle w:val="InternetLink"/>
          </w:rPr>
          <w:t xml:space="preserve">MR</w:t>
        </w:r>
        <w:r>
          <w:rPr>
            <w:rStyle w:val="InternetLink"/>
          </w:rPr>
          <w:t xml:space="preserve"> </w:t>
        </w:r>
        <w:r>
          <w:rPr>
            <w:rStyle w:val="InternetLink"/>
          </w:rPr>
          <w:t xml:space="preserve">spectroscopy spectra</w:t>
        </w:r>
      </w:hyperlink>
      <w:r>
        <w:t xml:space="preserve">.</w:t>
      </w:r>
      <w:r>
        <w:t xml:space="preserve"> </w:t>
      </w:r>
      <w:r>
        <w:rPr>
          <w:i/>
          <w:iCs/>
        </w:rPr>
        <w:t xml:space="preserve">Journal of Magnetic Resonance Imaging</w:t>
      </w:r>
      <w:r>
        <w:t xml:space="preserve"> </w:t>
      </w:r>
      <w:r>
        <w:rPr>
          <w:b/>
          <w:bCs/>
        </w:rPr>
        <w:t xml:space="preserve">40</w:t>
      </w:r>
      <w:r>
        <w:t xml:space="preserve">, 1445–1452 (2014).</w:t>
      </w:r>
    </w:p>
    <w:bookmarkEnd w:id="300"/>
    <w:bookmarkStart w:id="302" w:name="ref-duffPowerSpectralDensity2008"/>
    <w:p>
      <w:pPr>
        <w:pStyle w:val="Bibliography"/>
      </w:pPr>
      <w:r>
        <w:t xml:space="preserve">111.</w:t>
      </w:r>
      <w:r>
        <w:t xml:space="preserve"> </w:t>
      </w:r>
      <w:r>
        <w:t xml:space="preserve">	</w:t>
      </w:r>
      <w:r>
        <w:t xml:space="preserve">Duff, E. P.</w:t>
      </w:r>
      <w:r>
        <w:t xml:space="preserve"> </w:t>
      </w:r>
      <w:r>
        <w:rPr>
          <w:i/>
          <w:iCs/>
        </w:rPr>
        <w:t xml:space="preserve">et al.</w:t>
      </w:r>
      <w:r>
        <w:t xml:space="preserve"> </w:t>
      </w:r>
      <w:hyperlink r:id="rId301">
        <w:r>
          <w:rPr>
            <w:rStyle w:val="InternetLink"/>
          </w:rPr>
          <w:t xml:space="preserve">The power of spectral density analysis for mapping endogenous</w:t>
        </w:r>
        <w:r>
          <w:rPr>
            <w:rStyle w:val="InternetLink"/>
          </w:rPr>
          <w:t xml:space="preserve"> </w:t>
        </w:r>
        <w:r>
          <w:rPr>
            <w:rStyle w:val="InternetLink"/>
          </w:rPr>
          <w:t xml:space="preserve">BOLD</w:t>
        </w:r>
        <w:r>
          <w:rPr>
            <w:rStyle w:val="InternetLink"/>
          </w:rPr>
          <w:t xml:space="preserve"> </w:t>
        </w:r>
        <w:r>
          <w:rPr>
            <w:rStyle w:val="InternetLink"/>
          </w:rPr>
          <w:t xml:space="preserve">signal fluctuations</w:t>
        </w:r>
      </w:hyperlink>
      <w:r>
        <w:t xml:space="preserve">.</w:t>
      </w:r>
      <w:r>
        <w:t xml:space="preserve"> </w:t>
      </w:r>
      <w:r>
        <w:rPr>
          <w:i/>
          <w:iCs/>
        </w:rPr>
        <w:t xml:space="preserve">Human Brain Mapping</w:t>
      </w:r>
      <w:r>
        <w:t xml:space="preserve"> </w:t>
      </w:r>
      <w:r>
        <w:rPr>
          <w:b/>
          <w:bCs/>
        </w:rPr>
        <w:t xml:space="preserve">29</w:t>
      </w:r>
      <w:r>
        <w:t xml:space="preserve">, 778–790 (2008).</w:t>
      </w:r>
    </w:p>
    <w:bookmarkEnd w:id="302"/>
    <w:bookmarkStart w:id="304" w:name="Xd34177f599f07e2811a749ece05b12e11ebd05a"/>
    <w:p>
      <w:pPr>
        <w:pStyle w:val="Bibliography"/>
      </w:pPr>
      <w:r>
        <w:t xml:space="preserve">112.</w:t>
      </w:r>
      <w:r>
        <w:t xml:space="preserve"> </w:t>
      </w:r>
      <w:r>
        <w:t xml:space="preserve">	</w:t>
      </w:r>
      <w:r>
        <w:t xml:space="preserve">Bullmore, E.</w:t>
      </w:r>
      <w:r>
        <w:t xml:space="preserve"> </w:t>
      </w:r>
      <w:r>
        <w:rPr>
          <w:i/>
          <w:iCs/>
        </w:rPr>
        <w:t xml:space="preserve">et al.</w:t>
      </w:r>
      <w:r>
        <w:t xml:space="preserve"> </w:t>
      </w:r>
      <w:hyperlink r:id="rId303">
        <w:r>
          <w:rPr>
            <w:rStyle w:val="InternetLink"/>
          </w:rPr>
          <w:t xml:space="preserve">Wavelets and functional magnetic resonance imaging of the human brain</w:t>
        </w:r>
      </w:hyperlink>
      <w:r>
        <w:t xml:space="preserve">.</w:t>
      </w:r>
      <w:r>
        <w:t xml:space="preserve"> </w:t>
      </w:r>
      <w:r>
        <w:rPr>
          <w:i/>
          <w:iCs/>
        </w:rPr>
        <w:t xml:space="preserve">NeuroImage</w:t>
      </w:r>
      <w:r>
        <w:t xml:space="preserve"> </w:t>
      </w:r>
      <w:r>
        <w:rPr>
          <w:b/>
          <w:bCs/>
        </w:rPr>
        <w:t xml:space="preserve">23</w:t>
      </w:r>
      <w:r>
        <w:t xml:space="preserve">, S234–S249 (2004).</w:t>
      </w:r>
    </w:p>
    <w:bookmarkEnd w:id="304"/>
    <w:bookmarkStart w:id="306" w:name="ref-welchUseFastFourier1967"/>
    <w:p>
      <w:pPr>
        <w:pStyle w:val="Bibliography"/>
      </w:pPr>
      <w:r>
        <w:t xml:space="preserve">113.</w:t>
      </w:r>
      <w:r>
        <w:t xml:space="preserve"> </w:t>
      </w:r>
      <w:r>
        <w:t xml:space="preserve">	</w:t>
      </w:r>
      <w:r>
        <w:t xml:space="preserve">Welch, P.</w:t>
      </w:r>
      <w:r>
        <w:t xml:space="preserve"> </w:t>
      </w:r>
      <w:hyperlink r:id="rId305">
        <w:r>
          <w:rPr>
            <w:rStyle w:val="InternetLink"/>
          </w:rPr>
          <w:t xml:space="preserve">The use of fast</w:t>
        </w:r>
        <w:r>
          <w:rPr>
            <w:rStyle w:val="InternetLink"/>
          </w:rPr>
          <w:t xml:space="preserve"> </w:t>
        </w:r>
        <w:r>
          <w:rPr>
            <w:rStyle w:val="InternetLink"/>
          </w:rPr>
          <w:t xml:space="preserve">Fourier</w:t>
        </w:r>
        <w:r>
          <w:rPr>
            <w:rStyle w:val="InternetLink"/>
          </w:rPr>
          <w:t xml:space="preserve"> </w:t>
        </w:r>
        <w:r>
          <w:rPr>
            <w:rStyle w:val="InternetLink"/>
          </w:rPr>
          <w:t xml:space="preserve">transform for the estimation of power spectra:</w:t>
        </w:r>
        <w:r>
          <w:rPr>
            <w:rStyle w:val="InternetLink"/>
          </w:rPr>
          <w:t xml:space="preserve"> </w:t>
        </w:r>
        <w:r>
          <w:rPr>
            <w:rStyle w:val="InternetLink"/>
          </w:rPr>
          <w:t xml:space="preserve">A</w:t>
        </w:r>
        <w:r>
          <w:rPr>
            <w:rStyle w:val="InternetLink"/>
          </w:rPr>
          <w:t xml:space="preserve"> </w:t>
        </w:r>
        <w:r>
          <w:rPr>
            <w:rStyle w:val="InternetLink"/>
          </w:rPr>
          <w:t xml:space="preserve">method based on time averaging over short, modified periodograms</w:t>
        </w:r>
      </w:hyperlink>
      <w:r>
        <w:t xml:space="preserve">.</w:t>
      </w:r>
      <w:r>
        <w:t xml:space="preserve"> </w:t>
      </w:r>
      <w:r>
        <w:rPr>
          <w:i/>
          <w:iCs/>
        </w:rPr>
        <w:t xml:space="preserve">IEEE Transactions on Audio and Electroacoustics</w:t>
      </w:r>
      <w:r>
        <w:t xml:space="preserve"> </w:t>
      </w:r>
      <w:r>
        <w:rPr>
          <w:b/>
          <w:bCs/>
        </w:rPr>
        <w:t xml:space="preserve">15</w:t>
      </w:r>
      <w:r>
        <w:t xml:space="preserve">, 70–73 (1967).</w:t>
      </w:r>
    </w:p>
    <w:bookmarkEnd w:id="306"/>
    <w:bookmarkStart w:id="308" w:name="ref-virtanenSciPy10Fundamental2020"/>
    <w:p>
      <w:pPr>
        <w:pStyle w:val="Bibliography"/>
      </w:pPr>
      <w:r>
        <w:t xml:space="preserve">114.</w:t>
      </w:r>
      <w:r>
        <w:t xml:space="preserve"> </w:t>
      </w:r>
      <w:r>
        <w:t xml:space="preserve">	</w:t>
      </w:r>
      <w:r>
        <w:t xml:space="preserve">Virtanen, P.</w:t>
      </w:r>
      <w:r>
        <w:t xml:space="preserve"> </w:t>
      </w:r>
      <w:r>
        <w:rPr>
          <w:i/>
          <w:iCs/>
        </w:rPr>
        <w:t xml:space="preserve">et al.</w:t>
      </w:r>
      <w:r>
        <w:t xml:space="preserve"> </w:t>
      </w:r>
      <w:hyperlink r:id="rId307">
        <w:r>
          <w:rPr>
            <w:rStyle w:val="InternetLink"/>
          </w:rPr>
          <w:t xml:space="preserve">SciPy</w:t>
        </w:r>
        <w:r>
          <w:rPr>
            <w:rStyle w:val="InternetLink"/>
          </w:rPr>
          <w:t xml:space="preserve"> </w:t>
        </w:r>
        <w:r>
          <w:rPr>
            <w:rStyle w:val="InternetLink"/>
          </w:rPr>
          <w:t xml:space="preserve">1.0: Fundamental algorithms for scientific computing in</w:t>
        </w:r>
        <w:r>
          <w:rPr>
            <w:rStyle w:val="InternetLink"/>
          </w:rPr>
          <w:t xml:space="preserve"> </w:t>
        </w:r>
        <w:r>
          <w:rPr>
            <w:rStyle w:val="InternetLink"/>
          </w:rPr>
          <w:t xml:space="preserve">Python</w:t>
        </w:r>
      </w:hyperlink>
      <w:r>
        <w:t xml:space="preserve">.</w:t>
      </w:r>
      <w:r>
        <w:t xml:space="preserve"> </w:t>
      </w:r>
      <w:r>
        <w:rPr>
          <w:i/>
          <w:iCs/>
        </w:rPr>
        <w:t xml:space="preserve">Nature Methods</w:t>
      </w:r>
      <w:r>
        <w:t xml:space="preserve"> </w:t>
      </w:r>
      <w:r>
        <w:rPr>
          <w:b/>
          <w:bCs/>
        </w:rPr>
        <w:t xml:space="preserve">17</w:t>
      </w:r>
      <w:r>
        <w:t xml:space="preserve">, 261–272 (2020).</w:t>
      </w:r>
    </w:p>
    <w:bookmarkEnd w:id="308"/>
    <w:bookmarkStart w:id="310" w:name="X8f92efa2129315f50d21293b2abe8849772b3c2"/>
    <w:p>
      <w:pPr>
        <w:pStyle w:val="Bibliography"/>
      </w:pPr>
      <w:r>
        <w:t xml:space="preserve">115.</w:t>
      </w:r>
      <w:r>
        <w:t xml:space="preserve"> </w:t>
      </w:r>
      <w:r>
        <w:t xml:space="preserve">	</w:t>
      </w:r>
      <w:r>
        <w:t xml:space="preserve">Rubin, D., Fekete, T. &amp; Mujica-Parodi, L. R.</w:t>
      </w:r>
      <w:r>
        <w:t xml:space="preserve"> </w:t>
      </w:r>
      <w:hyperlink r:id="rId309">
        <w:r>
          <w:rPr>
            <w:rStyle w:val="InternetLink"/>
          </w:rPr>
          <w:t xml:space="preserve">Optimizing</w:t>
        </w:r>
        <w:r>
          <w:rPr>
            <w:rStyle w:val="InternetLink"/>
          </w:rPr>
          <w:t xml:space="preserve"> </w:t>
        </w:r>
        <w:r>
          <w:rPr>
            <w:rStyle w:val="InternetLink"/>
          </w:rPr>
          <w:t xml:space="preserve">Complexity Measures</w:t>
        </w:r>
        <w:r>
          <w:rPr>
            <w:rStyle w:val="InternetLink"/>
          </w:rPr>
          <w:t xml:space="preserve"> </w:t>
        </w:r>
        <w:r>
          <w:rPr>
            <w:rStyle w:val="InternetLink"/>
          </w:rPr>
          <w:t xml:space="preserve">for</w:t>
        </w:r>
        <w:r>
          <w:rPr>
            <w:rStyle w:val="InternetLink"/>
          </w:rPr>
          <w:t xml:space="preserve"> </w:t>
        </w:r>
        <w:r>
          <w:rPr>
            <w:rStyle w:val="InternetLink"/>
          </w:rPr>
          <w:t xml:space="preserve">fMRI Data</w:t>
        </w:r>
        <w:r>
          <w:rPr>
            <w:rStyle w:val="InternetLink"/>
          </w:rPr>
          <w:t xml:space="preserve">:</w:t>
        </w:r>
        <w:r>
          <w:rPr>
            <w:rStyle w:val="InternetLink"/>
          </w:rPr>
          <w:t xml:space="preserve"> </w:t>
        </w:r>
        <w:r>
          <w:rPr>
            <w:rStyle w:val="InternetLink"/>
          </w:rPr>
          <w:t xml:space="preserve">Algorithm</w:t>
        </w:r>
        <w:r>
          <w:rPr>
            <w:rStyle w:val="InternetLink"/>
          </w:rPr>
          <w:t xml:space="preserve">,</w:t>
        </w:r>
        <w:r>
          <w:rPr>
            <w:rStyle w:val="InternetLink"/>
          </w:rPr>
          <w:t xml:space="preserve"> </w:t>
        </w:r>
        <w:r>
          <w:rPr>
            <w:rStyle w:val="InternetLink"/>
          </w:rPr>
          <w:t xml:space="preserve">Artifact</w:t>
        </w:r>
        <w:r>
          <w:rPr>
            <w:rStyle w:val="InternetLink"/>
          </w:rPr>
          <w:t xml:space="preserve">, and</w:t>
        </w:r>
        <w:r>
          <w:rPr>
            <w:rStyle w:val="InternetLink"/>
          </w:rPr>
          <w:t xml:space="preserve"> </w:t>
        </w:r>
        <w:r>
          <w:rPr>
            <w:rStyle w:val="InternetLink"/>
          </w:rPr>
          <w:t xml:space="preserve">Sensitivity</w:t>
        </w:r>
      </w:hyperlink>
      <w:r>
        <w:t xml:space="preserve">.</w:t>
      </w:r>
      <w:r>
        <w:t xml:space="preserve"> </w:t>
      </w:r>
      <w:r>
        <w:rPr>
          <w:i/>
          <w:iCs/>
        </w:rPr>
        <w:t xml:space="preserve">PLoS ONE</w:t>
      </w:r>
      <w:r>
        <w:t xml:space="preserve"> </w:t>
      </w:r>
      <w:r>
        <w:rPr>
          <w:b/>
          <w:bCs/>
        </w:rPr>
        <w:t xml:space="preserve">8</w:t>
      </w:r>
      <w:r>
        <w:t xml:space="preserve">, e63448 (2013).</w:t>
      </w:r>
    </w:p>
    <w:bookmarkEnd w:id="310"/>
    <w:bookmarkStart w:id="312" w:name="X777c331d415e605c70ef5f00469b3557f0cea50"/>
    <w:p>
      <w:pPr>
        <w:pStyle w:val="Bibliography"/>
      </w:pPr>
      <w:r>
        <w:t xml:space="preserve">116.</w:t>
      </w:r>
      <w:r>
        <w:t xml:space="preserve"> </w:t>
      </w:r>
      <w:r>
        <w:t xml:space="preserve">	</w:t>
      </w:r>
      <w:r>
        <w:t xml:space="preserve">Schaefer, A., Brach, J. S., Perera, S. &amp; Sejdić, E.</w:t>
      </w:r>
      <w:r>
        <w:t xml:space="preserve"> </w:t>
      </w:r>
      <w:hyperlink r:id="rId311">
        <w:r>
          <w:rPr>
            <w:rStyle w:val="InternetLink"/>
          </w:rPr>
          <w:t xml:space="preserve">A comparative analysis of spectral exponent estimation techniques for 1/f</w:t>
        </w:r>
        <m:oMath>
          <m:r>
            <m:t>β</m:t>
          </m:r>
        </m:oMath>
        <w:r>
          <w:rPr>
            <w:rStyle w:val="InternetLink"/>
          </w:rPr>
          <w:t xml:space="preserve"> </w:t>
        </w:r>
        <w:r>
          <w:rPr>
            <w:rStyle w:val="InternetLink"/>
          </w:rPr>
          <w:t xml:space="preserve">processes with applications to the analysis of stride interval time series</w:t>
        </w:r>
      </w:hyperlink>
      <w:r>
        <w:t xml:space="preserve">.</w:t>
      </w:r>
      <w:r>
        <w:t xml:space="preserve"> </w:t>
      </w:r>
      <w:r>
        <w:rPr>
          <w:i/>
          <w:iCs/>
        </w:rPr>
        <w:t xml:space="preserve">Journal of neuroscience methods</w:t>
      </w:r>
      <w:r>
        <w:t xml:space="preserve"> </w:t>
      </w:r>
      <w:r>
        <w:rPr>
          <w:b/>
          <w:bCs/>
        </w:rPr>
        <w:t xml:space="preserve">222</w:t>
      </w:r>
      <w:r>
        <w:t xml:space="preserve">, 118–130 (2014).</w:t>
      </w:r>
    </w:p>
    <w:bookmarkEnd w:id="312"/>
    <w:bookmarkStart w:id="314" w:name="ref-hartmannRealtimeFractalSignal2013"/>
    <w:p>
      <w:pPr>
        <w:pStyle w:val="Bibliography"/>
      </w:pPr>
      <w:r>
        <w:t xml:space="preserve">117.</w:t>
      </w:r>
      <w:r>
        <w:t xml:space="preserve"> </w:t>
      </w:r>
      <w:r>
        <w:t xml:space="preserve">	</w:t>
      </w:r>
      <w:r>
        <w:t xml:space="preserve">Hartmann, A.</w:t>
      </w:r>
      <w:r>
        <w:t xml:space="preserve"> </w:t>
      </w:r>
      <w:r>
        <w:rPr>
          <w:i/>
          <w:iCs/>
        </w:rPr>
        <w:t xml:space="preserve">et al.</w:t>
      </w:r>
      <w:r>
        <w:t xml:space="preserve"> </w:t>
      </w:r>
      <w:hyperlink r:id="rId313">
        <w:r>
          <w:rPr>
            <w:rStyle w:val="InternetLink"/>
          </w:rPr>
          <w:t xml:space="preserve">Real-time fractal signal processing in the time domain</w:t>
        </w:r>
      </w:hyperlink>
      <w:r>
        <w:t xml:space="preserve">.</w:t>
      </w:r>
      <w:r>
        <w:t xml:space="preserve"> </w:t>
      </w:r>
      <w:r>
        <w:rPr>
          <w:i/>
          <w:iCs/>
        </w:rPr>
        <w:t xml:space="preserve">Physica A: Statistical Mechanics and its Applications</w:t>
      </w:r>
      <w:r>
        <w:t xml:space="preserve"> </w:t>
      </w:r>
      <w:r>
        <w:rPr>
          <w:b/>
          <w:bCs/>
        </w:rPr>
        <w:t xml:space="preserve">392</w:t>
      </w:r>
      <w:r>
        <w:t xml:space="preserve">, 89–102 (2013).</w:t>
      </w:r>
    </w:p>
    <w:bookmarkEnd w:id="314"/>
    <w:bookmarkStart w:id="316" w:name="ref-ekePhysiologicalTimeSeries2000"/>
    <w:p>
      <w:pPr>
        <w:pStyle w:val="Bibliography"/>
      </w:pPr>
      <w:r>
        <w:t xml:space="preserve">118.</w:t>
      </w:r>
      <w:r>
        <w:t xml:space="preserve"> </w:t>
      </w:r>
      <w:r>
        <w:t xml:space="preserve">	</w:t>
      </w:r>
      <w:r>
        <w:t xml:space="preserve">Eke, A.</w:t>
      </w:r>
      <w:r>
        <w:t xml:space="preserve"> </w:t>
      </w:r>
      <w:r>
        <w:rPr>
          <w:i/>
          <w:iCs/>
        </w:rPr>
        <w:t xml:space="preserve">et al.</w:t>
      </w:r>
      <w:r>
        <w:t xml:space="preserve"> </w:t>
      </w:r>
      <w:hyperlink r:id="rId315">
        <w:r>
          <w:rPr>
            <w:rStyle w:val="InternetLink"/>
          </w:rPr>
          <w:t xml:space="preserve">Physiological time series: Distinguishing fractal noises from motions</w:t>
        </w:r>
      </w:hyperlink>
      <w:r>
        <w:t xml:space="preserve">.</w:t>
      </w:r>
      <w:r>
        <w:t xml:space="preserve"> </w:t>
      </w:r>
      <w:r>
        <w:rPr>
          <w:i/>
          <w:iCs/>
        </w:rPr>
        <w:t xml:space="preserve">Pflügers Archiv - European Journal of Physiology</w:t>
      </w:r>
      <w:r>
        <w:t xml:space="preserve"> </w:t>
      </w:r>
      <w:r>
        <w:rPr>
          <w:b/>
          <w:bCs/>
        </w:rPr>
        <w:t xml:space="preserve">439</w:t>
      </w:r>
      <w:r>
        <w:t xml:space="preserve">, 403–415 (2000).</w:t>
      </w:r>
    </w:p>
    <w:bookmarkEnd w:id="316"/>
    <w:bookmarkStart w:id="317" w:name="X7d7144c0a52ec3594cffc5fec0f425498533505"/>
    <w:p>
      <w:pPr>
        <w:pStyle w:val="Bibliography"/>
      </w:pPr>
      <w:r>
        <w:t xml:space="preserve">119.</w:t>
      </w:r>
      <w:r>
        <w:t xml:space="preserve"> </w:t>
      </w:r>
      <w:r>
        <w:t xml:space="preserve">	</w:t>
      </w:r>
      <w:r>
        <w:t xml:space="preserve">Team, R. C. R:</w:t>
      </w:r>
      <w:r>
        <w:t xml:space="preserve"> </w:t>
      </w:r>
      <w:r>
        <w:t xml:space="preserve">A</w:t>
      </w:r>
      <w:r>
        <w:t xml:space="preserve"> </w:t>
      </w:r>
      <w:r>
        <w:t xml:space="preserve">language and environment for statistical computing. (2021).</w:t>
      </w:r>
    </w:p>
    <w:bookmarkEnd w:id="317"/>
    <w:bookmarkStart w:id="319" w:name="ref-studentProbableErrorMean1908"/>
    <w:p>
      <w:pPr>
        <w:pStyle w:val="Bibliography"/>
      </w:pPr>
      <w:r>
        <w:t xml:space="preserve">120.</w:t>
      </w:r>
      <w:r>
        <w:t xml:space="preserve"> </w:t>
      </w:r>
      <w:r>
        <w:t xml:space="preserve">	</w:t>
      </w:r>
      <w:r>
        <w:t xml:space="preserve">Student.</w:t>
      </w:r>
      <w:r>
        <w:t xml:space="preserve"> </w:t>
      </w:r>
      <w:hyperlink r:id="rId318">
        <w:r>
          <w:rPr>
            <w:rStyle w:val="InternetLink"/>
          </w:rPr>
          <w:t xml:space="preserve">The</w:t>
        </w:r>
        <w:r>
          <w:rPr>
            <w:rStyle w:val="InternetLink"/>
          </w:rPr>
          <w:t xml:space="preserve"> </w:t>
        </w:r>
        <w:r>
          <w:rPr>
            <w:rStyle w:val="InternetLink"/>
          </w:rPr>
          <w:t xml:space="preserve">Probable Error</w:t>
        </w:r>
        <w:r>
          <w:rPr>
            <w:rStyle w:val="InternetLink"/>
          </w:rPr>
          <w:t xml:space="preserve"> </w:t>
        </w:r>
        <w:r>
          <w:rPr>
            <w:rStyle w:val="InternetLink"/>
          </w:rPr>
          <w:t xml:space="preserve">of a</w:t>
        </w:r>
        <w:r>
          <w:rPr>
            <w:rStyle w:val="InternetLink"/>
          </w:rPr>
          <w:t xml:space="preserve"> </w:t>
        </w:r>
        <w:r>
          <w:rPr>
            <w:rStyle w:val="InternetLink"/>
          </w:rPr>
          <w:t xml:space="preserve">Mean</w:t>
        </w:r>
      </w:hyperlink>
      <w:r>
        <w:t xml:space="preserve">.</w:t>
      </w:r>
      <w:r>
        <w:t xml:space="preserve"> </w:t>
      </w:r>
      <w:r>
        <w:rPr>
          <w:i/>
          <w:iCs/>
        </w:rPr>
        <w:t xml:space="preserve">Biometrika</w:t>
      </w:r>
      <w:r>
        <w:t xml:space="preserve"> </w:t>
      </w:r>
      <w:r>
        <w:rPr>
          <w:b/>
          <w:bCs/>
        </w:rPr>
        <w:t xml:space="preserve">6</w:t>
      </w:r>
      <w:r>
        <w:t xml:space="preserve">, 1–25 (1908).</w:t>
      </w:r>
    </w:p>
    <w:bookmarkEnd w:id="319"/>
    <w:bookmarkStart w:id="320" w:name="ref-freedmanStatistics2007"/>
    <w:p>
      <w:pPr>
        <w:pStyle w:val="Bibliography"/>
      </w:pPr>
      <w:r>
        <w:t xml:space="preserve">121.</w:t>
      </w:r>
      <w:r>
        <w:t xml:space="preserve"> </w:t>
      </w:r>
      <w:r>
        <w:t xml:space="preserve">	</w:t>
      </w:r>
      <w:r>
        <w:t xml:space="preserve">Freedman, D., Pisani, R. &amp; Purves, R.</w:t>
      </w:r>
      <w:r>
        <w:t xml:space="preserve"> </w:t>
      </w:r>
      <w:r>
        <w:rPr>
          <w:i/>
          <w:iCs/>
        </w:rPr>
        <w:t xml:space="preserve">Statistics</w:t>
      </w:r>
      <w:r>
        <w:t xml:space="preserve">. vol. 4 (W. W. Norton &amp; Company, New York, 2007).</w:t>
      </w:r>
    </w:p>
    <w:bookmarkEnd w:id="320"/>
    <w:bookmarkStart w:id="322" w:name="X6ae0be824696d7d721165c200683fdc329ea166"/>
    <w:p>
      <w:pPr>
        <w:pStyle w:val="Bibliography"/>
      </w:pPr>
      <w:r>
        <w:t xml:space="preserve">122.</w:t>
      </w:r>
      <w:r>
        <w:t xml:space="preserve"> </w:t>
      </w:r>
      <w:r>
        <w:t xml:space="preserve">	</w:t>
      </w:r>
      <w:r>
        <w:t xml:space="preserve">Thomas Yeo, B. T.</w:t>
      </w:r>
      <w:r>
        <w:t xml:space="preserve"> </w:t>
      </w:r>
      <w:r>
        <w:rPr>
          <w:i/>
          <w:iCs/>
        </w:rPr>
        <w:t xml:space="preserve">et al.</w:t>
      </w:r>
      <w:r>
        <w:t xml:space="preserve"> </w:t>
      </w:r>
      <w:hyperlink r:id="rId321">
        <w:r>
          <w:rPr>
            <w:rStyle w:val="InternetLink"/>
          </w:rPr>
          <w:t xml:space="preserve">The organization of the human cerebral cortex estimated by intrinsic functional connectivity</w:t>
        </w:r>
      </w:hyperlink>
      <w:r>
        <w:t xml:space="preserve">.</w:t>
      </w:r>
      <w:r>
        <w:t xml:space="preserve"> </w:t>
      </w:r>
      <w:r>
        <w:rPr>
          <w:i/>
          <w:iCs/>
        </w:rPr>
        <w:t xml:space="preserve">Journal of Neurophysiology</w:t>
      </w:r>
      <w:r>
        <w:t xml:space="preserve"> </w:t>
      </w:r>
      <w:r>
        <w:rPr>
          <w:b/>
          <w:bCs/>
        </w:rPr>
        <w:t xml:space="preserve">106</w:t>
      </w:r>
      <w:r>
        <w:t xml:space="preserve">, 1125–1165 (2011).</w:t>
      </w:r>
    </w:p>
    <w:bookmarkEnd w:id="322"/>
    <w:bookmarkStart w:id="324" w:name="ref-vanessenHumanConnectomeProject2012"/>
    <w:p>
      <w:pPr>
        <w:pStyle w:val="Bibliography"/>
      </w:pPr>
      <w:r>
        <w:t xml:space="preserve">123.</w:t>
      </w:r>
      <w:r>
        <w:t xml:space="preserve"> </w:t>
      </w:r>
      <w:r>
        <w:t xml:space="preserve">	</w:t>
      </w:r>
      <w:r>
        <w:t xml:space="preserve">Van Essen, D. C.</w:t>
      </w:r>
      <w:r>
        <w:t xml:space="preserve"> </w:t>
      </w:r>
      <w:r>
        <w:rPr>
          <w:i/>
          <w:iCs/>
        </w:rPr>
        <w:t xml:space="preserve">et al.</w:t>
      </w:r>
      <w:r>
        <w:t xml:space="preserve"> </w:t>
      </w:r>
      <w:hyperlink r:id="rId323">
        <w:r>
          <w:rPr>
            <w:rStyle w:val="InternetLink"/>
          </w:rPr>
          <w:t xml:space="preserve">The</w:t>
        </w:r>
        <w:r>
          <w:rPr>
            <w:rStyle w:val="InternetLink"/>
          </w:rPr>
          <w:t xml:space="preserve"> </w:t>
        </w:r>
        <w:r>
          <w:rPr>
            <w:rStyle w:val="InternetLink"/>
          </w:rPr>
          <w:t xml:space="preserve">Human Connectome Project</w:t>
        </w:r>
        <w:r>
          <w:rPr>
            <w:rStyle w:val="InternetLink"/>
          </w:rPr>
          <w:t xml:space="preserve">:</w:t>
        </w:r>
        <w:r>
          <w:rPr>
            <w:rStyle w:val="InternetLink"/>
          </w:rPr>
          <w:t xml:space="preserve"> </w:t>
        </w:r>
        <w:r>
          <w:rPr>
            <w:rStyle w:val="InternetLink"/>
          </w:rPr>
          <w:t xml:space="preserve">A</w:t>
        </w:r>
        <w:r>
          <w:rPr>
            <w:rStyle w:val="InternetLink"/>
          </w:rPr>
          <w:t xml:space="preserve"> </w:t>
        </w:r>
        <w:r>
          <w:rPr>
            <w:rStyle w:val="InternetLink"/>
          </w:rPr>
          <w:t xml:space="preserve">data acquisition perspective</w:t>
        </w:r>
      </w:hyperlink>
      <w:r>
        <w:t xml:space="preserve">.</w:t>
      </w:r>
      <w:r>
        <w:t xml:space="preserve"> </w:t>
      </w:r>
      <w:r>
        <w:rPr>
          <w:i/>
          <w:iCs/>
        </w:rPr>
        <w:t xml:space="preserve">NeuroImage</w:t>
      </w:r>
      <w:r>
        <w:t xml:space="preserve"> </w:t>
      </w:r>
      <w:r>
        <w:rPr>
          <w:b/>
          <w:bCs/>
        </w:rPr>
        <w:t xml:space="preserve">62</w:t>
      </w:r>
      <w:r>
        <w:t xml:space="preserve">, 2222–2231 (2012).</w:t>
      </w:r>
    </w:p>
    <w:bookmarkEnd w:id="324"/>
    <w:bookmarkStart w:id="326" w:name="ref-barnesEndogenousHumanBrain2009"/>
    <w:p>
      <w:pPr>
        <w:pStyle w:val="Bibliography"/>
      </w:pPr>
      <w:r>
        <w:t xml:space="preserve">124.</w:t>
      </w:r>
      <w:r>
        <w:t xml:space="preserve"> </w:t>
      </w:r>
      <w:r>
        <w:t xml:space="preserve">	</w:t>
      </w:r>
      <w:r>
        <w:t xml:space="preserve">Barnes, A., Bullmore, E. T. &amp; Suckling, J.</w:t>
      </w:r>
      <w:r>
        <w:t xml:space="preserve"> </w:t>
      </w:r>
      <w:hyperlink r:id="rId325">
        <w:r>
          <w:rPr>
            <w:rStyle w:val="InternetLink"/>
          </w:rPr>
          <w:t xml:space="preserve">Endogenous</w:t>
        </w:r>
        <w:r>
          <w:rPr>
            <w:rStyle w:val="InternetLink"/>
          </w:rPr>
          <w:t xml:space="preserve"> </w:t>
        </w:r>
        <w:r>
          <w:rPr>
            <w:rStyle w:val="InternetLink"/>
          </w:rPr>
          <w:t xml:space="preserve">Human Brain Dynamics Recover Slowly Following Cognitive Effort</w:t>
        </w:r>
      </w:hyperlink>
      <w:r>
        <w:t xml:space="preserve">.</w:t>
      </w:r>
      <w:r>
        <w:t xml:space="preserve"> </w:t>
      </w:r>
      <w:r>
        <w:rPr>
          <w:i/>
          <w:iCs/>
        </w:rPr>
        <w:t xml:space="preserve">PLoS ONE</w:t>
      </w:r>
      <w:r>
        <w:t xml:space="preserve"> </w:t>
      </w:r>
      <w:r>
        <w:rPr>
          <w:b/>
          <w:bCs/>
        </w:rPr>
        <w:t xml:space="preserve">4</w:t>
      </w:r>
      <w:r>
        <w:t xml:space="preserve">, e6626 (2009).</w:t>
      </w:r>
    </w:p>
    <w:bookmarkEnd w:id="326"/>
    <w:bookmarkStart w:id="328" w:name="Xdd0f9bdb5d2d0acdde6c08413118c35b45ae4cd"/>
    <w:p>
      <w:pPr>
        <w:pStyle w:val="Bibliography"/>
      </w:pPr>
      <w:r>
        <w:t xml:space="preserve">125.</w:t>
      </w:r>
      <w:r>
        <w:t xml:space="preserve"> </w:t>
      </w:r>
      <w:r>
        <w:t xml:space="preserve">	</w:t>
      </w:r>
      <w:r>
        <w:t xml:space="preserve">Hasson, U., Malach, R. &amp; Heeger, D. J.</w:t>
      </w:r>
      <w:r>
        <w:t xml:space="preserve"> </w:t>
      </w:r>
      <w:hyperlink r:id="rId327">
        <w:r>
          <w:rPr>
            <w:rStyle w:val="InternetLink"/>
          </w:rPr>
          <w:t xml:space="preserve">Reliability of cortical activity during natural stimulation</w:t>
        </w:r>
      </w:hyperlink>
      <w:r>
        <w:t xml:space="preserve">.</w:t>
      </w:r>
      <w:r>
        <w:t xml:space="preserve"> </w:t>
      </w:r>
      <w:r>
        <w:rPr>
          <w:i/>
          <w:iCs/>
        </w:rPr>
        <w:t xml:space="preserve">Trends in Cognitive Sciences</w:t>
      </w:r>
      <w:r>
        <w:t xml:space="preserve"> </w:t>
      </w:r>
      <w:r>
        <w:rPr>
          <w:b/>
          <w:bCs/>
        </w:rPr>
        <w:t xml:space="preserve">14</w:t>
      </w:r>
      <w:r>
        <w:t xml:space="preserve">, 40–48 (2010).</w:t>
      </w:r>
    </w:p>
    <w:bookmarkEnd w:id="328"/>
    <w:bookmarkStart w:id="330" w:name="Xd7bbbfdf199e4fdf58c437612e12147a1ffae11"/>
    <w:p>
      <w:pPr>
        <w:pStyle w:val="Bibliography"/>
      </w:pPr>
      <w:r>
        <w:t xml:space="preserve">126.</w:t>
      </w:r>
      <w:r>
        <w:t xml:space="preserve"> </w:t>
      </w:r>
      <w:r>
        <w:t xml:space="preserve">	</w:t>
      </w:r>
      <w:r>
        <w:t xml:space="preserve">Gutzeit, A.</w:t>
      </w:r>
      <w:r>
        <w:t xml:space="preserve"> </w:t>
      </w:r>
      <w:r>
        <w:rPr>
          <w:i/>
          <w:iCs/>
        </w:rPr>
        <w:t xml:space="preserve">et al.</w:t>
      </w:r>
      <w:r>
        <w:t xml:space="preserve"> </w:t>
      </w:r>
      <w:hyperlink r:id="rId329">
        <w:r>
          <w:rPr>
            <w:rStyle w:val="InternetLink"/>
          </w:rPr>
          <w:t xml:space="preserve">Differential</w:t>
        </w:r>
        <w:r>
          <w:rPr>
            <w:rStyle w:val="InternetLink"/>
          </w:rPr>
          <w:t xml:space="preserve"> </w:t>
        </w:r>
        <w:r>
          <w:rPr>
            <w:rStyle w:val="InternetLink"/>
          </w:rPr>
          <w:t xml:space="preserve">NMR</w:t>
        </w:r>
        <w:r>
          <w:rPr>
            <w:rStyle w:val="InternetLink"/>
          </w:rPr>
          <w:t xml:space="preserve"> </w:t>
        </w:r>
        <w:r>
          <w:rPr>
            <w:rStyle w:val="InternetLink"/>
          </w:rPr>
          <w:t xml:space="preserve">spectroscopy reactions of anterior/posterior and right/left insular subdivisions due to acute dental pain</w:t>
        </w:r>
      </w:hyperlink>
      <w:r>
        <w:t xml:space="preserve">.</w:t>
      </w:r>
      <w:r>
        <w:t xml:space="preserve"> </w:t>
      </w:r>
      <w:r>
        <w:rPr>
          <w:i/>
          <w:iCs/>
        </w:rPr>
        <w:t xml:space="preserve">European Radiology</w:t>
      </w:r>
      <w:r>
        <w:t xml:space="preserve"> </w:t>
      </w:r>
      <w:r>
        <w:rPr>
          <w:b/>
          <w:bCs/>
        </w:rPr>
        <w:t xml:space="preserve">23</w:t>
      </w:r>
      <w:r>
        <w:t xml:space="preserve">, 450–460 (2013).</w:t>
      </w:r>
    </w:p>
    <w:bookmarkEnd w:id="330"/>
    <w:bookmarkStart w:id="332" w:name="Xc031393e1e23d215e5a249602114cefaa154497"/>
    <w:p>
      <w:pPr>
        <w:pStyle w:val="Bibliography"/>
      </w:pPr>
      <w:r>
        <w:t xml:space="preserve">127.</w:t>
      </w:r>
      <w:r>
        <w:t xml:space="preserve"> </w:t>
      </w:r>
      <w:r>
        <w:t xml:space="preserve">	</w:t>
      </w:r>
      <w:r>
        <w:t xml:space="preserve">Cleve, M., Gussew, A., Wagner, G., Bär, K.-J. &amp; Reichenbach, J. R.</w:t>
      </w:r>
      <w:r>
        <w:t xml:space="preserve"> </w:t>
      </w:r>
      <w:hyperlink r:id="rId331">
        <w:r>
          <w:rPr>
            <w:rStyle w:val="InternetLink"/>
          </w:rPr>
          <w:t xml:space="preserve">Assessment of intra- and inter-regional interrelations between</w:t>
        </w:r>
        <w:r>
          <w:rPr>
            <w:rStyle w:val="InternetLink"/>
          </w:rPr>
          <w:t xml:space="preserve"> </w:t>
        </w:r>
        <w:r>
          <w:rPr>
            <w:rStyle w:val="InternetLink"/>
          </w:rPr>
          <w:t xml:space="preserve">GABA</w:t>
        </w:r>
        <w:r>
          <w:rPr>
            <w:rStyle w:val="InternetLink"/>
          </w:rPr>
          <w:t xml:space="preserve">+,</w:t>
        </w:r>
        <w:r>
          <w:rPr>
            <w:rStyle w:val="InternetLink"/>
          </w:rPr>
          <w:t xml:space="preserve"> </w:t>
        </w:r>
        <w:r>
          <w:rPr>
            <w:rStyle w:val="InternetLink"/>
          </w:rPr>
          <w:t xml:space="preserve">Glx</w:t>
        </w:r>
        <w:r>
          <w:rPr>
            <w:rStyle w:val="InternetLink"/>
          </w:rPr>
          <w:t xml:space="preserve"> </w:t>
        </w:r>
        <w:r>
          <w:rPr>
            <w:rStyle w:val="InternetLink"/>
          </w:rPr>
          <w:t xml:space="preserve">and</w:t>
        </w:r>
        <w:r>
          <w:rPr>
            <w:rStyle w:val="InternetLink"/>
          </w:rPr>
          <w:t xml:space="preserve"> </w:t>
        </w:r>
        <w:r>
          <w:rPr>
            <w:rStyle w:val="InternetLink"/>
          </w:rPr>
          <w:t xml:space="preserve">BOLD</w:t>
        </w:r>
        <w:r>
          <w:rPr>
            <w:rStyle w:val="InternetLink"/>
          </w:rPr>
          <w:t xml:space="preserve"> </w:t>
        </w:r>
        <w:r>
          <w:rPr>
            <w:rStyle w:val="InternetLink"/>
          </w:rPr>
          <w:t xml:space="preserve">during pain perception in the human brain -</w:t>
        </w:r>
        <w:r>
          <w:rPr>
            <w:rStyle w:val="InternetLink"/>
          </w:rPr>
          <w:t xml:space="preserve"> </w:t>
        </w:r>
        <w:r>
          <w:rPr>
            <w:rStyle w:val="InternetLink"/>
          </w:rPr>
          <w:t xml:space="preserve">A</w:t>
        </w:r>
        <w:r>
          <w:rPr>
            <w:rStyle w:val="InternetLink"/>
          </w:rPr>
          <w:t xml:space="preserve"> </w:t>
        </w:r>
        <w:r>
          <w:rPr>
            <w:rStyle w:val="InternetLink"/>
          </w:rPr>
          <w:t xml:space="preserve">combined</w:t>
        </w:r>
        <w:r>
          <w:rPr>
            <w:rStyle w:val="InternetLink"/>
          </w:rPr>
          <w:t xml:space="preserve"> </w:t>
        </w:r>
        <w:r>
          <w:rPr>
            <w:rStyle w:val="InternetLink"/>
          </w:rPr>
          <w:t xml:space="preserve">1H fMRS</w:t>
        </w:r>
        <w:r>
          <w:rPr>
            <w:rStyle w:val="InternetLink"/>
          </w:rPr>
          <w:t xml:space="preserve"> </w:t>
        </w:r>
        <w:r>
          <w:rPr>
            <w:rStyle w:val="InternetLink"/>
          </w:rPr>
          <w:t xml:space="preserve">and</w:t>
        </w:r>
        <w:r>
          <w:rPr>
            <w:rStyle w:val="InternetLink"/>
          </w:rPr>
          <w:t xml:space="preserve"> </w:t>
        </w:r>
        <w:r>
          <w:rPr>
            <w:rStyle w:val="InternetLink"/>
          </w:rPr>
          <w:t xml:space="preserve">fMRI</w:t>
        </w:r>
        <w:r>
          <w:rPr>
            <w:rStyle w:val="InternetLink"/>
          </w:rPr>
          <w:t xml:space="preserve"> </w:t>
        </w:r>
        <w:r>
          <w:rPr>
            <w:rStyle w:val="InternetLink"/>
          </w:rPr>
          <w:t xml:space="preserve">study</w:t>
        </w:r>
      </w:hyperlink>
      <w:r>
        <w:t xml:space="preserve">.</w:t>
      </w:r>
      <w:r>
        <w:t xml:space="preserve"> </w:t>
      </w:r>
      <w:r>
        <w:rPr>
          <w:i/>
          <w:iCs/>
        </w:rPr>
        <w:t xml:space="preserve">Neuroscience</w:t>
      </w:r>
      <w:r>
        <w:t xml:space="preserve"> </w:t>
      </w:r>
      <w:r>
        <w:rPr>
          <w:b/>
          <w:bCs/>
        </w:rPr>
        <w:t xml:space="preserve">365</w:t>
      </w:r>
      <w:r>
        <w:t xml:space="preserve">, 125–136 (2017).</w:t>
      </w:r>
    </w:p>
    <w:bookmarkEnd w:id="332"/>
    <w:bookmarkStart w:id="334" w:name="X70d4e54e9083b8b511ad1a83fb645f92f8c48a0"/>
    <w:p>
      <w:pPr>
        <w:pStyle w:val="Bibliography"/>
      </w:pPr>
      <w:r>
        <w:t xml:space="preserve">128.</w:t>
      </w:r>
      <w:r>
        <w:t xml:space="preserve"> </w:t>
      </w:r>
      <w:r>
        <w:t xml:space="preserve">	</w:t>
      </w:r>
      <w:r>
        <w:t xml:space="preserve">Apšvalka, D., Gadie, A., Clemence, M. &amp; Mullins, P. G.</w:t>
      </w:r>
      <w:r>
        <w:t xml:space="preserve"> </w:t>
      </w:r>
      <w:hyperlink r:id="rId333">
        <w:r>
          <w:rPr>
            <w:rStyle w:val="InternetLink"/>
          </w:rPr>
          <w:t xml:space="preserve">Event-related dynamics of glutamate and</w:t>
        </w:r>
        <w:r>
          <w:rPr>
            <w:rStyle w:val="InternetLink"/>
          </w:rPr>
          <w:t xml:space="preserve"> </w:t>
        </w:r>
        <w:r>
          <w:rPr>
            <w:rStyle w:val="InternetLink"/>
          </w:rPr>
          <w:t xml:space="preserve">BOLD</w:t>
        </w:r>
        <w:r>
          <w:rPr>
            <w:rStyle w:val="InternetLink"/>
          </w:rPr>
          <w:t xml:space="preserve"> </w:t>
        </w:r>
        <w:r>
          <w:rPr>
            <w:rStyle w:val="InternetLink"/>
          </w:rPr>
          <w:t xml:space="preserve">effects measured using functional magnetic resonance spectroscopy (</w:t>
        </w:r>
        <w:r>
          <w:rPr>
            <w:rStyle w:val="InternetLink"/>
          </w:rPr>
          <w:t xml:space="preserve">fMRS</w:t>
        </w:r>
        <w:r>
          <w:rPr>
            <w:rStyle w:val="InternetLink"/>
          </w:rPr>
          <w:t xml:space="preserve">) at</w:t>
        </w:r>
        <w:r>
          <w:rPr>
            <w:rStyle w:val="InternetLink"/>
          </w:rPr>
          <w:t xml:space="preserve"> </w:t>
        </w:r>
        <w:r>
          <w:rPr>
            <w:rStyle w:val="InternetLink"/>
          </w:rPr>
          <w:t xml:space="preserve">3T</w:t>
        </w:r>
        <w:r>
          <w:rPr>
            <w:rStyle w:val="InternetLink"/>
          </w:rPr>
          <w:t xml:space="preserve"> </w:t>
        </w:r>
        <w:r>
          <w:rPr>
            <w:rStyle w:val="InternetLink"/>
          </w:rPr>
          <w:t xml:space="preserve">in a repetition suppression paradigm</w:t>
        </w:r>
      </w:hyperlink>
      <w:r>
        <w:t xml:space="preserve">.</w:t>
      </w:r>
      <w:r>
        <w:t xml:space="preserve"> </w:t>
      </w:r>
      <w:r>
        <w:rPr>
          <w:i/>
          <w:iCs/>
        </w:rPr>
        <w:t xml:space="preserve">NeuroImage</w:t>
      </w:r>
      <w:r>
        <w:t xml:space="preserve"> </w:t>
      </w:r>
      <w:r>
        <w:rPr>
          <w:b/>
          <w:bCs/>
        </w:rPr>
        <w:t xml:space="preserve">118</w:t>
      </w:r>
      <w:r>
        <w:t xml:space="preserve">, 292–300 (2015).</w:t>
      </w:r>
    </w:p>
    <w:bookmarkEnd w:id="334"/>
    <w:bookmarkStart w:id="336" w:name="ref-floyer-leaRapidModulationGABA2006"/>
    <w:p>
      <w:pPr>
        <w:pStyle w:val="Bibliography"/>
      </w:pPr>
      <w:r>
        <w:t xml:space="preserve">129.</w:t>
      </w:r>
      <w:r>
        <w:t xml:space="preserve"> </w:t>
      </w:r>
      <w:r>
        <w:t xml:space="preserve">	</w:t>
      </w:r>
      <w:r>
        <w:t xml:space="preserve">Floyer-Lea, A., Wylezinska, M., Kincses, T. &amp; Matthews, P. M.</w:t>
      </w:r>
      <w:r>
        <w:t xml:space="preserve"> </w:t>
      </w:r>
      <w:hyperlink r:id="rId335">
        <w:r>
          <w:rPr>
            <w:rStyle w:val="InternetLink"/>
          </w:rPr>
          <w:t xml:space="preserve">Rapid</w:t>
        </w:r>
        <w:r>
          <w:rPr>
            <w:rStyle w:val="InternetLink"/>
          </w:rPr>
          <w:t xml:space="preserve"> </w:t>
        </w:r>
        <w:r>
          <w:rPr>
            <w:rStyle w:val="InternetLink"/>
          </w:rPr>
          <w:t xml:space="preserve">Modulation</w:t>
        </w:r>
        <w:r>
          <w:rPr>
            <w:rStyle w:val="InternetLink"/>
          </w:rPr>
          <w:t xml:space="preserve"> </w:t>
        </w:r>
        <w:r>
          <w:rPr>
            <w:rStyle w:val="InternetLink"/>
          </w:rPr>
          <w:t xml:space="preserve">of</w:t>
        </w:r>
        <w:r>
          <w:rPr>
            <w:rStyle w:val="InternetLink"/>
          </w:rPr>
          <w:t xml:space="preserve"> </w:t>
        </w:r>
        <w:r>
          <w:rPr>
            <w:rStyle w:val="InternetLink"/>
          </w:rPr>
          <w:t xml:space="preserve">GABA Concentration</w:t>
        </w:r>
        <w:r>
          <w:rPr>
            <w:rStyle w:val="InternetLink"/>
          </w:rPr>
          <w:t xml:space="preserve"> </w:t>
        </w:r>
        <w:r>
          <w:rPr>
            <w:rStyle w:val="InternetLink"/>
          </w:rPr>
          <w:t xml:space="preserve">in</w:t>
        </w:r>
        <w:r>
          <w:rPr>
            <w:rStyle w:val="InternetLink"/>
          </w:rPr>
          <w:t xml:space="preserve"> </w:t>
        </w:r>
        <w:r>
          <w:rPr>
            <w:rStyle w:val="InternetLink"/>
          </w:rPr>
          <w:t xml:space="preserve">Human Sensorimotor Cortex During Motor Learning</w:t>
        </w:r>
      </w:hyperlink>
      <w:r>
        <w:t xml:space="preserve">.</w:t>
      </w:r>
      <w:r>
        <w:t xml:space="preserve"> </w:t>
      </w:r>
      <w:r>
        <w:rPr>
          <w:i/>
          <w:iCs/>
        </w:rPr>
        <w:t xml:space="preserve">Journal of Neurophysiology</w:t>
      </w:r>
      <w:r>
        <w:t xml:space="preserve"> </w:t>
      </w:r>
      <w:r>
        <w:rPr>
          <w:b/>
          <w:bCs/>
        </w:rPr>
        <w:t xml:space="preserve">95</w:t>
      </w:r>
      <w:r>
        <w:t xml:space="preserve">, 1639–1644 (2006).</w:t>
      </w:r>
    </w:p>
    <w:bookmarkEnd w:id="336"/>
    <w:bookmarkStart w:id="338" w:name="Xfd39a03a46266e9206661c98743a7164bea427c"/>
    <w:p>
      <w:pPr>
        <w:pStyle w:val="Bibliography"/>
      </w:pPr>
      <w:r>
        <w:t xml:space="preserve">130.</w:t>
      </w:r>
      <w:r>
        <w:t xml:space="preserve"> </w:t>
      </w:r>
      <w:r>
        <w:t xml:space="preserve">	</w:t>
      </w:r>
      <w:r>
        <w:t xml:space="preserve">Sampaio-Baptista, C.</w:t>
      </w:r>
      <w:r>
        <w:t xml:space="preserve"> </w:t>
      </w:r>
      <w:r>
        <w:rPr>
          <w:i/>
          <w:iCs/>
        </w:rPr>
        <w:t xml:space="preserve">et al.</w:t>
      </w:r>
      <w:r>
        <w:t xml:space="preserve"> </w:t>
      </w:r>
      <w:hyperlink r:id="rId337">
        <w:r>
          <w:rPr>
            <w:rStyle w:val="InternetLink"/>
          </w:rPr>
          <w:t xml:space="preserve">Changes in functional connectivity and</w:t>
        </w:r>
        <w:r>
          <w:rPr>
            <w:rStyle w:val="InternetLink"/>
          </w:rPr>
          <w:t xml:space="preserve"> </w:t>
        </w:r>
        <w:r>
          <w:rPr>
            <w:rStyle w:val="InternetLink"/>
          </w:rPr>
          <w:t xml:space="preserve">GABA</w:t>
        </w:r>
        <w:r>
          <w:rPr>
            <w:rStyle w:val="InternetLink"/>
          </w:rPr>
          <w:t xml:space="preserve"> </w:t>
        </w:r>
        <w:r>
          <w:rPr>
            <w:rStyle w:val="InternetLink"/>
          </w:rPr>
          <w:t xml:space="preserve">levels with long-term motor learning</w:t>
        </w:r>
      </w:hyperlink>
      <w:r>
        <w:t xml:space="preserve">.</w:t>
      </w:r>
      <w:r>
        <w:t xml:space="preserve"> </w:t>
      </w:r>
      <w:r>
        <w:rPr>
          <w:i/>
          <w:iCs/>
        </w:rPr>
        <w:t xml:space="preserve">NeuroImage</w:t>
      </w:r>
      <w:r>
        <w:t xml:space="preserve"> </w:t>
      </w:r>
      <w:r>
        <w:rPr>
          <w:b/>
          <w:bCs/>
        </w:rPr>
        <w:t xml:space="preserve">106</w:t>
      </w:r>
      <w:r>
        <w:t xml:space="preserve">, 15–20 (2015).</w:t>
      </w:r>
    </w:p>
    <w:bookmarkEnd w:id="338"/>
    <w:bookmarkStart w:id="340" w:name="ref-staggRoleGABAHuman2011"/>
    <w:p>
      <w:pPr>
        <w:pStyle w:val="Bibliography"/>
      </w:pPr>
      <w:r>
        <w:t xml:space="preserve">131.</w:t>
      </w:r>
      <w:r>
        <w:t xml:space="preserve"> </w:t>
      </w:r>
      <w:r>
        <w:t xml:space="preserve">	</w:t>
      </w:r>
      <w:r>
        <w:t xml:space="preserve">Stagg, C. J., Bachtiar, V. &amp; Johansen-Berg, H.</w:t>
      </w:r>
      <w:r>
        <w:t xml:space="preserve"> </w:t>
      </w:r>
      <w:hyperlink r:id="rId339">
        <w:r>
          <w:rPr>
            <w:rStyle w:val="InternetLink"/>
          </w:rPr>
          <w:t xml:space="preserve">The</w:t>
        </w:r>
        <w:r>
          <w:rPr>
            <w:rStyle w:val="InternetLink"/>
          </w:rPr>
          <w:t xml:space="preserve"> </w:t>
        </w:r>
        <w:r>
          <w:rPr>
            <w:rStyle w:val="InternetLink"/>
          </w:rPr>
          <w:t xml:space="preserve">Role</w:t>
        </w:r>
        <w:r>
          <w:rPr>
            <w:rStyle w:val="InternetLink"/>
          </w:rPr>
          <w:t xml:space="preserve"> </w:t>
        </w:r>
        <w:r>
          <w:rPr>
            <w:rStyle w:val="InternetLink"/>
          </w:rPr>
          <w:t xml:space="preserve">of</w:t>
        </w:r>
        <w:r>
          <w:rPr>
            <w:rStyle w:val="InternetLink"/>
          </w:rPr>
          <w:t xml:space="preserve"> </w:t>
        </w:r>
        <w:r>
          <w:rPr>
            <w:rStyle w:val="InternetLink"/>
          </w:rPr>
          <w:t xml:space="preserve">GABA</w:t>
        </w:r>
        <w:r>
          <w:rPr>
            <w:rStyle w:val="InternetLink"/>
          </w:rPr>
          <w:t xml:space="preserve"> </w:t>
        </w:r>
        <w:r>
          <w:rPr>
            <w:rStyle w:val="InternetLink"/>
          </w:rPr>
          <w:t xml:space="preserve">in</w:t>
        </w:r>
        <w:r>
          <w:rPr>
            <w:rStyle w:val="InternetLink"/>
          </w:rPr>
          <w:t xml:space="preserve"> </w:t>
        </w:r>
        <w:r>
          <w:rPr>
            <w:rStyle w:val="InternetLink"/>
          </w:rPr>
          <w:t xml:space="preserve">Human Motor Learning</w:t>
        </w:r>
      </w:hyperlink>
      <w:r>
        <w:t xml:space="preserve">.</w:t>
      </w:r>
      <w:r>
        <w:t xml:space="preserve"> </w:t>
      </w:r>
      <w:r>
        <w:rPr>
          <w:i/>
          <w:iCs/>
        </w:rPr>
        <w:t xml:space="preserve">Current Biology</w:t>
      </w:r>
      <w:r>
        <w:t xml:space="preserve"> </w:t>
      </w:r>
      <w:r>
        <w:rPr>
          <w:b/>
          <w:bCs/>
        </w:rPr>
        <w:t xml:space="preserve">21</w:t>
      </w:r>
      <w:r>
        <w:t xml:space="preserve">, 480–484 (2011).</w:t>
      </w:r>
    </w:p>
    <w:bookmarkEnd w:id="340"/>
    <w:bookmarkStart w:id="342" w:name="Xc23bd815f845e5380371f8632e8bf49cbd2c5fa"/>
    <w:p>
      <w:pPr>
        <w:pStyle w:val="Bibliography"/>
      </w:pPr>
      <w:r>
        <w:t xml:space="preserve">132.</w:t>
      </w:r>
      <w:r>
        <w:t xml:space="preserve"> </w:t>
      </w:r>
      <w:r>
        <w:t xml:space="preserve">	</w:t>
      </w:r>
      <w:r>
        <w:t xml:space="preserve">Mangia, S., Giove, F. &amp; Dinuzzo, M.</w:t>
      </w:r>
      <w:r>
        <w:t xml:space="preserve"> </w:t>
      </w:r>
      <w:hyperlink r:id="rId341">
        <w:r>
          <w:rPr>
            <w:rStyle w:val="InternetLink"/>
          </w:rPr>
          <w:t xml:space="preserve">Metabolic pathways and activity-dependent modulation of glutamate concentration in the human brain</w:t>
        </w:r>
      </w:hyperlink>
      <w:r>
        <w:t xml:space="preserve">.</w:t>
      </w:r>
      <w:r>
        <w:t xml:space="preserve"> </w:t>
      </w:r>
      <w:r>
        <w:rPr>
          <w:i/>
          <w:iCs/>
        </w:rPr>
        <w:t xml:space="preserve">Neurochemical Research</w:t>
      </w:r>
      <w:r>
        <w:t xml:space="preserve"> </w:t>
      </w:r>
      <w:r>
        <w:rPr>
          <w:b/>
          <w:bCs/>
        </w:rPr>
        <w:t xml:space="preserve">37</w:t>
      </w:r>
      <w:r>
        <w:t xml:space="preserve">, 2554–2561 (2012).</w:t>
      </w:r>
    </w:p>
    <w:bookmarkEnd w:id="342"/>
    <w:bookmarkStart w:id="344" w:name="X5469f64f3bb30d988fbeeb1cf3ab3d2dc0d2483"/>
    <w:p>
      <w:pPr>
        <w:pStyle w:val="Bibliography"/>
      </w:pPr>
      <w:r>
        <w:t xml:space="preserve">133.</w:t>
      </w:r>
      <w:r>
        <w:t xml:space="preserve"> </w:t>
      </w:r>
      <w:r>
        <w:t xml:space="preserve">	</w:t>
      </w:r>
      <w:r>
        <w:t xml:space="preserve">Archibald, J.</w:t>
      </w:r>
      <w:r>
        <w:t xml:space="preserve"> </w:t>
      </w:r>
      <w:r>
        <w:rPr>
          <w:i/>
          <w:iCs/>
        </w:rPr>
        <w:t xml:space="preserve">et al.</w:t>
      </w:r>
      <w:r>
        <w:t xml:space="preserve"> </w:t>
      </w:r>
      <w:hyperlink r:id="rId343">
        <w:r>
          <w:rPr>
            <w:rStyle w:val="InternetLink"/>
          </w:rPr>
          <w:t xml:space="preserve">Metabolite activity in the anterior cingulate cortex during a painful stimulus using functional</w:t>
        </w:r>
        <w:r>
          <w:rPr>
            <w:rStyle w:val="InternetLink"/>
          </w:rPr>
          <w:t xml:space="preserve"> </w:t>
        </w:r>
        <w:r>
          <w:rPr>
            <w:rStyle w:val="InternetLink"/>
          </w:rPr>
          <w:t xml:space="preserve">MRS</w:t>
        </w:r>
      </w:hyperlink>
      <w:r>
        <w:t xml:space="preserve">.</w:t>
      </w:r>
      <w:r>
        <w:t xml:space="preserve"> </w:t>
      </w:r>
      <w:r>
        <w:rPr>
          <w:i/>
          <w:iCs/>
        </w:rPr>
        <w:t xml:space="preserve">Scientific Reports</w:t>
      </w:r>
      <w:r>
        <w:t xml:space="preserve"> </w:t>
      </w:r>
      <w:r>
        <w:rPr>
          <w:b/>
          <w:bCs/>
        </w:rPr>
        <w:t xml:space="preserve">10</w:t>
      </w:r>
      <w:r>
        <w:t xml:space="preserve">, 19218 (2020).</w:t>
      </w:r>
    </w:p>
    <w:bookmarkEnd w:id="344"/>
    <w:bookmarkStart w:id="346" w:name="ref-huiFrequencyDriftMR2021"/>
    <w:p>
      <w:pPr>
        <w:pStyle w:val="Bibliography"/>
      </w:pPr>
      <w:r>
        <w:t xml:space="preserve">134.</w:t>
      </w:r>
      <w:r>
        <w:t xml:space="preserve"> </w:t>
      </w:r>
      <w:r>
        <w:t xml:space="preserve">	</w:t>
      </w:r>
      <w:r>
        <w:t xml:space="preserve">Hui, S. C. N.</w:t>
      </w:r>
      <w:r>
        <w:t xml:space="preserve"> </w:t>
      </w:r>
      <w:r>
        <w:rPr>
          <w:i/>
          <w:iCs/>
        </w:rPr>
        <w:t xml:space="preserve">et al.</w:t>
      </w:r>
      <w:r>
        <w:t xml:space="preserve"> </w:t>
      </w:r>
      <w:hyperlink r:id="rId345">
        <w:r>
          <w:rPr>
            <w:rStyle w:val="InternetLink"/>
          </w:rPr>
          <w:t xml:space="preserve">Frequency drift in</w:t>
        </w:r>
        <w:r>
          <w:rPr>
            <w:rStyle w:val="InternetLink"/>
          </w:rPr>
          <w:t xml:space="preserve"> </w:t>
        </w:r>
        <w:r>
          <w:rPr>
            <w:rStyle w:val="InternetLink"/>
          </w:rPr>
          <w:t xml:space="preserve">MR</w:t>
        </w:r>
        <w:r>
          <w:rPr>
            <w:rStyle w:val="InternetLink"/>
          </w:rPr>
          <w:t xml:space="preserve"> </w:t>
        </w:r>
        <w:r>
          <w:rPr>
            <w:rStyle w:val="InternetLink"/>
          </w:rPr>
          <w:t xml:space="preserve">spectroscopy at</w:t>
        </w:r>
        <w:r>
          <w:rPr>
            <w:rStyle w:val="InternetLink"/>
          </w:rPr>
          <w:t xml:space="preserve"> </w:t>
        </w:r>
        <w:r>
          <w:rPr>
            <w:rStyle w:val="InternetLink"/>
          </w:rPr>
          <w:t xml:space="preserve">3T</w:t>
        </w:r>
      </w:hyperlink>
      <w:r>
        <w:t xml:space="preserve">.</w:t>
      </w:r>
      <w:r>
        <w:t xml:space="preserve"> </w:t>
      </w:r>
      <w:r>
        <w:rPr>
          <w:i/>
          <w:iCs/>
        </w:rPr>
        <w:t xml:space="preserve">NeuroImage</w:t>
      </w:r>
      <w:r>
        <w:t xml:space="preserve"> </w:t>
      </w:r>
      <w:r>
        <w:rPr>
          <w:b/>
          <w:bCs/>
        </w:rPr>
        <w:t xml:space="preserve">241</w:t>
      </w:r>
      <w:r>
        <w:t xml:space="preserve">, 118430 (2021).</w:t>
      </w:r>
    </w:p>
    <w:bookmarkEnd w:id="346"/>
    <w:bookmarkStart w:id="348" w:name="ref-peekBrainGABAGlutamate2020"/>
    <w:p>
      <w:pPr>
        <w:pStyle w:val="Bibliography"/>
      </w:pPr>
      <w:r>
        <w:t xml:space="preserve">135.</w:t>
      </w:r>
      <w:r>
        <w:t xml:space="preserve"> </w:t>
      </w:r>
      <w:r>
        <w:t xml:space="preserve">	</w:t>
      </w:r>
      <w:r>
        <w:t xml:space="preserve">Peek, A. L.</w:t>
      </w:r>
      <w:r>
        <w:t xml:space="preserve"> </w:t>
      </w:r>
      <w:r>
        <w:rPr>
          <w:i/>
          <w:iCs/>
        </w:rPr>
        <w:t xml:space="preserve">et al.</w:t>
      </w:r>
      <w:r>
        <w:t xml:space="preserve"> </w:t>
      </w:r>
      <w:hyperlink r:id="rId347">
        <w:r>
          <w:rPr>
            <w:rStyle w:val="InternetLink"/>
          </w:rPr>
          <w:t xml:space="preserve">Brain</w:t>
        </w:r>
        <w:r>
          <w:rPr>
            <w:rStyle w:val="InternetLink"/>
          </w:rPr>
          <w:t xml:space="preserve"> </w:t>
        </w:r>
        <w:r>
          <w:rPr>
            <w:rStyle w:val="InternetLink"/>
          </w:rPr>
          <w:t xml:space="preserve">GABA</w:t>
        </w:r>
        <w:r>
          <w:rPr>
            <w:rStyle w:val="InternetLink"/>
          </w:rPr>
          <w:t xml:space="preserve"> </w:t>
        </w:r>
        <w:r>
          <w:rPr>
            <w:rStyle w:val="InternetLink"/>
          </w:rPr>
          <w:t xml:space="preserve">and glutamate levels across pain conditions:</w:t>
        </w:r>
        <w:r>
          <w:rPr>
            <w:rStyle w:val="InternetLink"/>
          </w:rPr>
          <w:t xml:space="preserve"> </w:t>
        </w:r>
        <w:r>
          <w:rPr>
            <w:rStyle w:val="InternetLink"/>
          </w:rPr>
          <w:t xml:space="preserve">A</w:t>
        </w:r>
        <w:r>
          <w:rPr>
            <w:rStyle w:val="InternetLink"/>
          </w:rPr>
          <w:t xml:space="preserve"> </w:t>
        </w:r>
        <w:r>
          <w:rPr>
            <w:rStyle w:val="InternetLink"/>
          </w:rPr>
          <w:t xml:space="preserve">systematic literature review and meta-analysis of</w:t>
        </w:r>
        <w:r>
          <w:rPr>
            <w:rStyle w:val="InternetLink"/>
          </w:rPr>
          <w:t xml:space="preserve"> </w:t>
        </w:r>
        <w:r>
          <w:rPr>
            <w:rStyle w:val="InternetLink"/>
          </w:rPr>
          <w:t xml:space="preserve">1H-MRS</w:t>
        </w:r>
        <w:r>
          <w:rPr>
            <w:rStyle w:val="InternetLink"/>
          </w:rPr>
          <w:t xml:space="preserve"> </w:t>
        </w:r>
        <w:r>
          <w:rPr>
            <w:rStyle w:val="InternetLink"/>
          </w:rPr>
          <w:t xml:space="preserve">studies using the</w:t>
        </w:r>
        <w:r>
          <w:rPr>
            <w:rStyle w:val="InternetLink"/>
          </w:rPr>
          <w:t xml:space="preserve"> </w:t>
        </w:r>
        <w:r>
          <w:rPr>
            <w:rStyle w:val="InternetLink"/>
          </w:rPr>
          <w:t xml:space="preserve">MRS-Q</w:t>
        </w:r>
        <w:r>
          <w:rPr>
            <w:rStyle w:val="InternetLink"/>
          </w:rPr>
          <w:t xml:space="preserve"> </w:t>
        </w:r>
        <w:r>
          <w:rPr>
            <w:rStyle w:val="InternetLink"/>
          </w:rPr>
          <w:t xml:space="preserve">quality assessment tool</w:t>
        </w:r>
      </w:hyperlink>
      <w:r>
        <w:t xml:space="preserve">.</w:t>
      </w:r>
      <w:r>
        <w:t xml:space="preserve"> </w:t>
      </w:r>
      <w:r>
        <w:rPr>
          <w:i/>
          <w:iCs/>
        </w:rPr>
        <w:t xml:space="preserve">NeuroImage</w:t>
      </w:r>
      <w:r>
        <w:t xml:space="preserve"> </w:t>
      </w:r>
      <w:r>
        <w:rPr>
          <w:b/>
          <w:bCs/>
        </w:rPr>
        <w:t xml:space="preserve">210</w:t>
      </w:r>
      <w:r>
        <w:t xml:space="preserve">, 116532 (2020).</w:t>
      </w:r>
    </w:p>
    <w:bookmarkEnd w:id="348"/>
    <w:bookmarkStart w:id="350" w:name="ref-choiSpectralEditing1H2021"/>
    <w:p>
      <w:pPr>
        <w:pStyle w:val="Bibliography"/>
      </w:pPr>
      <w:r>
        <w:t xml:space="preserve">136.</w:t>
      </w:r>
      <w:r>
        <w:t xml:space="preserve"> </w:t>
      </w:r>
      <w:r>
        <w:t xml:space="preserve">	</w:t>
      </w:r>
      <w:r>
        <w:t xml:space="preserve">Choi, I.-Y.</w:t>
      </w:r>
      <w:r>
        <w:t xml:space="preserve"> </w:t>
      </w:r>
      <w:r>
        <w:rPr>
          <w:i/>
          <w:iCs/>
        </w:rPr>
        <w:t xml:space="preserve">et al.</w:t>
      </w:r>
      <w:r>
        <w:t xml:space="preserve"> </w:t>
      </w:r>
      <w:hyperlink r:id="rId349">
        <w:r>
          <w:rPr>
            <w:rStyle w:val="InternetLink"/>
          </w:rPr>
          <w:t xml:space="preserve">Spectral editing in</w:t>
        </w:r>
        <w:r>
          <w:rPr>
            <w:rStyle w:val="InternetLink"/>
          </w:rPr>
          <w:t xml:space="preserve"> </w:t>
        </w:r>
        <w:r>
          <w:rPr>
            <w:rStyle w:val="InternetLink"/>
          </w:rPr>
          <w:t xml:space="preserve">1H</w:t>
        </w:r>
        <w:r>
          <w:rPr>
            <w:rStyle w:val="InternetLink"/>
          </w:rPr>
          <w:t xml:space="preserve"> </w:t>
        </w:r>
        <w:r>
          <w:rPr>
            <w:rStyle w:val="InternetLink"/>
          </w:rPr>
          <w:t xml:space="preserve">magnetic resonance spectroscopy:</w:t>
        </w:r>
        <w:r>
          <w:rPr>
            <w:rStyle w:val="InternetLink"/>
          </w:rPr>
          <w:t xml:space="preserve"> </w:t>
        </w:r>
        <w:r>
          <w:rPr>
            <w:rStyle w:val="InternetLink"/>
          </w:rPr>
          <w:t xml:space="preserve">Experts</w:t>
        </w:r>
        <w:r>
          <w:rPr>
            <w:rStyle w:val="InternetLink"/>
          </w:rPr>
          <w:t xml:space="preserve">’ consensus recommendations</w:t>
        </w:r>
      </w:hyperlink>
      <w:r>
        <w:t xml:space="preserve">.</w:t>
      </w:r>
      <w:r>
        <w:t xml:space="preserve"> </w:t>
      </w:r>
      <w:r>
        <w:rPr>
          <w:i/>
          <w:iCs/>
        </w:rPr>
        <w:t xml:space="preserve">NMR in Biomedicine</w:t>
      </w:r>
      <w:r>
        <w:t xml:space="preserve"> </w:t>
      </w:r>
      <w:r>
        <w:rPr>
          <w:b/>
          <w:bCs/>
        </w:rPr>
        <w:t xml:space="preserve">34</w:t>
      </w:r>
      <w:r>
        <w:t xml:space="preserve">, e4411 (2021).</w:t>
      </w:r>
    </w:p>
    <w:bookmarkEnd w:id="350"/>
    <w:bookmarkStart w:id="352" w:name="ref-linMinimumReportingStandards2021"/>
    <w:p>
      <w:pPr>
        <w:pStyle w:val="Bibliography"/>
      </w:pPr>
      <w:r>
        <w:t xml:space="preserve">137.</w:t>
      </w:r>
      <w:r>
        <w:t xml:space="preserve"> </w:t>
      </w:r>
      <w:r>
        <w:t xml:space="preserve">	</w:t>
      </w:r>
      <w:r>
        <w:t xml:space="preserve">Lin, A.</w:t>
      </w:r>
      <w:r>
        <w:t xml:space="preserve"> </w:t>
      </w:r>
      <w:r>
        <w:rPr>
          <w:i/>
          <w:iCs/>
        </w:rPr>
        <w:t xml:space="preserve">et al.</w:t>
      </w:r>
      <w:r>
        <w:t xml:space="preserve"> </w:t>
      </w:r>
      <w:hyperlink r:id="rId351">
        <w:r>
          <w:rPr>
            <w:rStyle w:val="InternetLink"/>
          </w:rPr>
          <w:t xml:space="preserve">Minimum</w:t>
        </w:r>
        <w:r>
          <w:rPr>
            <w:rStyle w:val="InternetLink"/>
          </w:rPr>
          <w:t xml:space="preserve"> </w:t>
        </w:r>
        <w:r>
          <w:rPr>
            <w:rStyle w:val="InternetLink"/>
          </w:rPr>
          <w:t xml:space="preserve">Reporting Standards</w:t>
        </w:r>
        <w:r>
          <w:rPr>
            <w:rStyle w:val="InternetLink"/>
          </w:rPr>
          <w:t xml:space="preserve"> </w:t>
        </w:r>
        <w:r>
          <w:rPr>
            <w:rStyle w:val="InternetLink"/>
          </w:rPr>
          <w:t xml:space="preserve">for in vivo</w:t>
        </w:r>
        <w:r>
          <w:rPr>
            <w:rStyle w:val="InternetLink"/>
          </w:rPr>
          <w:t xml:space="preserve"> </w:t>
        </w:r>
        <w:r>
          <w:rPr>
            <w:rStyle w:val="InternetLink"/>
          </w:rPr>
          <w:t xml:space="preserve">Magnetic Resonance Spectroscopy</w:t>
        </w:r>
        <w:r>
          <w:rPr>
            <w:rStyle w:val="InternetLink"/>
          </w:rPr>
          <w:t xml:space="preserve"> </w:t>
        </w:r>
        <w:r>
          <w:rPr>
            <w:rStyle w:val="InternetLink"/>
          </w:rPr>
          <w:t xml:space="preserve">(</w:t>
        </w:r>
        <w:r>
          <w:rPr>
            <w:rStyle w:val="InternetLink"/>
          </w:rPr>
          <w:t xml:space="preserve">MRSinMRS</w:t>
        </w:r>
        <w:r>
          <w:rPr>
            <w:rStyle w:val="InternetLink"/>
          </w:rPr>
          <w:t xml:space="preserve">):</w:t>
        </w:r>
        <w:r>
          <w:rPr>
            <w:rStyle w:val="InternetLink"/>
          </w:rPr>
          <w:t xml:space="preserve"> </w:t>
        </w:r>
        <w:r>
          <w:rPr>
            <w:rStyle w:val="InternetLink"/>
          </w:rPr>
          <w:t xml:space="preserve">Experts</w:t>
        </w:r>
        <w:r>
          <w:rPr>
            <w:rStyle w:val="InternetLink"/>
          </w:rPr>
          <w:t xml:space="preserve">’ consensus recommendations</w:t>
        </w:r>
      </w:hyperlink>
      <w:r>
        <w:t xml:space="preserve">.</w:t>
      </w:r>
      <w:r>
        <w:t xml:space="preserve"> </w:t>
      </w:r>
      <w:r>
        <w:rPr>
          <w:i/>
          <w:iCs/>
        </w:rPr>
        <w:t xml:space="preserve">NMR in biomedicine</w:t>
      </w:r>
      <w:r>
        <w:t xml:space="preserve"> </w:t>
      </w:r>
      <w:r>
        <w:rPr>
          <w:b/>
          <w:bCs/>
        </w:rPr>
        <w:t xml:space="preserve">34</w:t>
      </w:r>
      <w:r>
        <w:t xml:space="preserve">, e4484 (2021).</w:t>
      </w:r>
    </w:p>
    <w:bookmarkEnd w:id="352"/>
    <w:bookmarkStart w:id="354" w:name="ref-kunduMultiechoFMRIReview2017"/>
    <w:p>
      <w:pPr>
        <w:pStyle w:val="Bibliography"/>
      </w:pPr>
      <w:r>
        <w:t xml:space="preserve">138.</w:t>
      </w:r>
      <w:r>
        <w:t xml:space="preserve"> </w:t>
      </w:r>
      <w:r>
        <w:t xml:space="preserve">	</w:t>
      </w:r>
      <w:r>
        <w:t xml:space="preserve">Kundu, P.</w:t>
      </w:r>
      <w:r>
        <w:t xml:space="preserve"> </w:t>
      </w:r>
      <w:r>
        <w:rPr>
          <w:i/>
          <w:iCs/>
        </w:rPr>
        <w:t xml:space="preserve">et al.</w:t>
      </w:r>
      <w:r>
        <w:t xml:space="preserve"> </w:t>
      </w:r>
      <w:hyperlink r:id="rId353">
        <w:r>
          <w:rPr>
            <w:rStyle w:val="InternetLink"/>
          </w:rPr>
          <w:t xml:space="preserve">Multi-echo</w:t>
        </w:r>
        <w:r>
          <w:rPr>
            <w:rStyle w:val="InternetLink"/>
          </w:rPr>
          <w:t xml:space="preserve"> </w:t>
        </w:r>
        <w:r>
          <w:rPr>
            <w:rStyle w:val="InternetLink"/>
          </w:rPr>
          <w:t xml:space="preserve">fMRI</w:t>
        </w:r>
        <w:r>
          <w:rPr>
            <w:rStyle w:val="InternetLink"/>
          </w:rPr>
          <w:t xml:space="preserve">:</w:t>
        </w:r>
        <w:r>
          <w:rPr>
            <w:rStyle w:val="InternetLink"/>
          </w:rPr>
          <w:t xml:space="preserve"> </w:t>
        </w:r>
        <w:r>
          <w:rPr>
            <w:rStyle w:val="InternetLink"/>
          </w:rPr>
          <w:t xml:space="preserve">A</w:t>
        </w:r>
        <w:r>
          <w:rPr>
            <w:rStyle w:val="InternetLink"/>
          </w:rPr>
          <w:t xml:space="preserve"> </w:t>
        </w:r>
        <w:r>
          <w:rPr>
            <w:rStyle w:val="InternetLink"/>
          </w:rPr>
          <w:t xml:space="preserve">review of applications in</w:t>
        </w:r>
        <w:r>
          <w:rPr>
            <w:rStyle w:val="InternetLink"/>
          </w:rPr>
          <w:t xml:space="preserve"> </w:t>
        </w:r>
        <w:r>
          <w:rPr>
            <w:rStyle w:val="InternetLink"/>
          </w:rPr>
          <w:t xml:space="preserve">fMRI</w:t>
        </w:r>
        <w:r>
          <w:rPr>
            <w:rStyle w:val="InternetLink"/>
          </w:rPr>
          <w:t xml:space="preserve"> </w:t>
        </w:r>
        <w:r>
          <w:rPr>
            <w:rStyle w:val="InternetLink"/>
          </w:rPr>
          <w:t xml:space="preserve">denoising and analysis of</w:t>
        </w:r>
        <w:r>
          <w:rPr>
            <w:rStyle w:val="InternetLink"/>
          </w:rPr>
          <w:t xml:space="preserve"> </w:t>
        </w:r>
        <w:r>
          <w:rPr>
            <w:rStyle w:val="InternetLink"/>
          </w:rPr>
          <w:t xml:space="preserve">BOLD</w:t>
        </w:r>
        <w:r>
          <w:rPr>
            <w:rStyle w:val="InternetLink"/>
          </w:rPr>
          <w:t xml:space="preserve"> </w:t>
        </w:r>
        <w:r>
          <w:rPr>
            <w:rStyle w:val="InternetLink"/>
          </w:rPr>
          <w:t xml:space="preserve">signals</w:t>
        </w:r>
      </w:hyperlink>
      <w:r>
        <w:t xml:space="preserve">.</w:t>
      </w:r>
      <w:r>
        <w:t xml:space="preserve"> </w:t>
      </w:r>
      <w:r>
        <w:rPr>
          <w:i/>
          <w:iCs/>
        </w:rPr>
        <w:t xml:space="preserve">NeuroImage</w:t>
      </w:r>
      <w:r>
        <w:t xml:space="preserve"> </w:t>
      </w:r>
      <w:r>
        <w:rPr>
          <w:b/>
          <w:bCs/>
        </w:rPr>
        <w:t xml:space="preserve">154</w:t>
      </w:r>
      <w:r>
        <w:t xml:space="preserve">, 59–80 (2017).</w:t>
      </w:r>
    </w:p>
    <w:bookmarkEnd w:id="354"/>
    <w:bookmarkStart w:id="356" w:name="Xf89f147656cca7b375c337c7265920cd56ec00d"/>
    <w:p>
      <w:pPr>
        <w:pStyle w:val="Bibliography"/>
      </w:pPr>
      <w:r>
        <w:t xml:space="preserve">139.</w:t>
      </w:r>
      <w:r>
        <w:t xml:space="preserve"> </w:t>
      </w:r>
      <w:r>
        <w:t xml:space="preserve">	</w:t>
      </w:r>
      <w:r>
        <w:t xml:space="preserve">Terpstra, M.</w:t>
      </w:r>
      <w:r>
        <w:t xml:space="preserve"> </w:t>
      </w:r>
      <w:r>
        <w:rPr>
          <w:i/>
          <w:iCs/>
        </w:rPr>
        <w:t xml:space="preserve">et al.</w:t>
      </w:r>
      <w:r>
        <w:t xml:space="preserve"> </w:t>
      </w:r>
      <w:hyperlink r:id="rId355">
        <w:r>
          <w:rPr>
            <w:rStyle w:val="InternetLink"/>
          </w:rPr>
          <w:t xml:space="preserve">Test-retest reproducibility of neurochemical profiles with short-echo, single-voxel</w:t>
        </w:r>
        <w:r>
          <w:rPr>
            <w:rStyle w:val="InternetLink"/>
          </w:rPr>
          <w:t xml:space="preserve"> </w:t>
        </w:r>
        <w:r>
          <w:rPr>
            <w:rStyle w:val="InternetLink"/>
          </w:rPr>
          <w:t xml:space="preserve">MR</w:t>
        </w:r>
        <w:r>
          <w:rPr>
            <w:rStyle w:val="InternetLink"/>
          </w:rPr>
          <w:t xml:space="preserve"> </w:t>
        </w:r>
        <w:r>
          <w:rPr>
            <w:rStyle w:val="InternetLink"/>
          </w:rPr>
          <w:t xml:space="preserve">spectroscopy at</w:t>
        </w:r>
        <w:r>
          <w:rPr>
            <w:rStyle w:val="InternetLink"/>
          </w:rPr>
          <w:t xml:space="preserve"> </w:t>
        </w:r>
        <w:r>
          <w:rPr>
            <w:rStyle w:val="InternetLink"/>
          </w:rPr>
          <w:t xml:space="preserve">3T</w:t>
        </w:r>
        <w:r>
          <w:rPr>
            <w:rStyle w:val="InternetLink"/>
          </w:rPr>
          <w:t xml:space="preserve"> </w:t>
        </w:r>
        <w:r>
          <w:rPr>
            <w:rStyle w:val="InternetLink"/>
          </w:rPr>
          <w:t xml:space="preserve">and</w:t>
        </w:r>
        <w:r>
          <w:rPr>
            <w:rStyle w:val="InternetLink"/>
          </w:rPr>
          <w:t xml:space="preserve"> </w:t>
        </w:r>
        <w:r>
          <w:rPr>
            <w:rStyle w:val="InternetLink"/>
          </w:rPr>
          <w:t xml:space="preserve">7T</w:t>
        </w:r>
      </w:hyperlink>
      <w:r>
        <w:t xml:space="preserve">.</w:t>
      </w:r>
      <w:r>
        <w:t xml:space="preserve"> </w:t>
      </w:r>
      <w:r>
        <w:rPr>
          <w:i/>
          <w:iCs/>
        </w:rPr>
        <w:t xml:space="preserve">Magnetic Resonance in Medicine</w:t>
      </w:r>
      <w:r>
        <w:t xml:space="preserve"> </w:t>
      </w:r>
      <w:r>
        <w:rPr>
          <w:b/>
          <w:bCs/>
        </w:rPr>
        <w:t xml:space="preserve">76</w:t>
      </w:r>
      <w:r>
        <w:t xml:space="preserve">, 1083–1091 (2016).</w:t>
      </w:r>
    </w:p>
    <w:bookmarkEnd w:id="356"/>
    <w:bookmarkStart w:id="358" w:name="ref-mullinsNovelTechniqueStudy2005"/>
    <w:p>
      <w:pPr>
        <w:pStyle w:val="Bibliography"/>
      </w:pPr>
      <w:r>
        <w:t xml:space="preserve">140.</w:t>
      </w:r>
      <w:r>
        <w:t xml:space="preserve"> </w:t>
      </w:r>
      <w:r>
        <w:t xml:space="preserve">	</w:t>
      </w:r>
      <w:r>
        <w:t xml:space="preserve">Mullins, P. G., Rowland, L. M., Jung, R. E. &amp; Sibbitt, W. L.</w:t>
      </w:r>
      <w:r>
        <w:t xml:space="preserve"> </w:t>
      </w:r>
      <w:hyperlink r:id="rId357">
        <w:r>
          <w:rPr>
            <w:rStyle w:val="InternetLink"/>
          </w:rPr>
          <w:t xml:space="preserve">A novel technique to study the brain’s response to pain: Proton magnetic resonance spectroscopy</w:t>
        </w:r>
      </w:hyperlink>
      <w:r>
        <w:t xml:space="preserve">.</w:t>
      </w:r>
      <w:r>
        <w:t xml:space="preserve"> </w:t>
      </w:r>
      <w:r>
        <w:rPr>
          <w:i/>
          <w:iCs/>
        </w:rPr>
        <w:t xml:space="preserve">NeuroImage</w:t>
      </w:r>
      <w:r>
        <w:t xml:space="preserve"> </w:t>
      </w:r>
      <w:r>
        <w:rPr>
          <w:b/>
          <w:bCs/>
        </w:rPr>
        <w:t xml:space="preserve">26</w:t>
      </w:r>
      <w:r>
        <w:t xml:space="preserve">, 642–646 (2005).</w:t>
      </w:r>
    </w:p>
    <w:bookmarkEnd w:id="358"/>
    <w:bookmarkStart w:id="360" w:name="ref-gussewTimeresolvedFunctional1H2010"/>
    <w:p>
      <w:pPr>
        <w:pStyle w:val="Bibliography"/>
      </w:pPr>
      <w:r>
        <w:t xml:space="preserve">141.</w:t>
      </w:r>
      <w:r>
        <w:t xml:space="preserve"> </w:t>
      </w:r>
      <w:r>
        <w:t xml:space="preserve">	</w:t>
      </w:r>
      <w:r>
        <w:t xml:space="preserve">Gussew, A.</w:t>
      </w:r>
      <w:r>
        <w:t xml:space="preserve"> </w:t>
      </w:r>
      <w:r>
        <w:rPr>
          <w:i/>
          <w:iCs/>
        </w:rPr>
        <w:t xml:space="preserve">et al.</w:t>
      </w:r>
      <w:r>
        <w:t xml:space="preserve"> </w:t>
      </w:r>
      <w:hyperlink r:id="rId359">
        <w:r>
          <w:rPr>
            <w:rStyle w:val="InternetLink"/>
          </w:rPr>
          <w:t xml:space="preserve">Time-resolved functional</w:t>
        </w:r>
        <w:r>
          <w:rPr>
            <w:rStyle w:val="InternetLink"/>
          </w:rPr>
          <w:t xml:space="preserve"> </w:t>
        </w:r>
        <w:r>
          <w:rPr>
            <w:rStyle w:val="InternetLink"/>
          </w:rPr>
          <w:t xml:space="preserve">1H MR</w:t>
        </w:r>
        <w:r>
          <w:rPr>
            <w:rStyle w:val="InternetLink"/>
          </w:rPr>
          <w:t xml:space="preserve"> </w:t>
        </w:r>
        <w:r>
          <w:rPr>
            <w:rStyle w:val="InternetLink"/>
          </w:rPr>
          <w:t xml:space="preserve">spectroscopic detection of glutamate concentration changes in the brain during acute heat pain stimulation</w:t>
        </w:r>
      </w:hyperlink>
      <w:r>
        <w:t xml:space="preserve">.</w:t>
      </w:r>
      <w:r>
        <w:t xml:space="preserve"> </w:t>
      </w:r>
      <w:r>
        <w:rPr>
          <w:i/>
          <w:iCs/>
        </w:rPr>
        <w:t xml:space="preserve">NeuroImage</w:t>
      </w:r>
      <w:r>
        <w:t xml:space="preserve"> </w:t>
      </w:r>
      <w:r>
        <w:rPr>
          <w:b/>
          <w:bCs/>
        </w:rPr>
        <w:t xml:space="preserve">49</w:t>
      </w:r>
      <w:r>
        <w:t xml:space="preserve">, 1895–1902 (2010).</w:t>
      </w:r>
    </w:p>
    <w:bookmarkEnd w:id="360"/>
    <w:bookmarkStart w:id="362" w:name="X80e31e083a8695b6c4a3f9174931ee68430de4b"/>
    <w:p>
      <w:pPr>
        <w:pStyle w:val="Bibliography"/>
      </w:pPr>
      <w:r>
        <w:t xml:space="preserve">142.</w:t>
      </w:r>
      <w:r>
        <w:t xml:space="preserve"> </w:t>
      </w:r>
      <w:r>
        <w:t xml:space="preserve">	</w:t>
      </w:r>
      <w:r>
        <w:t xml:space="preserve">Gutzeit, A.</w:t>
      </w:r>
      <w:r>
        <w:t xml:space="preserve"> </w:t>
      </w:r>
      <w:r>
        <w:rPr>
          <w:i/>
          <w:iCs/>
        </w:rPr>
        <w:t xml:space="preserve">et al.</w:t>
      </w:r>
      <w:r>
        <w:t xml:space="preserve"> </w:t>
      </w:r>
      <w:hyperlink r:id="rId361">
        <w:r>
          <w:rPr>
            <w:rStyle w:val="InternetLink"/>
          </w:rPr>
          <w:t xml:space="preserve">Insula-specific responses induced by dental pain.</w:t>
        </w:r>
        <w:r>
          <w:rPr>
            <w:rStyle w:val="InternetLink"/>
          </w:rPr>
          <w:t xml:space="preserve"> </w:t>
        </w:r>
        <w:r>
          <w:rPr>
            <w:rStyle w:val="InternetLink"/>
          </w:rPr>
          <w:t xml:space="preserve">A</w:t>
        </w:r>
        <w:r>
          <w:rPr>
            <w:rStyle w:val="InternetLink"/>
          </w:rPr>
          <w:t xml:space="preserve"> </w:t>
        </w:r>
        <w:r>
          <w:rPr>
            <w:rStyle w:val="InternetLink"/>
          </w:rPr>
          <w:t xml:space="preserve">proton magnetic resonance spectroscopy study</w:t>
        </w:r>
      </w:hyperlink>
      <w:r>
        <w:t xml:space="preserve">.</w:t>
      </w:r>
      <w:r>
        <w:t xml:space="preserve"> </w:t>
      </w:r>
      <w:r>
        <w:rPr>
          <w:i/>
          <w:iCs/>
        </w:rPr>
        <w:t xml:space="preserve">European Radiology</w:t>
      </w:r>
      <w:r>
        <w:t xml:space="preserve"> </w:t>
      </w:r>
      <w:r>
        <w:rPr>
          <w:b/>
          <w:bCs/>
        </w:rPr>
        <w:t xml:space="preserve">21</w:t>
      </w:r>
      <w:r>
        <w:t xml:space="preserve">, 807–815 (2011).</w:t>
      </w:r>
    </w:p>
    <w:bookmarkEnd w:id="362"/>
    <w:bookmarkStart w:id="364" w:name="ref-mullinsTheoryFunctionalMagnetic2018"/>
    <w:p>
      <w:pPr>
        <w:pStyle w:val="Bibliography"/>
      </w:pPr>
      <w:r>
        <w:t xml:space="preserve">143.</w:t>
      </w:r>
      <w:r>
        <w:t xml:space="preserve"> </w:t>
      </w:r>
      <w:r>
        <w:t xml:space="preserve">	</w:t>
      </w:r>
      <w:r>
        <w:t xml:space="preserve">Mullins, P. G.</w:t>
      </w:r>
      <w:r>
        <w:t xml:space="preserve"> </w:t>
      </w:r>
      <w:hyperlink r:id="rId363">
        <w:r>
          <w:rPr>
            <w:rStyle w:val="InternetLink"/>
          </w:rPr>
          <w:t xml:space="preserve">Towards a theory of functional magnetic resonance spectroscopy (</w:t>
        </w:r>
        <w:r>
          <w:rPr>
            <w:rStyle w:val="InternetLink"/>
          </w:rPr>
          <w:t xml:space="preserve">fMRS</w:t>
        </w:r>
        <w:r>
          <w:rPr>
            <w:rStyle w:val="InternetLink"/>
          </w:rPr>
          <w:t xml:space="preserve">):</w:t>
        </w:r>
        <w:r>
          <w:rPr>
            <w:rStyle w:val="InternetLink"/>
          </w:rPr>
          <w:t xml:space="preserve"> </w:t>
        </w:r>
        <w:r>
          <w:rPr>
            <w:rStyle w:val="InternetLink"/>
          </w:rPr>
          <w:t xml:space="preserve">A</w:t>
        </w:r>
        <w:r>
          <w:rPr>
            <w:rStyle w:val="InternetLink"/>
          </w:rPr>
          <w:t xml:space="preserve"> </w:t>
        </w:r>
        <w:r>
          <w:rPr>
            <w:rStyle w:val="InternetLink"/>
          </w:rPr>
          <w:t xml:space="preserve">meta-analysis and discussion of using</w:t>
        </w:r>
        <w:r>
          <w:rPr>
            <w:rStyle w:val="InternetLink"/>
          </w:rPr>
          <w:t xml:space="preserve"> </w:t>
        </w:r>
        <w:r>
          <w:rPr>
            <w:rStyle w:val="InternetLink"/>
          </w:rPr>
          <w:t xml:space="preserve">MRS</w:t>
        </w:r>
        <w:r>
          <w:rPr>
            <w:rStyle w:val="InternetLink"/>
          </w:rPr>
          <w:t xml:space="preserve"> </w:t>
        </w:r>
        <w:r>
          <w:rPr>
            <w:rStyle w:val="InternetLink"/>
          </w:rPr>
          <w:t xml:space="preserve">to measure changes in neurotransmitters in real time</w:t>
        </w:r>
      </w:hyperlink>
      <w:r>
        <w:t xml:space="preserve">.</w:t>
      </w:r>
      <w:r>
        <w:t xml:space="preserve"> </w:t>
      </w:r>
      <w:r>
        <w:rPr>
          <w:i/>
          <w:iCs/>
        </w:rPr>
        <w:t xml:space="preserve">Scandinavian Journal of Psychology</w:t>
      </w:r>
      <w:r>
        <w:t xml:space="preserve"> </w:t>
      </w:r>
      <w:r>
        <w:rPr>
          <w:b/>
          <w:bCs/>
        </w:rPr>
        <w:t xml:space="preserve">59</w:t>
      </w:r>
      <w:r>
        <w:t xml:space="preserve">, 91–103 (2018).</w:t>
      </w:r>
    </w:p>
    <w:bookmarkEnd w:id="364"/>
    <w:bookmarkStart w:id="366" w:name="ref-dwyerSimultaneousMeasurementBOLD2021"/>
    <w:p>
      <w:pPr>
        <w:pStyle w:val="Bibliography"/>
      </w:pPr>
      <w:r>
        <w:t xml:space="preserve">144.</w:t>
      </w:r>
      <w:r>
        <w:t xml:space="preserve"> </w:t>
      </w:r>
      <w:r>
        <w:t xml:space="preserve">	</w:t>
      </w:r>
      <w:r>
        <w:t xml:space="preserve">Dwyer, G. E.</w:t>
      </w:r>
      <w:r>
        <w:t xml:space="preserve"> </w:t>
      </w:r>
      <w:r>
        <w:rPr>
          <w:i/>
          <w:iCs/>
        </w:rPr>
        <w:t xml:space="preserve">et al.</w:t>
      </w:r>
      <w:r>
        <w:t xml:space="preserve"> </w:t>
      </w:r>
      <w:hyperlink r:id="rId365">
        <w:r>
          <w:rPr>
            <w:rStyle w:val="InternetLink"/>
          </w:rPr>
          <w:t xml:space="preserve">Simultaneous</w:t>
        </w:r>
        <w:r>
          <w:rPr>
            <w:rStyle w:val="InternetLink"/>
          </w:rPr>
          <w:t xml:space="preserve"> </w:t>
        </w:r>
        <w:r>
          <w:rPr>
            <w:rStyle w:val="InternetLink"/>
          </w:rPr>
          <w:t xml:space="preserve">Measurement</w:t>
        </w:r>
        <w:r>
          <w:rPr>
            <w:rStyle w:val="InternetLink"/>
          </w:rPr>
          <w:t xml:space="preserve"> </w:t>
        </w:r>
        <w:r>
          <w:rPr>
            <w:rStyle w:val="InternetLink"/>
          </w:rPr>
          <w:t xml:space="preserve">of the</w:t>
        </w:r>
        <w:r>
          <w:rPr>
            <w:rStyle w:val="InternetLink"/>
          </w:rPr>
          <w:t xml:space="preserve"> </w:t>
        </w:r>
        <w:r>
          <w:rPr>
            <w:rStyle w:val="InternetLink"/>
          </w:rPr>
          <w:t xml:space="preserve">BOLD Effect</w:t>
        </w:r>
        <w:r>
          <w:rPr>
            <w:rStyle w:val="InternetLink"/>
          </w:rPr>
          <w:t xml:space="preserve"> </w:t>
        </w:r>
        <w:r>
          <w:rPr>
            <w:rStyle w:val="InternetLink"/>
          </w:rPr>
          <w:t xml:space="preserve">and</w:t>
        </w:r>
        <w:r>
          <w:rPr>
            <w:rStyle w:val="InternetLink"/>
          </w:rPr>
          <w:t xml:space="preserve"> </w:t>
        </w:r>
        <w:r>
          <w:rPr>
            <w:rStyle w:val="InternetLink"/>
          </w:rPr>
          <w:t xml:space="preserve">Metabolic Changes</w:t>
        </w:r>
        <w:r>
          <w:rPr>
            <w:rStyle w:val="InternetLink"/>
          </w:rPr>
          <w:t xml:space="preserve"> </w:t>
        </w:r>
        <w:r>
          <w:rPr>
            <w:rStyle w:val="InternetLink"/>
          </w:rPr>
          <w:t xml:space="preserve">in</w:t>
        </w:r>
        <w:r>
          <w:rPr>
            <w:rStyle w:val="InternetLink"/>
          </w:rPr>
          <w:t xml:space="preserve"> </w:t>
        </w:r>
        <w:r>
          <w:rPr>
            <w:rStyle w:val="InternetLink"/>
          </w:rPr>
          <w:t xml:space="preserve">Response</w:t>
        </w:r>
        <w:r>
          <w:rPr>
            <w:rStyle w:val="InternetLink"/>
          </w:rPr>
          <w:t xml:space="preserve"> </w:t>
        </w:r>
        <w:r>
          <w:rPr>
            <w:rStyle w:val="InternetLink"/>
          </w:rPr>
          <w:t xml:space="preserve">to</w:t>
        </w:r>
        <w:r>
          <w:rPr>
            <w:rStyle w:val="InternetLink"/>
          </w:rPr>
          <w:t xml:space="preserve"> </w:t>
        </w:r>
        <w:r>
          <w:rPr>
            <w:rStyle w:val="InternetLink"/>
          </w:rPr>
          <w:t xml:space="preserve">Visual Stimulation Using</w:t>
        </w:r>
        <w:r>
          <w:rPr>
            <w:rStyle w:val="InternetLink"/>
          </w:rPr>
          <w:t xml:space="preserve"> </w:t>
        </w:r>
        <w:r>
          <w:rPr>
            <w:rStyle w:val="InternetLink"/>
          </w:rPr>
          <w:t xml:space="preserve">the</w:t>
        </w:r>
        <w:r>
          <w:rPr>
            <w:rStyle w:val="InternetLink"/>
          </w:rPr>
          <w:t xml:space="preserve"> </w:t>
        </w:r>
        <w:r>
          <w:rPr>
            <w:rStyle w:val="InternetLink"/>
          </w:rPr>
          <w:t xml:space="preserve">MEGA-PRESS Sequence</w:t>
        </w:r>
        <w:r>
          <w:rPr>
            <w:rStyle w:val="InternetLink"/>
          </w:rPr>
          <w:t xml:space="preserve"> </w:t>
        </w:r>
        <w:r>
          <w:rPr>
            <w:rStyle w:val="InternetLink"/>
          </w:rPr>
          <w:t xml:space="preserve">at 3</w:t>
        </w:r>
        <w:r>
          <w:rPr>
            <w:rStyle w:val="InternetLink"/>
          </w:rPr>
          <w:t xml:space="preserve"> </w:t>
        </w:r>
        <w:r>
          <w:rPr>
            <w:rStyle w:val="InternetLink"/>
          </w:rPr>
          <w:t xml:space="preserve">T</w:t>
        </w:r>
      </w:hyperlink>
      <w:r>
        <w:t xml:space="preserve">.</w:t>
      </w:r>
      <w:r>
        <w:t xml:space="preserve"> </w:t>
      </w:r>
      <w:r>
        <w:rPr>
          <w:i/>
          <w:iCs/>
        </w:rPr>
        <w:t xml:space="preserve">Frontiers in Human Neuroscience</w:t>
      </w:r>
      <w:r>
        <w:t xml:space="preserve"> </w:t>
      </w:r>
      <w:r>
        <w:rPr>
          <w:b/>
          <w:bCs/>
        </w:rPr>
        <w:t xml:space="preserve">15</w:t>
      </w:r>
      <w:r>
        <w:t xml:space="preserve">, 644079 (2021).</w:t>
      </w:r>
    </w:p>
    <w:bookmarkEnd w:id="366"/>
    <w:bookmarkStart w:id="368" w:name="ref-bellVivoGlxGlu2021"/>
    <w:p>
      <w:pPr>
        <w:pStyle w:val="Bibliography"/>
      </w:pPr>
      <w:r>
        <w:t xml:space="preserve">145.</w:t>
      </w:r>
      <w:r>
        <w:t xml:space="preserve"> </w:t>
      </w:r>
      <w:r>
        <w:t xml:space="preserve">	</w:t>
      </w:r>
      <w:r>
        <w:t xml:space="preserve">Bell, T.</w:t>
      </w:r>
      <w:r>
        <w:t xml:space="preserve"> </w:t>
      </w:r>
      <w:r>
        <w:rPr>
          <w:i/>
          <w:iCs/>
        </w:rPr>
        <w:t xml:space="preserve">et al.</w:t>
      </w:r>
      <w:r>
        <w:t xml:space="preserve"> </w:t>
      </w:r>
      <w:hyperlink r:id="rId367">
        <w:r>
          <w:rPr>
            <w:rStyle w:val="InternetLink"/>
          </w:rPr>
          <w:t xml:space="preserve">In vivo</w:t>
        </w:r>
        <w:r>
          <w:rPr>
            <w:rStyle w:val="InternetLink"/>
          </w:rPr>
          <w:t xml:space="preserve"> </w:t>
        </w:r>
        <w:r>
          <w:rPr>
            <w:rStyle w:val="InternetLink"/>
          </w:rPr>
          <w:t xml:space="preserve">Glx</w:t>
        </w:r>
        <w:r>
          <w:rPr>
            <w:rStyle w:val="InternetLink"/>
          </w:rPr>
          <w:t xml:space="preserve"> </w:t>
        </w:r>
        <w:r>
          <w:rPr>
            <w:rStyle w:val="InternetLink"/>
          </w:rPr>
          <w:t xml:space="preserve">and</w:t>
        </w:r>
        <w:r>
          <w:rPr>
            <w:rStyle w:val="InternetLink"/>
          </w:rPr>
          <w:t xml:space="preserve"> </w:t>
        </w:r>
        <w:r>
          <w:rPr>
            <w:rStyle w:val="InternetLink"/>
          </w:rPr>
          <w:t xml:space="preserve">Glu</w:t>
        </w:r>
        <w:r>
          <w:rPr>
            <w:rStyle w:val="InternetLink"/>
          </w:rPr>
          <w:t xml:space="preserve"> </w:t>
        </w:r>
        <w:r>
          <w:rPr>
            <w:rStyle w:val="InternetLink"/>
          </w:rPr>
          <w:t xml:space="preserve">measurements from</w:t>
        </w:r>
        <w:r>
          <w:rPr>
            <w:rStyle w:val="InternetLink"/>
          </w:rPr>
          <w:t xml:space="preserve"> </w:t>
        </w:r>
        <w:r>
          <w:rPr>
            <w:rStyle w:val="InternetLink"/>
          </w:rPr>
          <w:t xml:space="preserve">GABA-edited MRS</w:t>
        </w:r>
        <w:r>
          <w:rPr>
            <w:rStyle w:val="InternetLink"/>
          </w:rPr>
          <w:t xml:space="preserve"> </w:t>
        </w:r>
        <w:r>
          <w:rPr>
            <w:rStyle w:val="InternetLink"/>
          </w:rPr>
          <w:t xml:space="preserve">at 3</w:t>
        </w:r>
        <w:r>
          <w:rPr>
            <w:rStyle w:val="InternetLink"/>
          </w:rPr>
          <w:t xml:space="preserve"> </w:t>
        </w:r>
        <w:r>
          <w:rPr>
            <w:rStyle w:val="InternetLink"/>
          </w:rPr>
          <w:t xml:space="preserve">T</w:t>
        </w:r>
      </w:hyperlink>
      <w:r>
        <w:t xml:space="preserve">.</w:t>
      </w:r>
      <w:r>
        <w:t xml:space="preserve"> </w:t>
      </w:r>
      <w:r>
        <w:rPr>
          <w:i/>
          <w:iCs/>
        </w:rPr>
        <w:t xml:space="preserve">NMR in biomedicine</w:t>
      </w:r>
      <w:r>
        <w:t xml:space="preserve"> </w:t>
      </w:r>
      <w:r>
        <w:rPr>
          <w:b/>
          <w:bCs/>
        </w:rPr>
        <w:t xml:space="preserve">34</w:t>
      </w:r>
      <w:r>
        <w:t xml:space="preserve">, e4245 (2021).</w:t>
      </w:r>
    </w:p>
    <w:bookmarkEnd w:id="368"/>
    <w:bookmarkStart w:id="370" w:name="ref-thomsonVivoGlxMeasurements2026"/>
    <w:p>
      <w:pPr>
        <w:pStyle w:val="Bibliography"/>
      </w:pPr>
      <w:r>
        <w:t xml:space="preserve">146.</w:t>
      </w:r>
      <w:r>
        <w:t xml:space="preserve"> </w:t>
      </w:r>
      <w:r>
        <w:t xml:space="preserve">	</w:t>
      </w:r>
      <w:r>
        <w:t xml:space="preserve">Thomson, A. R.</w:t>
      </w:r>
      <w:r>
        <w:t xml:space="preserve"> </w:t>
      </w:r>
      <w:r>
        <w:rPr>
          <w:i/>
          <w:iCs/>
        </w:rPr>
        <w:t xml:space="preserve">et al.</w:t>
      </w:r>
      <w:r>
        <w:t xml:space="preserve"> </w:t>
      </w:r>
      <w:hyperlink r:id="rId369">
        <w:r>
          <w:rPr>
            <w:rStyle w:val="InternetLink"/>
          </w:rPr>
          <w:t xml:space="preserve">In</w:t>
        </w:r>
        <w:r>
          <w:rPr>
            <w:rStyle w:val="InternetLink"/>
          </w:rPr>
          <w:t xml:space="preserve"> </w:t>
        </w:r>
        <w:r>
          <w:rPr>
            <w:rStyle w:val="InternetLink"/>
          </w:rPr>
          <w:t xml:space="preserve">Vivo Glx Measurements From GABA</w:t>
        </w:r>
        <w:r>
          <w:rPr>
            <w:rStyle w:val="InternetLink"/>
          </w:rPr>
          <w:t xml:space="preserve">-</w:t>
        </w:r>
        <w:r>
          <w:rPr>
            <w:rStyle w:val="InternetLink"/>
          </w:rPr>
          <w:t xml:space="preserve">Edited HERMES</w:t>
        </w:r>
        <w:r>
          <w:rPr>
            <w:rStyle w:val="InternetLink"/>
          </w:rPr>
          <w:t xml:space="preserve"> </w:t>
        </w:r>
        <w:r>
          <w:rPr>
            <w:rStyle w:val="InternetLink"/>
          </w:rPr>
          <w:t xml:space="preserve">at 3</w:t>
        </w:r>
        <w:r>
          <w:rPr>
            <w:rStyle w:val="InternetLink"/>
          </w:rPr>
          <w:t xml:space="preserve"> </w:t>
        </w:r>
        <w:r>
          <w:rPr>
            <w:rStyle w:val="InternetLink"/>
          </w:rPr>
          <w:t xml:space="preserve">T Are Not Consistent With Those From Short</w:t>
        </w:r>
        <w:r>
          <w:rPr>
            <w:rStyle w:val="InternetLink"/>
          </w:rPr>
          <w:t xml:space="preserve">-</w:t>
        </w:r>
        <w:r>
          <w:rPr>
            <w:rStyle w:val="InternetLink"/>
          </w:rPr>
          <w:t xml:space="preserve">TE PRESS Across Scanners</w:t>
        </w:r>
        <w:r>
          <w:rPr>
            <w:rStyle w:val="InternetLink"/>
          </w:rPr>
          <w:t xml:space="preserve">,</w:t>
        </w:r>
        <w:r>
          <w:rPr>
            <w:rStyle w:val="InternetLink"/>
          </w:rPr>
          <w:t xml:space="preserve"> </w:t>
        </w:r>
        <w:r>
          <w:rPr>
            <w:rStyle w:val="InternetLink"/>
          </w:rPr>
          <w:t xml:space="preserve">Brain Regions</w:t>
        </w:r>
        <w:r>
          <w:rPr>
            <w:rStyle w:val="InternetLink"/>
          </w:rPr>
          <w:t xml:space="preserve">,</w:t>
        </w:r>
        <w:r>
          <w:rPr>
            <w:rStyle w:val="InternetLink"/>
          </w:rPr>
          <w:t xml:space="preserve"> </w:t>
        </w:r>
        <w:r>
          <w:rPr>
            <w:rStyle w:val="InternetLink"/>
          </w:rPr>
          <w:t xml:space="preserve">Diagnostic</w:t>
        </w:r>
        <w:r>
          <w:rPr>
            <w:rStyle w:val="InternetLink"/>
          </w:rPr>
          <w:t xml:space="preserve"> </w:t>
        </w:r>
        <w:r>
          <w:rPr>
            <w:rStyle w:val="InternetLink"/>
          </w:rPr>
          <w:t xml:space="preserve">and</w:t>
        </w:r>
        <w:r>
          <w:rPr>
            <w:rStyle w:val="InternetLink"/>
          </w:rPr>
          <w:t xml:space="preserve"> </w:t>
        </w:r>
        <w:r>
          <w:rPr>
            <w:rStyle w:val="InternetLink"/>
          </w:rPr>
          <w:t xml:space="preserve">Age Groups</w:t>
        </w:r>
      </w:hyperlink>
      <w:r>
        <w:t xml:space="preserve">.</w:t>
      </w:r>
      <w:r>
        <w:t xml:space="preserve"> </w:t>
      </w:r>
      <w:r>
        <w:rPr>
          <w:i/>
          <w:iCs/>
        </w:rPr>
        <w:t xml:space="preserve">NMR in Biomedicine</w:t>
      </w:r>
      <w:r>
        <w:t xml:space="preserve"> </w:t>
      </w:r>
      <w:r>
        <w:rPr>
          <w:b/>
          <w:bCs/>
        </w:rPr>
        <w:t xml:space="preserve">39</w:t>
      </w:r>
      <w:r>
        <w:t xml:space="preserve">, e70171 (2026).</w:t>
      </w:r>
    </w:p>
    <w:bookmarkEnd w:id="370"/>
    <w:bookmarkStart w:id="372" w:name="ref-maddockEstimatingGlutamateGlx2018"/>
    <w:p>
      <w:pPr>
        <w:pStyle w:val="Bibliography"/>
      </w:pPr>
      <w:r>
        <w:t xml:space="preserve">147.</w:t>
      </w:r>
      <w:r>
        <w:t xml:space="preserve"> </w:t>
      </w:r>
      <w:r>
        <w:t xml:space="preserve">	</w:t>
      </w:r>
      <w:r>
        <w:t xml:space="preserve">Maddock, R. J., Caton, M. D. &amp; Ragland, J. D.</w:t>
      </w:r>
      <w:r>
        <w:t xml:space="preserve"> </w:t>
      </w:r>
      <w:hyperlink r:id="rId371">
        <w:r>
          <w:rPr>
            <w:rStyle w:val="InternetLink"/>
          </w:rPr>
          <w:t xml:space="preserve">Estimating glutamate and</w:t>
        </w:r>
        <w:r>
          <w:rPr>
            <w:rStyle w:val="InternetLink"/>
          </w:rPr>
          <w:t xml:space="preserve"> </w:t>
        </w:r>
        <w:r>
          <w:rPr>
            <w:rStyle w:val="InternetLink"/>
          </w:rPr>
          <w:t xml:space="preserve">Glx</w:t>
        </w:r>
        <w:r>
          <w:rPr>
            <w:rStyle w:val="InternetLink"/>
          </w:rPr>
          <w:t xml:space="preserve"> </w:t>
        </w:r>
        <w:r>
          <w:rPr>
            <w:rStyle w:val="InternetLink"/>
          </w:rPr>
          <w:t xml:space="preserve">from</w:t>
        </w:r>
        <w:r>
          <w:rPr>
            <w:rStyle w:val="InternetLink"/>
          </w:rPr>
          <w:t xml:space="preserve"> </w:t>
        </w:r>
        <w:r>
          <w:rPr>
            <w:rStyle w:val="InternetLink"/>
          </w:rPr>
          <w:t xml:space="preserve">GABA-optimized MEGA-PRESS</w:t>
        </w:r>
        <w:r>
          <w:rPr>
            <w:rStyle w:val="InternetLink"/>
          </w:rPr>
          <w:t xml:space="preserve">:</w:t>
        </w:r>
        <w:r>
          <w:rPr>
            <w:rStyle w:val="InternetLink"/>
          </w:rPr>
          <w:t xml:space="preserve"> </w:t>
        </w:r>
        <w:r>
          <w:rPr>
            <w:rStyle w:val="InternetLink"/>
          </w:rPr>
          <w:t xml:space="preserve">Off-resonance</w:t>
        </w:r>
        <w:r>
          <w:rPr>
            <w:rStyle w:val="InternetLink"/>
          </w:rPr>
          <w:t xml:space="preserve"> </w:t>
        </w:r>
        <w:r>
          <w:rPr>
            <w:rStyle w:val="InternetLink"/>
          </w:rPr>
          <w:t xml:space="preserve">but not difference spectra values correspond to</w:t>
        </w:r>
        <w:r>
          <w:rPr>
            <w:rStyle w:val="InternetLink"/>
          </w:rPr>
          <w:t xml:space="preserve"> </w:t>
        </w:r>
        <w:r>
          <w:rPr>
            <w:rStyle w:val="InternetLink"/>
          </w:rPr>
          <w:t xml:space="preserve">PRESS</w:t>
        </w:r>
        <w:r>
          <w:rPr>
            <w:rStyle w:val="InternetLink"/>
          </w:rPr>
          <w:t xml:space="preserve"> </w:t>
        </w:r>
        <w:r>
          <w:rPr>
            <w:rStyle w:val="InternetLink"/>
          </w:rPr>
          <w:t xml:space="preserve">values</w:t>
        </w:r>
      </w:hyperlink>
      <w:r>
        <w:t xml:space="preserve">.</w:t>
      </w:r>
      <w:r>
        <w:t xml:space="preserve"> </w:t>
      </w:r>
      <w:r>
        <w:rPr>
          <w:i/>
          <w:iCs/>
        </w:rPr>
        <w:t xml:space="preserve">Psychiatry Research. Neuroimaging</w:t>
      </w:r>
      <w:r>
        <w:t xml:space="preserve"> </w:t>
      </w:r>
      <w:r>
        <w:rPr>
          <w:b/>
          <w:bCs/>
        </w:rPr>
        <w:t xml:space="preserve">279</w:t>
      </w:r>
      <w:r>
        <w:t xml:space="preserve">, 22–30 (2018).</w:t>
      </w:r>
    </w:p>
    <w:bookmarkEnd w:id="372"/>
    <w:bookmarkStart w:id="374" w:name="Xfbc86cb94387a9f8ee717baa5946394f14f40d9"/>
    <w:p>
      <w:pPr>
        <w:pStyle w:val="Bibliography"/>
      </w:pPr>
      <w:r>
        <w:t xml:space="preserve">148.</w:t>
      </w:r>
      <w:r>
        <w:t xml:space="preserve"> </w:t>
      </w:r>
      <w:r>
        <w:t xml:space="preserve">	</w:t>
      </w:r>
      <w:r>
        <w:t xml:space="preserve">Archibald, J., Bouchard, A. E., Noeske, R., Shungu, D. C. &amp; Mikkelsen, M. Test-retest reliability of multi-metabolite edited</w:t>
      </w:r>
      <w:r>
        <w:t xml:space="preserve"> </w:t>
      </w:r>
      <w:r>
        <w:t xml:space="preserve">MRS</w:t>
      </w:r>
      <w:r>
        <w:t xml:space="preserve"> </w:t>
      </w:r>
      <w:r>
        <w:t xml:space="preserve">at</w:t>
      </w:r>
      <w:r>
        <w:t xml:space="preserve"> </w:t>
      </w:r>
      <w:r>
        <w:t xml:space="preserve">3T</w:t>
      </w:r>
      <w:r>
        <w:t xml:space="preserve"> </w:t>
      </w:r>
      <w:r>
        <w:t xml:space="preserve">using</w:t>
      </w:r>
      <w:r>
        <w:t xml:space="preserve"> </w:t>
      </w:r>
      <w:r>
        <w:t xml:space="preserve">PRESS</w:t>
      </w:r>
      <w:r>
        <w:t xml:space="preserve"> </w:t>
      </w:r>
      <w:r>
        <w:t xml:space="preserve">and</w:t>
      </w:r>
      <w:r>
        <w:t xml:space="preserve"> </w:t>
      </w:r>
      <w:r>
        <w:t xml:space="preserve">sLASER</w:t>
      </w:r>
      <w:r>
        <w:t xml:space="preserve">.</w:t>
      </w:r>
      <w:r>
        <w:t xml:space="preserve"> </w:t>
      </w:r>
      <w:r>
        <w:rPr>
          <w:i/>
          <w:iCs/>
        </w:rPr>
        <w:t xml:space="preserve">bioRxiv: The Preprint Server for Biology</w:t>
      </w:r>
      <w:r>
        <w:t xml:space="preserve"> </w:t>
      </w:r>
      <w:r>
        <w:t xml:space="preserve">2025.06.07.657685 (2025) doi:</w:t>
      </w:r>
      <w:hyperlink r:id="rId373">
        <w:r>
          <w:rPr>
            <w:rStyle w:val="InternetLink"/>
          </w:rPr>
          <w:t xml:space="preserve">10.1101/2025.06.07.657685</w:t>
        </w:r>
      </w:hyperlink>
      <w:r>
        <w:t xml:space="preserve">.</w:t>
      </w:r>
    </w:p>
    <w:bookmarkEnd w:id="374"/>
    <w:bookmarkEnd w:id="375"/>
    <w:bookmarkEnd w:id="376"/>
    <w:bookmarkStart w:id="427" w:name="supplementary-material"/>
    <w:p>
      <w:pPr>
        <w:pStyle w:val="Heading1"/>
      </w:pPr>
      <w:r>
        <w:t xml:space="preserve">Supplementary Material</w:t>
      </w:r>
    </w:p>
    <w:bookmarkStart w:id="379" w:name="mrs-quality"/>
    <w:p>
      <w:pPr>
        <w:pStyle w:val="Heading2"/>
      </w:pPr>
      <w:r>
        <w:t xml:space="preserve">MRS quality</w:t>
      </w:r>
    </w:p>
    <w:p>
      <w:pPr>
        <w:pStyle w:val="FirstParagraph"/>
      </w:pPr>
      <w:r>
        <w:t xml:space="preserve">A summary of MRS quality, such as water FWHM, Cr SNR, and frequency shift are provided in</w:t>
      </w:r>
      <w:r>
        <w:t xml:space="preserve"> </w:t>
      </w:r>
      <w:hyperlink w:anchor="supptbl-quality">
        <w:r>
          <w:rPr>
            <w:rStyle w:val="InternetLink"/>
          </w:rPr>
          <w:t xml:space="preserve">Table S1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7" w:name="supptbl-quality"/>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Measure</w:t>
                  </w:r>
                </w:p>
              </w:tc>
              <w:tc>
                <w:tcPr/>
                <w:p>
                  <w:pPr>
                    <w:pStyle w:val="Compact"/>
                    <w:jc w:val="left"/>
                    <w:jc w:val="center"/>
                  </w:pPr>
                  <w:r>
                    <w:t xml:space="preserve">Rest sLASER</w:t>
                  </w:r>
                </w:p>
              </w:tc>
              <w:tc>
                <w:tcPr/>
                <w:p>
                  <w:pPr>
                    <w:pStyle w:val="Compact"/>
                    <w:jc w:val="left"/>
                    <w:jc w:val="center"/>
                  </w:pPr>
                  <w:r>
                    <w:t xml:space="preserve">Rest MEGA-PRESS</w:t>
                  </w:r>
                </w:p>
              </w:tc>
              <w:tc>
                <w:tcPr/>
                <w:p>
                  <w:pPr>
                    <w:pStyle w:val="Compact"/>
                    <w:jc w:val="left"/>
                    <w:jc w:val="center"/>
                  </w:pPr>
                  <w:r>
                    <w:t xml:space="preserve">Movie sLASER</w:t>
                  </w:r>
                </w:p>
              </w:tc>
              <w:tc>
                <w:tcPr/>
                <w:p>
                  <w:pPr>
                    <w:pStyle w:val="Compact"/>
                    <w:jc w:val="left"/>
                    <w:jc w:val="center"/>
                  </w:pPr>
                  <w:r>
                    <w:t xml:space="preserve">Movie MEGA-PRESS</w:t>
                  </w:r>
                </w:p>
              </w:tc>
            </w:tr>
            <w:tr>
              <w:tc>
                <w:tcPr/>
                <w:p>
                  <w:pPr>
                    <w:pStyle w:val="Compact"/>
                    <w:jc w:val="left"/>
                    <w:jc w:val="center"/>
                  </w:pPr>
                  <w:r>
                    <w:t xml:space="preserve">water FWHM (Hz)</w:t>
                  </w:r>
                </w:p>
              </w:tc>
              <w:tc>
                <w:tcPr/>
                <w:p>
                  <w:pPr>
                    <w:pStyle w:val="Compact"/>
                    <w:jc w:val="left"/>
                    <w:jc w:val="center"/>
                  </w:pPr>
                  <w:r>
                    <w:t xml:space="preserve">8.47 ± 0.66</w:t>
                  </w:r>
                </w:p>
              </w:tc>
              <w:tc>
                <w:tcPr/>
                <w:p>
                  <w:pPr>
                    <w:pStyle w:val="Compact"/>
                    <w:jc w:val="left"/>
                    <w:jc w:val="center"/>
                  </w:pPr>
                  <w:r>
                    <w:t xml:space="preserve">7.86 ± 0.8</w:t>
                  </w:r>
                </w:p>
              </w:tc>
              <w:tc>
                <w:tcPr/>
                <w:p>
                  <w:pPr>
                    <w:pStyle w:val="Compact"/>
                    <w:jc w:val="left"/>
                    <w:jc w:val="center"/>
                  </w:pPr>
                  <w:r>
                    <w:t xml:space="preserve">8.32 ± 0.72</w:t>
                  </w:r>
                </w:p>
              </w:tc>
              <w:tc>
                <w:tcPr/>
                <w:p>
                  <w:pPr>
                    <w:pStyle w:val="Compact"/>
                    <w:jc w:val="left"/>
                    <w:jc w:val="center"/>
                  </w:pPr>
                  <w:r>
                    <w:t xml:space="preserve">7.95 ± 0.82</w:t>
                  </w:r>
                </w:p>
              </w:tc>
            </w:tr>
            <w:tr>
              <w:tc>
                <w:tcPr/>
                <w:p>
                  <w:pPr>
                    <w:pStyle w:val="Compact"/>
                    <w:jc w:val="left"/>
                    <w:jc w:val="center"/>
                  </w:pPr>
                  <w:r>
                    <w:t xml:space="preserve">Cr SNR</w:t>
                  </w:r>
                </w:p>
              </w:tc>
              <w:tc>
                <w:tcPr/>
                <w:p>
                  <w:pPr>
                    <w:pStyle w:val="Compact"/>
                    <w:jc w:val="left"/>
                    <w:jc w:val="center"/>
                  </w:pPr>
                  <w:r>
                    <w:t xml:space="preserve">147.61 ± 20.46</w:t>
                  </w:r>
                </w:p>
              </w:tc>
              <w:tc>
                <w:tcPr/>
                <w:p>
                  <w:pPr>
                    <w:pStyle w:val="Compact"/>
                    <w:jc w:val="left"/>
                    <w:jc w:val="center"/>
                  </w:pPr>
                  <w:r>
                    <w:t xml:space="preserve">101.05 ± 21.42</w:t>
                  </w:r>
                </w:p>
              </w:tc>
              <w:tc>
                <w:tcPr/>
                <w:p>
                  <w:pPr>
                    <w:pStyle w:val="Compact"/>
                    <w:jc w:val="left"/>
                    <w:jc w:val="center"/>
                  </w:pPr>
                  <w:r>
                    <w:t xml:space="preserve">140.6 ± 26</w:t>
                  </w:r>
                </w:p>
              </w:tc>
              <w:tc>
                <w:tcPr/>
                <w:p>
                  <w:pPr>
                    <w:pStyle w:val="Compact"/>
                    <w:jc w:val="left"/>
                    <w:jc w:val="center"/>
                  </w:pPr>
                  <w:r>
                    <w:t xml:space="preserve">98.75 ± 20.01</w:t>
                  </w:r>
                </w:p>
              </w:tc>
            </w:tr>
            <w:tr>
              <w:tc>
                <w:tcPr/>
                <w:p>
                  <w:pPr>
                    <w:pStyle w:val="Compact"/>
                    <w:jc w:val="left"/>
                    <w:jc w:val="center"/>
                  </w:pPr>
                  <w:r>
                    <w:t xml:space="preserve">Frequency Shift (ppm)</w:t>
                  </w:r>
                </w:p>
              </w:tc>
              <w:tc>
                <w:tcPr/>
                <w:p>
                  <w:pPr>
                    <w:pStyle w:val="Compact"/>
                    <w:jc w:val="left"/>
                    <w:jc w:val="center"/>
                  </w:pPr>
                  <w:r>
                    <w:t xml:space="preserve">-3.08 ± 0.81</w:t>
                  </w:r>
                </w:p>
              </w:tc>
              <w:tc>
                <w:tcPr/>
                <w:p>
                  <w:pPr>
                    <w:pStyle w:val="Compact"/>
                    <w:jc w:val="left"/>
                    <w:jc w:val="center"/>
                  </w:pPr>
                  <w:r>
                    <w:t xml:space="preserve">-3.98 ± 0.94</w:t>
                  </w:r>
                </w:p>
              </w:tc>
              <w:tc>
                <w:tcPr/>
                <w:p>
                  <w:pPr>
                    <w:pStyle w:val="Compact"/>
                    <w:jc w:val="left"/>
                    <w:jc w:val="center"/>
                  </w:pPr>
                  <w:r>
                    <w:t xml:space="preserve">-3.12 ± 0.76</w:t>
                  </w:r>
                </w:p>
              </w:tc>
              <w:tc>
                <w:tcPr/>
                <w:p>
                  <w:pPr>
                    <w:pStyle w:val="Compact"/>
                    <w:jc w:val="left"/>
                    <w:jc w:val="center"/>
                  </w:pPr>
                  <w:r>
                    <w:t xml:space="preserve">-3.85 ± 1.05</w:t>
                  </w:r>
                </w:p>
              </w:tc>
            </w:tr>
          </w:tbl>
          <w:p>
            <w:pPr>
              <w:jc w:val="center"/>
            </w:pPr>
            <w:pPr>
              <w:jc w:val="start"/>
              <w:spacing w:before="200"/>
              <w:pStyle w:val="ImageCaption"/>
            </w:pPr>
            <w:r>
              <w:t xml:space="preserve">Table S1</w:t>
            </w:r>
            <w:r>
              <w:rPr>
                <w:b/>
                <w:bCs/>
              </w:rPr>
              <w:t xml:space="preserve">.</w:t>
            </w:r>
            <w:r>
              <w:t xml:space="preserve"> </w:t>
            </w:r>
            <w:r>
              <w:rPr>
                <w:b/>
                <w:bCs/>
              </w:rPr>
              <w:t xml:space="preserve">Summary of spectroscopy quality measures.</w:t>
            </w:r>
            <w:r>
              <w:t xml:space="preserve"> </w:t>
            </w:r>
            <w:r>
              <w:t xml:space="preserve">FWHM = full-width half-maximum; Cr = creatine; SNR = signal-to-noise ratio.</w:t>
            </w:r>
          </w:p>
          <w:bookmarkEnd w:id="377"/>
        </w:tc>
      </w:tr>
    </w:tbl>
    <w:p>
      <w:pPr>
        <w:pStyle w:val="TextBody"/>
      </w:pPr>
      <w:r>
        <w:t xml:space="preserve">A summary of voxel placement statistics are provided in</w:t>
      </w:r>
      <w:r>
        <w:t xml:space="preserve"> </w:t>
      </w:r>
      <w:hyperlink w:anchor="supptbl-singlevoxel">
        <w:r>
          <w:rPr>
            <w:rStyle w:val="InternetLink"/>
          </w:rPr>
          <w:t xml:space="preserve">Table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8" w:name="supptbl-singlevoxel"/>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Measure</w:t>
                  </w:r>
                </w:p>
              </w:tc>
              <w:tc>
                <w:tcPr/>
                <w:p>
                  <w:pPr>
                    <w:pStyle w:val="Compact"/>
                    <w:jc w:val="left"/>
                    <w:jc w:val="center"/>
                  </w:pPr>
                  <w:r>
                    <w:t xml:space="preserve">Amount</w:t>
                  </w:r>
                </w:p>
              </w:tc>
            </w:tr>
            <w:tr>
              <w:tc>
                <w:tcPr/>
                <w:p>
                  <w:pPr>
                    <w:pStyle w:val="Compact"/>
                    <w:jc w:val="left"/>
                    <w:jc w:val="center"/>
                  </w:pPr>
                  <w:r>
                    <w:t xml:space="preserve">Voxel Rotation (degrees)</w:t>
                  </w:r>
                </w:p>
              </w:tc>
              <w:tc>
                <w:tcPr/>
                <w:p>
                  <w:pPr>
                    <w:pStyle w:val="Compact"/>
                    <w:jc w:val="left"/>
                    <w:jc w:val="center"/>
                  </w:pPr>
                  <w:r>
                    <w:t xml:space="preserve">-39 ± 8.13</w:t>
                  </w:r>
                </w:p>
              </w:tc>
            </w:tr>
            <w:tr>
              <w:tc>
                <w:tcPr/>
                <w:p>
                  <w:pPr>
                    <w:pStyle w:val="Compact"/>
                    <w:jc w:val="left"/>
                    <w:jc w:val="center"/>
                  </w:pPr>
                  <w:r>
                    <w:t xml:space="preserve">GM Tissue Fraction</w:t>
                  </w:r>
                </w:p>
              </w:tc>
              <w:tc>
                <w:tcPr/>
                <w:p>
                  <w:pPr>
                    <w:pStyle w:val="Compact"/>
                    <w:jc w:val="left"/>
                    <w:jc w:val="center"/>
                  </w:pPr>
                  <w:r>
                    <w:t xml:space="preserve">0.64 ± 0.04</w:t>
                  </w:r>
                </w:p>
              </w:tc>
            </w:tr>
            <w:tr>
              <w:tc>
                <w:tcPr/>
                <w:p>
                  <w:pPr>
                    <w:pStyle w:val="Compact"/>
                    <w:jc w:val="left"/>
                    <w:jc w:val="center"/>
                  </w:pPr>
                  <w:r>
                    <w:t xml:space="preserve">WM Tissue Fraction</w:t>
                  </w:r>
                </w:p>
              </w:tc>
              <w:tc>
                <w:tcPr/>
                <w:p>
                  <w:pPr>
                    <w:pStyle w:val="Compact"/>
                    <w:jc w:val="left"/>
                    <w:jc w:val="center"/>
                  </w:pPr>
                  <w:r>
                    <w:t xml:space="preserve">0.24 ± 0.04</w:t>
                  </w:r>
                </w:p>
              </w:tc>
            </w:tr>
            <w:tr>
              <w:tc>
                <w:tcPr/>
                <w:p>
                  <w:pPr>
                    <w:pStyle w:val="Compact"/>
                    <w:jc w:val="left"/>
                    <w:jc w:val="center"/>
                  </w:pPr>
                  <w:r>
                    <w:t xml:space="preserve">CSF Tissue Fraction</w:t>
                  </w:r>
                </w:p>
              </w:tc>
              <w:tc>
                <w:tcPr/>
                <w:p>
                  <w:pPr>
                    <w:pStyle w:val="Compact"/>
                    <w:jc w:val="left"/>
                    <w:jc w:val="center"/>
                  </w:pPr>
                  <w:r>
                    <w:t xml:space="preserve">0.12 ± 0.03</w:t>
                  </w:r>
                </w:p>
              </w:tc>
            </w:tr>
          </w:tbl>
          <w:p>
            <w:pPr>
              <w:jc w:val="center"/>
            </w:pPr>
            <w:pPr>
              <w:jc w:val="start"/>
              <w:spacing w:before="200"/>
              <w:pStyle w:val="ImageCaption"/>
            </w:pPr>
            <w:r>
              <w:t xml:space="preserve">Table S2</w:t>
            </w:r>
            <w:r>
              <w:rPr>
                <w:b/>
                <w:bCs/>
              </w:rPr>
              <w:t xml:space="preserve">.</w:t>
            </w:r>
            <w:r>
              <w:t xml:space="preserve"> </w:t>
            </w:r>
            <w:r>
              <w:rPr>
                <w:b/>
                <w:bCs/>
              </w:rPr>
              <w:t xml:space="preserve">Summary of spectroscopy voxel placement values</w:t>
            </w:r>
            <w:r>
              <w:t xml:space="preserve"> </w:t>
            </w:r>
            <w:r>
              <w:t xml:space="preserve">GM = grey matter; WM = white matter; CSF = cerebrospinal fluid.</w:t>
            </w:r>
          </w:p>
          <w:bookmarkEnd w:id="378"/>
        </w:tc>
      </w:tr>
    </w:tbl>
    <w:bookmarkEnd w:id="379"/>
    <w:bookmarkStart w:id="386" w:name="linear-mixed-effects-model-diagnostics"/>
    <w:p>
      <w:pPr>
        <w:pStyle w:val="Heading2"/>
      </w:pPr>
      <w:r>
        <w:t xml:space="preserve">Linear-mixed effects model diagnostics</w:t>
      </w:r>
    </w:p>
    <w:p>
      <w:pPr>
        <w:pStyle w:val="FirstParagraph"/>
      </w:pPr>
      <w:r>
        <w:t xml:space="preserve">Linear-mixed effects model diagnostics are provided in</w:t>
      </w:r>
      <w:r>
        <w:t xml:space="preserve"> </w:t>
      </w:r>
      <w:hyperlink w:anchor="suppfig-lmemdiag">
        <w:r>
          <w:rPr>
            <w:rStyle w:val="InternetLink"/>
          </w:rPr>
          <w:t xml:space="preserve">Figure S1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3" w:name="suppfig-lmemdiag"/>
          <w:p>
            <w:pPr>
              <w:jc w:val="center"/>
            </w:pPr>
            <w:r>
              <w:drawing>
                <wp:inline>
                  <wp:extent cx="4620126" cy="4620126"/>
                  <wp:effectExtent b="0" l="0" r="0" t="0"/>
                  <wp:docPr descr="" title="" id="381" name="Picture"/>
                  <a:graphic>
                    <a:graphicData uri="http://schemas.openxmlformats.org/drawingml/2006/picture">
                      <pic:pic>
                        <pic:nvPicPr>
                          <pic:cNvPr descr="index_files/figure-docx/unnamed-chunk-10-1.png" id="382" name="Picture"/>
                          <pic:cNvPicPr>
                            <a:picLocks noChangeArrowheads="1" noChangeAspect="1"/>
                          </pic:cNvPicPr>
                        </pic:nvPicPr>
                        <pic:blipFill>
                          <a:blip r:embed="rId380"/>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w:t>
            </w:r>
            <w:r>
              <w:rPr>
                <w:b/>
                <w:bCs/>
              </w:rPr>
              <w:t xml:space="preserve">.</w:t>
            </w:r>
            <w:r>
              <w:t xml:space="preserve"> </w:t>
            </w:r>
            <w:r>
              <w:rPr>
                <w:b/>
                <w:bCs/>
              </w:rPr>
              <w:t xml:space="preserve">Linear-mixed effects model tests for normality.</w:t>
            </w:r>
            <w:r>
              <w:t xml:space="preserve"> </w:t>
            </w:r>
            <w:r>
              <w:t xml:space="preserve">Model diagnostics for the linear mixed effects model predicting Hurst exponent from the EI ratio. A) Residuals vs. fitted values showing homoscedasticity. B) Histogram of residuals. C) Q-Q plot indicating normally distributed residuals.</w:t>
            </w:r>
          </w:p>
          <w:bookmarkEnd w:id="383"/>
        </w:tc>
      </w:tr>
    </w:tbl>
    <w:p>
      <w:pPr>
        <w:pStyle w:val="TextBody"/>
      </w:pPr>
      <w:r>
        <w:t xml:space="preserve">We report Spearman correlations between E:I and H within each condition (</w:t>
      </w:r>
      <w:hyperlink w:anchor="supptbl-spearmanresults">
        <w:r>
          <w:rPr>
            <w:rStyle w:val="InternetLink"/>
          </w:rPr>
          <w:t xml:space="preserve">Table S3</w:t>
        </w:r>
      </w:hyperlink>
      <w:r>
        <w:t xml:space="preserve">). Spearman rho values were modest and negative (Movie:</w:t>
      </w:r>
      <w:r>
        <w:t xml:space="preserve"> </w:t>
      </w:r>
      <m:oMath>
        <m:r>
          <m:t>ρ</m:t>
        </m:r>
      </m:oMath>
      <w:r>
        <w:t xml:space="preserve"> </w:t>
      </w:r>
      <w:r>
        <w:t xml:space="preserve">= -0.3, p = 0.23; Rest:</w:t>
      </w:r>
      <w:r>
        <w:t xml:space="preserve"> </w:t>
      </w:r>
      <m:oMath>
        <m:r>
          <m:t>ρ</m:t>
        </m:r>
      </m:oMath>
      <w:r>
        <w:t xml:space="preserve"> </w:t>
      </w:r>
      <w:r>
        <w:t xml:space="preserve">= -0.12, p = 0.62), and consistent with the primary analyses in direction but not statistically significant.</w:t>
      </w:r>
    </w:p>
    <w:tbl>
      <w:tblPr>
        <w:tblStyle w:val="Table"/>
        <w:tblW w:type="pct" w:w="5000"/>
        <w:tblLayout w:type="fixed"/>
        <w:tblLook w:firstRow="0" w:lastRow="0" w:firstColumn="0" w:lastColumn="0" w:noHBand="0" w:noVBand="0" w:val="0000"/>
      </w:tblPr>
      <w:tblGrid>
        <w:gridCol w:w="7920"/>
      </w:tblGrid>
      <w:tr>
        <w:tc>
          <w:tcPr/>
          <w:bookmarkStart w:id="384" w:name="supptbl-spearmanresults"/>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Condition</w:t>
                  </w:r>
                </w:p>
              </w:tc>
              <w:tc>
                <w:tcPr/>
                <w:p>
                  <w:pPr>
                    <w:pStyle w:val="Compact"/>
                    <w:jc w:val="right"/>
                    <w:jc w:val="center"/>
                  </w:pPr>
                  <w:r>
                    <w:t xml:space="preserve">spearman_ei_hurst</w:t>
                  </w:r>
                </w:p>
              </w:tc>
              <w:tc>
                <w:tcPr/>
                <w:p>
                  <w:pPr>
                    <w:pStyle w:val="Compact"/>
                    <w:jc w:val="right"/>
                    <w:jc w:val="center"/>
                  </w:pPr>
                  <w:r>
                    <w:t xml:space="preserve">p_value</w:t>
                  </w:r>
                </w:p>
              </w:tc>
            </w:tr>
            <w:tr>
              <w:tc>
                <w:tcPr/>
                <w:p>
                  <w:pPr>
                    <w:pStyle w:val="Compact"/>
                    <w:jc w:val="left"/>
                    <w:jc w:val="center"/>
                  </w:pPr>
                  <w:r>
                    <w:t xml:space="preserve">Movie</w:t>
                  </w:r>
                </w:p>
              </w:tc>
              <w:tc>
                <w:tcPr/>
                <w:p>
                  <w:pPr>
                    <w:pStyle w:val="Compact"/>
                    <w:jc w:val="right"/>
                    <w:jc w:val="center"/>
                  </w:pPr>
                  <w:r>
                    <w:t xml:space="preserve">-0.300</w:t>
                  </w:r>
                </w:p>
              </w:tc>
              <w:tc>
                <w:tcPr/>
                <w:p>
                  <w:pPr>
                    <w:pStyle w:val="Compact"/>
                    <w:jc w:val="right"/>
                    <w:jc w:val="center"/>
                  </w:pPr>
                  <w:r>
                    <w:t xml:space="preserve">0.225</w:t>
                  </w:r>
                </w:p>
              </w:tc>
            </w:tr>
            <w:tr>
              <w:tc>
                <w:tcPr/>
                <w:p>
                  <w:pPr>
                    <w:pStyle w:val="Compact"/>
                    <w:jc w:val="left"/>
                    <w:jc w:val="center"/>
                  </w:pPr>
                  <w:r>
                    <w:t xml:space="preserve">Rest</w:t>
                  </w:r>
                </w:p>
              </w:tc>
              <w:tc>
                <w:tcPr/>
                <w:p>
                  <w:pPr>
                    <w:pStyle w:val="Compact"/>
                    <w:jc w:val="right"/>
                    <w:jc w:val="center"/>
                  </w:pPr>
                  <w:r>
                    <w:t xml:space="preserve">-0.125</w:t>
                  </w:r>
                </w:p>
              </w:tc>
              <w:tc>
                <w:tcPr/>
                <w:p>
                  <w:pPr>
                    <w:pStyle w:val="Compact"/>
                    <w:jc w:val="right"/>
                    <w:jc w:val="center"/>
                  </w:pPr>
                  <w:r>
                    <w:t xml:space="preserve">0.621</w:t>
                  </w:r>
                </w:p>
              </w:tc>
            </w:tr>
          </w:tbl>
          <w:p>
            <w:pPr>
              <w:jc w:val="center"/>
            </w:pPr>
            <w:pPr>
              <w:jc w:val="start"/>
              <w:spacing w:before="200"/>
              <w:pStyle w:val="ImageCaption"/>
            </w:pPr>
            <w:r>
              <w:t xml:space="preserve">Table S3</w:t>
            </w:r>
            <w:r>
              <w:rPr>
                <w:b/>
                <w:bCs/>
              </w:rPr>
              <w:t xml:space="preserve">.</w:t>
            </w:r>
            <w:r>
              <w:t xml:space="preserve"> </w:t>
            </w:r>
            <w:r>
              <w:t xml:space="preserve">Spearman correlation between EI and Hurst by condition.</w:t>
            </w:r>
          </w:p>
          <w:bookmarkEnd w:id="384"/>
        </w:tc>
      </w:tr>
    </w:tbl>
    <w:p>
      <w:pPr>
        <w:pStyle w:val="TextBody"/>
      </w:pPr>
      <w:r>
        <w:t xml:space="preserve">We also refit the linear mixed-effects model after removing the top/bottom 10% of observations in E:I, in H, and in the intersection of both (</w:t>
      </w:r>
      <w:hyperlink w:anchor="supptbl-robusteffects">
        <w:r>
          <w:rPr>
            <w:rStyle w:val="InternetLink"/>
          </w:rPr>
          <w:t xml:space="preserve">Table S4</w:t>
        </w:r>
      </w:hyperlink>
      <w:r>
        <w:t xml:space="preserve">). Across these trimmed datasets, the E:I fixed-effect estimate remained small and its 95% confidence interval continued to include zero, indicating that the primary conclusion is not driven by extreme values in either E:I or H. Trimming was performed on the pooled long-format dataset (rest and movie rows) to match the model specification.</w:t>
      </w:r>
    </w:p>
    <w:p>
      <w:pPr>
        <w:pStyle w:val="TextBody"/>
      </w:pPr>
      <w:r>
        <w:t xml:space="preserve">Taken together with the non-parametric Spearman correlations (</w:t>
      </w:r>
      <w:hyperlink w:anchor="supptbl-spearmanresults">
        <w:r>
          <w:rPr>
            <w:rStyle w:val="InternetLink"/>
          </w:rPr>
          <w:t xml:space="preserve">Table S3</w:t>
        </w:r>
      </w:hyperlink>
      <w:r>
        <w:t xml:space="preserve">), these analyses indicate that the E:I–H association is weak in this pilot dataset and that our primary inference (a small effect with confidence intervals spanning zero) is unchanged under non-parametric estimation and reasonable exclusion of potential outliers.</w:t>
      </w:r>
    </w:p>
    <w:tbl>
      <w:tblPr>
        <w:tblStyle w:val="Table"/>
        <w:tblW w:type="pct" w:w="5000"/>
        <w:tblLayout w:type="fixed"/>
        <w:tblLook w:firstRow="0" w:lastRow="0" w:firstColumn="0" w:lastColumn="0" w:noHBand="0" w:noVBand="0" w:val="0000"/>
      </w:tblPr>
      <w:tblGrid>
        <w:gridCol w:w="7920"/>
      </w:tblGrid>
      <w:tr>
        <w:tc>
          <w:tcPr/>
          <w:bookmarkStart w:id="385" w:name="supptbl-robusteffect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CI_low</w:t>
                  </w:r>
                </w:p>
              </w:tc>
              <w:tc>
                <w:tcPr/>
                <w:p>
                  <w:pPr>
                    <w:pStyle w:val="Compact"/>
                    <w:jc w:val="right"/>
                    <w:jc w:val="center"/>
                  </w:pPr>
                  <w:r>
                    <w:t xml:space="preserve">CI_high</w:t>
                  </w:r>
                </w:p>
              </w:tc>
            </w:tr>
            <w:tr>
              <w:tc>
                <w:tcPr/>
                <w:p>
                  <w:pPr>
                    <w:pStyle w:val="Compact"/>
                    <w:jc w:val="left"/>
                    <w:jc w:val="center"/>
                  </w:pPr>
                  <w:r>
                    <w:t xml:space="preserve">Full sample</w:t>
                  </w:r>
                </w:p>
              </w:tc>
              <w:tc>
                <w:tcPr/>
                <w:p>
                  <w:pPr>
                    <w:pStyle w:val="Compact"/>
                    <w:jc w:val="right"/>
                    <w:jc w:val="center"/>
                  </w:pPr>
                  <w:r>
                    <w:t xml:space="preserve">0.068</w:t>
                  </w:r>
                </w:p>
              </w:tc>
              <w:tc>
                <w:tcPr/>
                <w:p>
                  <w:pPr>
                    <w:pStyle w:val="Compact"/>
                    <w:jc w:val="right"/>
                    <w:jc w:val="center"/>
                  </w:pPr>
                  <w:r>
                    <w:t xml:space="preserve">0.061</w:t>
                  </w:r>
                </w:p>
              </w:tc>
              <w:tc>
                <w:tcPr/>
                <w:p>
                  <w:pPr>
                    <w:pStyle w:val="Compact"/>
                    <w:jc w:val="right"/>
                    <w:jc w:val="center"/>
                  </w:pPr>
                  <w:r>
                    <w:t xml:space="preserve">-0.052</w:t>
                  </w:r>
                </w:p>
              </w:tc>
              <w:tc>
                <w:tcPr/>
                <w:p>
                  <w:pPr>
                    <w:pStyle w:val="Compact"/>
                    <w:jc w:val="right"/>
                    <w:jc w:val="center"/>
                  </w:pPr>
                  <w:r>
                    <w:t xml:space="preserve">0.188</w:t>
                  </w:r>
                </w:p>
              </w:tc>
            </w:tr>
            <w:tr>
              <w:tc>
                <w:tcPr/>
                <w:p>
                  <w:pPr>
                    <w:pStyle w:val="Compact"/>
                    <w:jc w:val="left"/>
                    <w:jc w:val="center"/>
                  </w:pPr>
                  <w:r>
                    <w:t xml:space="preserve">Trimmed EI (10–90%)</w:t>
                  </w:r>
                </w:p>
              </w:tc>
              <w:tc>
                <w:tcPr/>
                <w:p>
                  <w:pPr>
                    <w:pStyle w:val="Compact"/>
                    <w:jc w:val="right"/>
                    <w:jc w:val="center"/>
                  </w:pPr>
                  <w:r>
                    <w:t xml:space="preserve">0.010</w:t>
                  </w:r>
                </w:p>
              </w:tc>
              <w:tc>
                <w:tcPr/>
                <w:p>
                  <w:pPr>
                    <w:pStyle w:val="Compact"/>
                    <w:jc w:val="right"/>
                    <w:jc w:val="center"/>
                  </w:pPr>
                  <w:r>
                    <w:t xml:space="preserve">0.125</w:t>
                  </w:r>
                </w:p>
              </w:tc>
              <w:tc>
                <w:tcPr/>
                <w:p>
                  <w:pPr>
                    <w:pStyle w:val="Compact"/>
                    <w:jc w:val="right"/>
                    <w:jc w:val="center"/>
                  </w:pPr>
                  <w:r>
                    <w:t xml:space="preserve">-0.236</w:t>
                  </w:r>
                </w:p>
              </w:tc>
              <w:tc>
                <w:tcPr/>
                <w:p>
                  <w:pPr>
                    <w:pStyle w:val="Compact"/>
                    <w:jc w:val="right"/>
                    <w:jc w:val="center"/>
                  </w:pPr>
                  <w:r>
                    <w:t xml:space="preserve">0.256</w:t>
                  </w:r>
                </w:p>
              </w:tc>
            </w:tr>
            <w:tr>
              <w:tc>
                <w:tcPr/>
                <w:p>
                  <w:pPr>
                    <w:pStyle w:val="Compact"/>
                    <w:jc w:val="left"/>
                    <w:jc w:val="center"/>
                  </w:pPr>
                  <w:r>
                    <w:t xml:space="preserve">Trimmed Hurst (10–90%)</w:t>
                  </w:r>
                </w:p>
              </w:tc>
              <w:tc>
                <w:tcPr/>
                <w:p>
                  <w:pPr>
                    <w:pStyle w:val="Compact"/>
                    <w:jc w:val="right"/>
                    <w:jc w:val="center"/>
                  </w:pPr>
                  <w:r>
                    <w:t xml:space="preserve">0.018</w:t>
                  </w:r>
                </w:p>
              </w:tc>
              <w:tc>
                <w:tcPr/>
                <w:p>
                  <w:pPr>
                    <w:pStyle w:val="Compact"/>
                    <w:jc w:val="right"/>
                    <w:jc w:val="center"/>
                  </w:pPr>
                  <w:r>
                    <w:t xml:space="preserve">0.045</w:t>
                  </w:r>
                </w:p>
              </w:tc>
              <w:tc>
                <w:tcPr/>
                <w:p>
                  <w:pPr>
                    <w:pStyle w:val="Compact"/>
                    <w:jc w:val="right"/>
                    <w:jc w:val="center"/>
                  </w:pPr>
                  <w:r>
                    <w:t xml:space="preserve">-0.070</w:t>
                  </w:r>
                </w:p>
              </w:tc>
              <w:tc>
                <w:tcPr/>
                <w:p>
                  <w:pPr>
                    <w:pStyle w:val="Compact"/>
                    <w:jc w:val="right"/>
                    <w:jc w:val="center"/>
                  </w:pPr>
                  <w:r>
                    <w:t xml:space="preserve">0.107</w:t>
                  </w:r>
                </w:p>
              </w:tc>
            </w:tr>
            <w:tr>
              <w:tc>
                <w:tcPr/>
                <w:p>
                  <w:pPr>
                    <w:pStyle w:val="Compact"/>
                    <w:jc w:val="left"/>
                    <w:jc w:val="center"/>
                  </w:pPr>
                  <w:r>
                    <w:t xml:space="preserve">Trimmed EI &amp; Hurst (intersection)</w:t>
                  </w:r>
                </w:p>
              </w:tc>
              <w:tc>
                <w:tcPr/>
                <w:p>
                  <w:pPr>
                    <w:pStyle w:val="Compact"/>
                    <w:jc w:val="right"/>
                    <w:jc w:val="center"/>
                  </w:pPr>
                  <w:r>
                    <w:t xml:space="preserve">0.081</w:t>
                  </w:r>
                </w:p>
              </w:tc>
              <w:tc>
                <w:tcPr/>
                <w:p>
                  <w:pPr>
                    <w:pStyle w:val="Compact"/>
                    <w:jc w:val="right"/>
                    <w:jc w:val="center"/>
                  </w:pPr>
                  <w:r>
                    <w:t xml:space="preserve">0.112</w:t>
                  </w:r>
                </w:p>
              </w:tc>
              <w:tc>
                <w:tcPr/>
                <w:p>
                  <w:pPr>
                    <w:pStyle w:val="Compact"/>
                    <w:jc w:val="right"/>
                    <w:jc w:val="center"/>
                  </w:pPr>
                  <w:r>
                    <w:t xml:space="preserve">-0.139</w:t>
                  </w:r>
                </w:p>
              </w:tc>
              <w:tc>
                <w:tcPr/>
                <w:p>
                  <w:pPr>
                    <w:pStyle w:val="Compact"/>
                    <w:jc w:val="right"/>
                    <w:jc w:val="center"/>
                  </w:pPr>
                  <w:r>
                    <w:t xml:space="preserve">0.300</w:t>
                  </w:r>
                </w:p>
              </w:tc>
            </w:tr>
          </w:tbl>
          <w:p>
            <w:pPr>
              <w:jc w:val="center"/>
            </w:pPr>
            <w:pPr>
              <w:jc w:val="start"/>
              <w:spacing w:before="200"/>
              <w:pStyle w:val="ImageCaption"/>
            </w:pPr>
            <w:r>
              <w:t xml:space="preserve">Table S4</w:t>
            </w:r>
            <w:r>
              <w:rPr>
                <w:b/>
                <w:bCs/>
              </w:rPr>
              <w:t xml:space="preserve">.</w:t>
            </w:r>
            <w:r>
              <w:t xml:space="preserve"> </w:t>
            </w:r>
            <w:r>
              <w:t xml:space="preserve">EI fixed-effect estimates (Estimate ± 95% CI) for the full sample and each trimmed sample.</w:t>
            </w:r>
          </w:p>
          <w:bookmarkEnd w:id="385"/>
        </w:tc>
      </w:tr>
    </w:tbl>
    <w:bookmarkEnd w:id="386"/>
    <w:bookmarkStart w:id="391" w:name="metabolites"/>
    <w:p>
      <w:pPr>
        <w:pStyle w:val="Heading2"/>
      </w:pPr>
      <w:r>
        <w:t xml:space="preserve">Metabolites</w:t>
      </w:r>
    </w:p>
    <w:bookmarkStart w:id="388" w:name="slaser"/>
    <w:p>
      <w:pPr>
        <w:pStyle w:val="Heading3"/>
      </w:pPr>
      <w:r>
        <w:t xml:space="preserve">sLASER</w:t>
      </w:r>
    </w:p>
    <w:p>
      <w:pPr>
        <w:pStyle w:val="FirstParagraph"/>
      </w:pPr>
      <w:r>
        <w:t xml:space="preserve">All metabolite concentrations and Cramer-Rao lower bounds from semi-LASER are reported in</w:t>
      </w:r>
      <w:r>
        <w:t xml:space="preserve"> </w:t>
      </w:r>
      <w:hyperlink w:anchor="supptbl-metabolites">
        <w:r>
          <w:rPr>
            <w:rStyle w:val="InternetLink"/>
          </w:rPr>
          <w:t xml:space="preserve">Table S5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7" w:name="supptbl-metabolite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jc w:val="center"/>
                  </w:pPr>
                  <w:r>
                    <w:t xml:space="preserve">Rest Conc</w:t>
                  </w:r>
                </w:p>
              </w:tc>
              <w:tc>
                <w:tcPr/>
                <w:p>
                  <w:pPr>
                    <w:pStyle w:val="Compact"/>
                    <w:jc w:val="left"/>
                    <w:jc w:val="center"/>
                  </w:pPr>
                  <w:r>
                    <w:t xml:space="preserve">Rest CRLB</w:t>
                  </w:r>
                </w:p>
              </w:tc>
              <w:tc>
                <w:tcPr/>
                <w:p>
                  <w:pPr>
                    <w:pStyle w:val="Compact"/>
                    <w:jc w:val="left"/>
                    <w:jc w:val="center"/>
                  </w:pPr>
                  <w:r>
                    <w:t xml:space="preserve">Movie Conc</w:t>
                  </w:r>
                </w:p>
              </w:tc>
              <w:tc>
                <w:tcPr/>
                <w:p>
                  <w:pPr>
                    <w:pStyle w:val="Compact"/>
                    <w:jc w:val="left"/>
                    <w:jc w:val="center"/>
                  </w:pPr>
                  <w:r>
                    <w:t xml:space="preserve">Movie CRLB</w:t>
                  </w:r>
                </w:p>
              </w:tc>
            </w:tr>
            <w:tr>
              <w:tc>
                <w:tcPr/>
                <w:p>
                  <w:pPr>
                    <w:pStyle w:val="Compact"/>
                    <w:jc w:val="left"/>
                    <w:jc w:val="center"/>
                  </w:pPr>
                  <w:r>
                    <w:t xml:space="preserve">Asc</w:t>
                  </w:r>
                </w:p>
              </w:tc>
              <w:tc>
                <w:tcPr/>
                <w:p>
                  <w:pPr>
                    <w:pStyle w:val="Compact"/>
                    <w:jc w:val="left"/>
                    <w:jc w:val="center"/>
                  </w:pPr>
                  <w:r>
                    <w:t xml:space="preserve">0.34 ± 0.29</w:t>
                  </w:r>
                </w:p>
              </w:tc>
              <w:tc>
                <w:tcPr/>
                <w:p>
                  <w:pPr>
                    <w:pStyle w:val="Compact"/>
                    <w:jc w:val="left"/>
                    <w:jc w:val="center"/>
                  </w:pPr>
                  <w:r>
                    <w:t xml:space="preserve">239.72 ± 364.52</w:t>
                  </w:r>
                </w:p>
              </w:tc>
              <w:tc>
                <w:tcPr/>
                <w:p>
                  <w:pPr>
                    <w:pStyle w:val="Compact"/>
                    <w:jc w:val="left"/>
                    <w:jc w:val="center"/>
                  </w:pPr>
                  <w:r>
                    <w:t xml:space="preserve">0.34 ± 0.24</w:t>
                  </w:r>
                </w:p>
              </w:tc>
              <w:tc>
                <w:tcPr/>
                <w:p>
                  <w:pPr>
                    <w:pStyle w:val="Compact"/>
                    <w:jc w:val="left"/>
                    <w:jc w:val="center"/>
                  </w:pPr>
                  <w:r>
                    <w:t xml:space="preserve">194.39 ± 307.8</w:t>
                  </w:r>
                </w:p>
              </w:tc>
            </w:tr>
            <w:tr>
              <w:tc>
                <w:tcPr/>
                <w:p>
                  <w:pPr>
                    <w:pStyle w:val="Compact"/>
                    <w:jc w:val="left"/>
                    <w:jc w:val="center"/>
                  </w:pPr>
                  <w:r>
                    <w:t xml:space="preserve">Asp</w:t>
                  </w:r>
                </w:p>
              </w:tc>
              <w:tc>
                <w:tcPr/>
                <w:p>
                  <w:pPr>
                    <w:pStyle w:val="Compact"/>
                    <w:jc w:val="left"/>
                    <w:jc w:val="center"/>
                  </w:pPr>
                  <w:r>
                    <w:t xml:space="preserve">3.49 ± 0.44</w:t>
                  </w:r>
                </w:p>
              </w:tc>
              <w:tc>
                <w:tcPr/>
                <w:p>
                  <w:pPr>
                    <w:pStyle w:val="Compact"/>
                    <w:jc w:val="left"/>
                    <w:jc w:val="center"/>
                  </w:pPr>
                  <w:r>
                    <w:t xml:space="preserve">9.56 ± 1.34</w:t>
                  </w:r>
                </w:p>
              </w:tc>
              <w:tc>
                <w:tcPr/>
                <w:p>
                  <w:pPr>
                    <w:pStyle w:val="Compact"/>
                    <w:jc w:val="left"/>
                    <w:jc w:val="center"/>
                  </w:pPr>
                  <w:r>
                    <w:t xml:space="preserve">3.39 ± 0.43</w:t>
                  </w:r>
                </w:p>
              </w:tc>
              <w:tc>
                <w:tcPr/>
                <w:p>
                  <w:pPr>
                    <w:pStyle w:val="Compact"/>
                    <w:jc w:val="left"/>
                    <w:jc w:val="center"/>
                  </w:pPr>
                  <w:r>
                    <w:t xml:space="preserve">9.72 ± 1.81</w:t>
                  </w:r>
                </w:p>
              </w:tc>
            </w:tr>
            <w:tr>
              <w:tc>
                <w:tcPr/>
                <w:p>
                  <w:pPr>
                    <w:pStyle w:val="Compact"/>
                    <w:jc w:val="left"/>
                    <w:jc w:val="center"/>
                  </w:pPr>
                  <w:r>
                    <w:t xml:space="preserve">Cr</w:t>
                  </w:r>
                </w:p>
              </w:tc>
              <w:tc>
                <w:tcPr/>
                <w:p>
                  <w:pPr>
                    <w:pStyle w:val="Compact"/>
                    <w:jc w:val="left"/>
                    <w:jc w:val="center"/>
                  </w:pPr>
                  <w:r>
                    <w:t xml:space="preserve">2.04 ± 0.62</w:t>
                  </w:r>
                </w:p>
              </w:tc>
              <w:tc>
                <w:tcPr/>
                <w:p>
                  <w:pPr>
                    <w:pStyle w:val="Compact"/>
                    <w:jc w:val="left"/>
                    <w:jc w:val="center"/>
                  </w:pPr>
                  <w:r>
                    <w:t xml:space="preserve">16.33 ± 7.65</w:t>
                  </w:r>
                </w:p>
              </w:tc>
              <w:tc>
                <w:tcPr/>
                <w:p>
                  <w:pPr>
                    <w:pStyle w:val="Compact"/>
                    <w:jc w:val="left"/>
                    <w:jc w:val="center"/>
                  </w:pPr>
                  <w:r>
                    <w:t xml:space="preserve">2.1 ± 0.49</w:t>
                  </w:r>
                </w:p>
              </w:tc>
              <w:tc>
                <w:tcPr/>
                <w:p>
                  <w:pPr>
                    <w:pStyle w:val="Compact"/>
                    <w:jc w:val="left"/>
                    <w:jc w:val="center"/>
                  </w:pPr>
                  <w:r>
                    <w:t xml:space="preserve">15.22 ± 5.25</w:t>
                  </w:r>
                </w:p>
              </w:tc>
            </w:tr>
            <w:tr>
              <w:tc>
                <w:tcPr/>
                <w:p>
                  <w:pPr>
                    <w:pStyle w:val="Compact"/>
                    <w:jc w:val="left"/>
                    <w:jc w:val="center"/>
                  </w:pPr>
                  <w:r>
                    <w:t xml:space="preserve">GABA</w:t>
                  </w:r>
                </w:p>
              </w:tc>
              <w:tc>
                <w:tcPr/>
                <w:p>
                  <w:pPr>
                    <w:pStyle w:val="Compact"/>
                    <w:jc w:val="left"/>
                    <w:jc w:val="center"/>
                  </w:pPr>
                  <w:r>
                    <w:t xml:space="preserve">0.69 ± 0.41</w:t>
                  </w:r>
                </w:p>
              </w:tc>
              <w:tc>
                <w:tcPr/>
                <w:p>
                  <w:pPr>
                    <w:pStyle w:val="Compact"/>
                    <w:jc w:val="left"/>
                    <w:jc w:val="center"/>
                  </w:pPr>
                  <w:r>
                    <w:t xml:space="preserve">52.78 ± 30.69</w:t>
                  </w:r>
                </w:p>
              </w:tc>
              <w:tc>
                <w:tcPr/>
                <w:p>
                  <w:pPr>
                    <w:pStyle w:val="Compact"/>
                    <w:jc w:val="left"/>
                    <w:jc w:val="center"/>
                  </w:pPr>
                  <w:r>
                    <w:t xml:space="preserve">0.67 ± 0.32</w:t>
                  </w:r>
                </w:p>
              </w:tc>
              <w:tc>
                <w:tcPr/>
                <w:p>
                  <w:pPr>
                    <w:pStyle w:val="Compact"/>
                    <w:jc w:val="left"/>
                    <w:jc w:val="center"/>
                  </w:pPr>
                  <w:r>
                    <w:t xml:space="preserve">49.06 ± 28.51</w:t>
                  </w:r>
                </w:p>
              </w:tc>
            </w:tr>
            <w:tr>
              <w:tc>
                <w:tcPr/>
                <w:p>
                  <w:pPr>
                    <w:pStyle w:val="Compact"/>
                    <w:jc w:val="left"/>
                    <w:jc w:val="center"/>
                  </w:pPr>
                  <w:r>
                    <w:t xml:space="preserve">GPC</w:t>
                  </w:r>
                </w:p>
              </w:tc>
              <w:tc>
                <w:tcPr/>
                <w:p>
                  <w:pPr>
                    <w:pStyle w:val="Compact"/>
                    <w:jc w:val="left"/>
                    <w:jc w:val="center"/>
                  </w:pPr>
                  <w:r>
                    <w:t xml:space="preserve">0.92 ± 0.11</w:t>
                  </w:r>
                </w:p>
              </w:tc>
              <w:tc>
                <w:tcPr/>
                <w:p>
                  <w:pPr>
                    <w:pStyle w:val="Compact"/>
                    <w:jc w:val="left"/>
                    <w:jc w:val="center"/>
                  </w:pPr>
                  <w:r>
                    <w:t xml:space="preserve">12.11 ± 4.83</w:t>
                  </w:r>
                </w:p>
              </w:tc>
              <w:tc>
                <w:tcPr/>
                <w:p>
                  <w:pPr>
                    <w:pStyle w:val="Compact"/>
                    <w:jc w:val="left"/>
                    <w:jc w:val="center"/>
                  </w:pPr>
                  <w:r>
                    <w:t xml:space="preserve">0.9 ± 0.11</w:t>
                  </w:r>
                </w:p>
              </w:tc>
              <w:tc>
                <w:tcPr/>
                <w:p>
                  <w:pPr>
                    <w:pStyle w:val="Compact"/>
                    <w:jc w:val="left"/>
                    <w:jc w:val="center"/>
                  </w:pPr>
                  <w:r>
                    <w:t xml:space="preserve">13.56 ± 4.23</w:t>
                  </w:r>
                </w:p>
              </w:tc>
            </w:tr>
            <w:tr>
              <w:tc>
                <w:tcPr/>
                <w:p>
                  <w:pPr>
                    <w:pStyle w:val="Compact"/>
                    <w:jc w:val="left"/>
                    <w:jc w:val="center"/>
                  </w:pPr>
                  <w:r>
                    <w:t xml:space="preserve">GSH</w:t>
                  </w:r>
                </w:p>
              </w:tc>
              <w:tc>
                <w:tcPr/>
                <w:p>
                  <w:pPr>
                    <w:pStyle w:val="Compact"/>
                    <w:jc w:val="left"/>
                    <w:jc w:val="center"/>
                  </w:pPr>
                  <w:r>
                    <w:t xml:space="preserve">1.3 ± 0.18</w:t>
                  </w:r>
                </w:p>
              </w:tc>
              <w:tc>
                <w:tcPr/>
                <w:p>
                  <w:pPr>
                    <w:pStyle w:val="Compact"/>
                    <w:jc w:val="left"/>
                    <w:jc w:val="center"/>
                  </w:pPr>
                  <w:r>
                    <w:t xml:space="preserve">7.61 ± 1.38</w:t>
                  </w:r>
                </w:p>
              </w:tc>
              <w:tc>
                <w:tcPr/>
                <w:p>
                  <w:pPr>
                    <w:pStyle w:val="Compact"/>
                    <w:jc w:val="left"/>
                    <w:jc w:val="center"/>
                  </w:pPr>
                  <w:r>
                    <w:t xml:space="preserve">1.32 ± 0.13</w:t>
                  </w:r>
                </w:p>
              </w:tc>
              <w:tc>
                <w:tcPr/>
                <w:p>
                  <w:pPr>
                    <w:pStyle w:val="Compact"/>
                    <w:jc w:val="left"/>
                    <w:jc w:val="center"/>
                  </w:pPr>
                  <w:r>
                    <w:t xml:space="preserve">7.44 ± 1.04</w:t>
                  </w:r>
                </w:p>
              </w:tc>
            </w:tr>
            <w:tr>
              <w:tc>
                <w:tcPr/>
                <w:p>
                  <w:pPr>
                    <w:pStyle w:val="Compact"/>
                    <w:jc w:val="left"/>
                    <w:jc w:val="center"/>
                  </w:pPr>
                  <w:r>
                    <w:t xml:space="preserve">Gln</w:t>
                  </w:r>
                </w:p>
              </w:tc>
              <w:tc>
                <w:tcPr/>
                <w:p>
                  <w:pPr>
                    <w:pStyle w:val="Compact"/>
                    <w:jc w:val="left"/>
                    <w:jc w:val="center"/>
                  </w:pPr>
                  <w:r>
                    <w:t xml:space="preserve">2.82 ± 0.58</w:t>
                  </w:r>
                </w:p>
              </w:tc>
              <w:tc>
                <w:tcPr/>
                <w:p>
                  <w:pPr>
                    <w:pStyle w:val="Compact"/>
                    <w:jc w:val="left"/>
                    <w:jc w:val="center"/>
                  </w:pPr>
                  <w:r>
                    <w:t xml:space="preserve">10.11 ± 1.78</w:t>
                  </w:r>
                </w:p>
              </w:tc>
              <w:tc>
                <w:tcPr/>
                <w:p>
                  <w:pPr>
                    <w:pStyle w:val="Compact"/>
                    <w:jc w:val="left"/>
                    <w:jc w:val="center"/>
                  </w:pPr>
                  <w:r>
                    <w:t xml:space="preserve">2.93 ± 0.47</w:t>
                  </w:r>
                </w:p>
              </w:tc>
              <w:tc>
                <w:tcPr/>
                <w:p>
                  <w:pPr>
                    <w:pStyle w:val="Compact"/>
                    <w:jc w:val="left"/>
                    <w:jc w:val="center"/>
                  </w:pPr>
                  <w:r>
                    <w:t xml:space="preserve">9.72 ± 1.02</w:t>
                  </w:r>
                </w:p>
              </w:tc>
            </w:tr>
            <w:tr>
              <w:tc>
                <w:tcPr/>
                <w:p>
                  <w:pPr>
                    <w:pStyle w:val="Compact"/>
                    <w:jc w:val="left"/>
                    <w:jc w:val="center"/>
                  </w:pPr>
                  <w:r>
                    <w:t xml:space="preserve">Glu</w:t>
                  </w:r>
                </w:p>
              </w:tc>
              <w:tc>
                <w:tcPr/>
                <w:p>
                  <w:pPr>
                    <w:pStyle w:val="Compact"/>
                    <w:jc w:val="left"/>
                    <w:jc w:val="center"/>
                  </w:pPr>
                  <w:r>
                    <w:t xml:space="preserve">7.02 ± 0.71</w:t>
                  </w:r>
                </w:p>
              </w:tc>
              <w:tc>
                <w:tcPr/>
                <w:p>
                  <w:pPr>
                    <w:pStyle w:val="Compact"/>
                    <w:jc w:val="left"/>
                    <w:jc w:val="center"/>
                  </w:pPr>
                  <w:r>
                    <w:t xml:space="preserve">4.33 ± 0.49</w:t>
                  </w:r>
                </w:p>
              </w:tc>
              <w:tc>
                <w:tcPr/>
                <w:p>
                  <w:pPr>
                    <w:pStyle w:val="Compact"/>
                    <w:jc w:val="left"/>
                    <w:jc w:val="center"/>
                  </w:pPr>
                  <w:r>
                    <w:t xml:space="preserve">7.11 ± 0.62</w:t>
                  </w:r>
                </w:p>
              </w:tc>
              <w:tc>
                <w:tcPr/>
                <w:p>
                  <w:pPr>
                    <w:pStyle w:val="Compact"/>
                    <w:jc w:val="left"/>
                    <w:jc w:val="center"/>
                  </w:pPr>
                  <w:r>
                    <w:t xml:space="preserve">4.17 ± 0.51</w:t>
                  </w:r>
                </w:p>
              </w:tc>
            </w:tr>
            <w:tr>
              <w:tc>
                <w:tcPr/>
                <w:p>
                  <w:pPr>
                    <w:pStyle w:val="Compact"/>
                    <w:jc w:val="left"/>
                    <w:jc w:val="center"/>
                  </w:pPr>
                  <w:r>
                    <w:t xml:space="preserve">mI</w:t>
                  </w:r>
                </w:p>
              </w:tc>
              <w:tc>
                <w:tcPr/>
                <w:p>
                  <w:pPr>
                    <w:pStyle w:val="Compact"/>
                    <w:jc w:val="left"/>
                    <w:jc w:val="center"/>
                  </w:pPr>
                  <w:r>
                    <w:t xml:space="preserve">4.77 ± 0.34</w:t>
                  </w:r>
                </w:p>
              </w:tc>
              <w:tc>
                <w:tcPr/>
                <w:p>
                  <w:pPr>
                    <w:pStyle w:val="Compact"/>
                    <w:jc w:val="left"/>
                    <w:jc w:val="center"/>
                  </w:pPr>
                  <w:r>
                    <w:t xml:space="preserve">3 ± 0</w:t>
                  </w:r>
                </w:p>
              </w:tc>
              <w:tc>
                <w:tcPr/>
                <w:p>
                  <w:pPr>
                    <w:pStyle w:val="Compact"/>
                    <w:jc w:val="left"/>
                    <w:jc w:val="center"/>
                  </w:pPr>
                  <w:r>
                    <w:t xml:space="preserve">4.8 ± 0.29</w:t>
                  </w:r>
                </w:p>
              </w:tc>
              <w:tc>
                <w:tcPr/>
                <w:p>
                  <w:pPr>
                    <w:pStyle w:val="Compact"/>
                    <w:jc w:val="left"/>
                    <w:jc w:val="center"/>
                  </w:pPr>
                  <w:r>
                    <w:t xml:space="preserve">3 ± 0</w:t>
                  </w:r>
                </w:p>
              </w:tc>
            </w:tr>
            <w:tr>
              <w:tc>
                <w:tcPr/>
                <w:p>
                  <w:pPr>
                    <w:pStyle w:val="Compact"/>
                    <w:jc w:val="left"/>
                    <w:jc w:val="center"/>
                  </w:pPr>
                  <w:r>
                    <w:t xml:space="preserve">Lac</w:t>
                  </w:r>
                </w:p>
              </w:tc>
              <w:tc>
                <w:tcPr/>
                <w:p>
                  <w:pPr>
                    <w:pStyle w:val="Compact"/>
                    <w:jc w:val="left"/>
                    <w:jc w:val="center"/>
                  </w:pPr>
                  <w:r>
                    <w:t xml:space="preserve">0.32 ± 0.13</w:t>
                  </w:r>
                </w:p>
              </w:tc>
              <w:tc>
                <w:tcPr/>
                <w:p>
                  <w:pPr>
                    <w:pStyle w:val="Compact"/>
                    <w:jc w:val="left"/>
                    <w:jc w:val="center"/>
                  </w:pPr>
                  <w:r>
                    <w:t xml:space="preserve">62.78 ± 38.94</w:t>
                  </w:r>
                </w:p>
              </w:tc>
              <w:tc>
                <w:tcPr/>
                <w:p>
                  <w:pPr>
                    <w:pStyle w:val="Compact"/>
                    <w:jc w:val="left"/>
                    <w:jc w:val="center"/>
                  </w:pPr>
                  <w:r>
                    <w:t xml:space="preserve">0.28 ± 0.16</w:t>
                  </w:r>
                </w:p>
              </w:tc>
              <w:tc>
                <w:tcPr/>
                <w:p>
                  <w:pPr>
                    <w:pStyle w:val="Compact"/>
                    <w:jc w:val="left"/>
                    <w:jc w:val="center"/>
                  </w:pPr>
                  <w:r>
                    <w:t xml:space="preserve">182.33 ± 311.77</w:t>
                  </w:r>
                </w:p>
              </w:tc>
            </w:tr>
            <w:tr>
              <w:tc>
                <w:tcPr/>
                <w:p>
                  <w:pPr>
                    <w:pStyle w:val="Compact"/>
                    <w:jc w:val="left"/>
                    <w:jc w:val="center"/>
                  </w:pPr>
                  <w:r>
                    <w:t xml:space="preserve">NAA</w:t>
                  </w:r>
                </w:p>
              </w:tc>
              <w:tc>
                <w:tcPr/>
                <w:p>
                  <w:pPr>
                    <w:pStyle w:val="Compact"/>
                    <w:jc w:val="left"/>
                    <w:jc w:val="center"/>
                  </w:pPr>
                  <w:r>
                    <w:t xml:space="preserve">11.88 ± 1.11</w:t>
                  </w:r>
                </w:p>
              </w:tc>
              <w:tc>
                <w:tcPr/>
                <w:p>
                  <w:pPr>
                    <w:pStyle w:val="Compact"/>
                    <w:jc w:val="left"/>
                    <w:jc w:val="center"/>
                  </w:pPr>
                  <w:r>
                    <w:t xml:space="preserve">1.94 ± 0.24</w:t>
                  </w:r>
                </w:p>
              </w:tc>
              <w:tc>
                <w:tcPr/>
                <w:p>
                  <w:pPr>
                    <w:pStyle w:val="Compact"/>
                    <w:jc w:val="left"/>
                    <w:jc w:val="center"/>
                  </w:pPr>
                  <w:r>
                    <w:t xml:space="preserve">11.83 ± 1.03</w:t>
                  </w:r>
                </w:p>
              </w:tc>
              <w:tc>
                <w:tcPr/>
                <w:p>
                  <w:pPr>
                    <w:pStyle w:val="Compact"/>
                    <w:jc w:val="left"/>
                    <w:jc w:val="center"/>
                  </w:pPr>
                  <w:r>
                    <w:t xml:space="preserve">1.83 ± 0.38</w:t>
                  </w:r>
                </w:p>
              </w:tc>
            </w:tr>
            <w:tr>
              <w:tc>
                <w:tcPr/>
                <w:p>
                  <w:pPr>
                    <w:pStyle w:val="Compact"/>
                    <w:jc w:val="left"/>
                    <w:jc w:val="center"/>
                  </w:pPr>
                  <w:r>
                    <w:t xml:space="preserve">NAAG</w:t>
                  </w:r>
                </w:p>
              </w:tc>
              <w:tc>
                <w:tcPr/>
                <w:p>
                  <w:pPr>
                    <w:pStyle w:val="Compact"/>
                    <w:jc w:val="left"/>
                    <w:jc w:val="center"/>
                  </w:pPr>
                  <w:r>
                    <w:t xml:space="preserve">0 ± 0</w:t>
                  </w:r>
                </w:p>
              </w:tc>
              <w:tc>
                <w:tcPr/>
                <w:p>
                  <w:pPr>
                    <w:pStyle w:val="Compact"/>
                    <w:jc w:val="left"/>
                    <w:jc w:val="center"/>
                  </w:pPr>
                  <w:r>
                    <w:t xml:space="preserve">999 ± 0</w:t>
                  </w:r>
                </w:p>
              </w:tc>
              <w:tc>
                <w:tcPr/>
                <w:p>
                  <w:pPr>
                    <w:pStyle w:val="Compact"/>
                    <w:jc w:val="left"/>
                    <w:jc w:val="center"/>
                  </w:pPr>
                  <w:r>
                    <w:t xml:space="preserve">0.07 ± 0.22</w:t>
                  </w:r>
                </w:p>
              </w:tc>
              <w:tc>
                <w:tcPr/>
                <w:p>
                  <w:pPr>
                    <w:pStyle w:val="Compact"/>
                    <w:jc w:val="left"/>
                    <w:jc w:val="center"/>
                  </w:pPr>
                  <w:r>
                    <w:t xml:space="preserve">890.78 ± 314.99</w:t>
                  </w:r>
                </w:p>
              </w:tc>
            </w:tr>
            <w:tr>
              <w:tc>
                <w:tcPr/>
                <w:p>
                  <w:pPr>
                    <w:pStyle w:val="Compact"/>
                    <w:jc w:val="left"/>
                    <w:jc w:val="center"/>
                  </w:pPr>
                  <w:r>
                    <w:t xml:space="preserve">PCh</w:t>
                  </w:r>
                </w:p>
              </w:tc>
              <w:tc>
                <w:tcPr/>
                <w:p>
                  <w:pPr>
                    <w:pStyle w:val="Compact"/>
                    <w:jc w:val="left"/>
                    <w:jc w:val="center"/>
                  </w:pPr>
                  <w:r>
                    <w:t xml:space="preserve">0.16 ± 0.12</w:t>
                  </w:r>
                </w:p>
              </w:tc>
              <w:tc>
                <w:tcPr/>
                <w:p>
                  <w:pPr>
                    <w:pStyle w:val="Compact"/>
                    <w:jc w:val="left"/>
                    <w:jc w:val="center"/>
                  </w:pPr>
                  <w:r>
                    <w:t xml:space="preserve">292.5 ± 394.55</w:t>
                  </w:r>
                </w:p>
              </w:tc>
              <w:tc>
                <w:tcPr/>
                <w:p>
                  <w:pPr>
                    <w:pStyle w:val="Compact"/>
                    <w:jc w:val="left"/>
                    <w:jc w:val="center"/>
                  </w:pPr>
                  <w:r>
                    <w:t xml:space="preserve">0.18 ± 0.1</w:t>
                  </w:r>
                </w:p>
              </w:tc>
              <w:tc>
                <w:tcPr/>
                <w:p>
                  <w:pPr>
                    <w:pStyle w:val="Compact"/>
                    <w:jc w:val="left"/>
                    <w:jc w:val="center"/>
                  </w:pPr>
                  <w:r>
                    <w:t xml:space="preserve">179.89 ± 299.51</w:t>
                  </w:r>
                </w:p>
              </w:tc>
            </w:tr>
            <w:tr>
              <w:tc>
                <w:tcPr/>
                <w:p>
                  <w:pPr>
                    <w:pStyle w:val="Compact"/>
                    <w:jc w:val="left"/>
                    <w:jc w:val="center"/>
                  </w:pPr>
                  <w:r>
                    <w:t xml:space="preserve">PCr</w:t>
                  </w:r>
                </w:p>
              </w:tc>
              <w:tc>
                <w:tcPr/>
                <w:p>
                  <w:pPr>
                    <w:pStyle w:val="Compact"/>
                    <w:jc w:val="left"/>
                    <w:jc w:val="center"/>
                  </w:pPr>
                  <w:r>
                    <w:t xml:space="preserve">5.68 ± 0.84</w:t>
                  </w:r>
                </w:p>
              </w:tc>
              <w:tc>
                <w:tcPr/>
                <w:p>
                  <w:pPr>
                    <w:pStyle w:val="Compact"/>
                    <w:jc w:val="left"/>
                    <w:jc w:val="center"/>
                  </w:pPr>
                  <w:r>
                    <w:t xml:space="preserve">5.83 ± 1.04</w:t>
                  </w:r>
                </w:p>
              </w:tc>
              <w:tc>
                <w:tcPr/>
                <w:p>
                  <w:pPr>
                    <w:pStyle w:val="Compact"/>
                    <w:jc w:val="left"/>
                    <w:jc w:val="center"/>
                  </w:pPr>
                  <w:r>
                    <w:t xml:space="preserve">5.7 ± 0.69</w:t>
                  </w:r>
                </w:p>
              </w:tc>
              <w:tc>
                <w:tcPr/>
                <w:p>
                  <w:pPr>
                    <w:pStyle w:val="Compact"/>
                    <w:jc w:val="left"/>
                    <w:jc w:val="center"/>
                  </w:pPr>
                  <w:r>
                    <w:t xml:space="preserve">6.11 ± 1.23</w:t>
                  </w:r>
                </w:p>
              </w:tc>
            </w:tr>
            <w:tr>
              <w:tc>
                <w:tcPr/>
                <w:p>
                  <w:pPr>
                    <w:pStyle w:val="Compact"/>
                    <w:jc w:val="left"/>
                    <w:jc w:val="center"/>
                  </w:pPr>
                  <w:r>
                    <w:t xml:space="preserve">PE</w:t>
                  </w:r>
                </w:p>
              </w:tc>
              <w:tc>
                <w:tcPr/>
                <w:p>
                  <w:pPr>
                    <w:pStyle w:val="Compact"/>
                    <w:jc w:val="left"/>
                    <w:jc w:val="center"/>
                  </w:pPr>
                  <w:r>
                    <w:t xml:space="preserve">1.67 ± 0.49</w:t>
                  </w:r>
                </w:p>
              </w:tc>
              <w:tc>
                <w:tcPr/>
                <w:p>
                  <w:pPr>
                    <w:pStyle w:val="Compact"/>
                    <w:jc w:val="left"/>
                    <w:jc w:val="center"/>
                  </w:pPr>
                  <w:r>
                    <w:t xml:space="preserve">31.28 ± 11.85</w:t>
                  </w:r>
                </w:p>
              </w:tc>
              <w:tc>
                <w:tcPr/>
                <w:p>
                  <w:pPr>
                    <w:pStyle w:val="Compact"/>
                    <w:jc w:val="left"/>
                    <w:jc w:val="center"/>
                  </w:pPr>
                  <w:r>
                    <w:t xml:space="preserve">1.71 ± 0.53</w:t>
                  </w:r>
                </w:p>
              </w:tc>
              <w:tc>
                <w:tcPr/>
                <w:p>
                  <w:pPr>
                    <w:pStyle w:val="Compact"/>
                    <w:jc w:val="left"/>
                    <w:jc w:val="center"/>
                  </w:pPr>
                  <w:r>
                    <w:t xml:space="preserve">29.5 ± 8.58</w:t>
                  </w:r>
                </w:p>
              </w:tc>
            </w:tr>
            <w:tr>
              <w:tc>
                <w:tcPr/>
                <w:p>
                  <w:pPr>
                    <w:pStyle w:val="Compact"/>
                    <w:jc w:val="left"/>
                    <w:jc w:val="center"/>
                  </w:pPr>
                  <w:r>
                    <w:t xml:space="preserve">sI</w:t>
                  </w:r>
                </w:p>
              </w:tc>
              <w:tc>
                <w:tcPr/>
                <w:p>
                  <w:pPr>
                    <w:pStyle w:val="Compact"/>
                    <w:jc w:val="left"/>
                    <w:jc w:val="center"/>
                  </w:pPr>
                  <w:r>
                    <w:t xml:space="preserve">0.13 ± 0.12</w:t>
                  </w:r>
                </w:p>
              </w:tc>
              <w:tc>
                <w:tcPr/>
                <w:p>
                  <w:pPr>
                    <w:pStyle w:val="Compact"/>
                    <w:jc w:val="left"/>
                    <w:jc w:val="center"/>
                  </w:pPr>
                  <w:r>
                    <w:t xml:space="preserve">198.61 ± 369.4</w:t>
                  </w:r>
                </w:p>
              </w:tc>
              <w:tc>
                <w:tcPr/>
                <w:p>
                  <w:pPr>
                    <w:pStyle w:val="Compact"/>
                    <w:jc w:val="left"/>
                    <w:jc w:val="center"/>
                  </w:pPr>
                  <w:r>
                    <w:t xml:space="preserve">0.13 ± 0.11</w:t>
                  </w:r>
                </w:p>
              </w:tc>
              <w:tc>
                <w:tcPr/>
                <w:p>
                  <w:pPr>
                    <w:pStyle w:val="Compact"/>
                    <w:jc w:val="left"/>
                    <w:jc w:val="center"/>
                  </w:pPr>
                  <w:r>
                    <w:t xml:space="preserve">127.56 ± 244.45</w:t>
                  </w:r>
                </w:p>
              </w:tc>
            </w:tr>
            <w:tr>
              <w:tc>
                <w:tcPr/>
                <w:p>
                  <w:pPr>
                    <w:pStyle w:val="Compact"/>
                    <w:jc w:val="left"/>
                    <w:jc w:val="center"/>
                  </w:pPr>
                  <w:r>
                    <w:t xml:space="preserve">Tau</w:t>
                  </w:r>
                </w:p>
              </w:tc>
              <w:tc>
                <w:tcPr/>
                <w:p>
                  <w:pPr>
                    <w:pStyle w:val="Compact"/>
                    <w:jc w:val="left"/>
                    <w:jc w:val="center"/>
                  </w:pPr>
                  <w:r>
                    <w:t xml:space="preserve">1.63 ± 0.35</w:t>
                  </w:r>
                </w:p>
              </w:tc>
              <w:tc>
                <w:tcPr/>
                <w:p>
                  <w:pPr>
                    <w:pStyle w:val="Compact"/>
                    <w:jc w:val="left"/>
                    <w:jc w:val="center"/>
                  </w:pPr>
                  <w:r>
                    <w:t xml:space="preserve">15.44 ± 3.2</w:t>
                  </w:r>
                </w:p>
              </w:tc>
              <w:tc>
                <w:tcPr/>
                <w:p>
                  <w:pPr>
                    <w:pStyle w:val="Compact"/>
                    <w:jc w:val="left"/>
                    <w:jc w:val="center"/>
                  </w:pPr>
                  <w:r>
                    <w:t xml:space="preserve">1.65 ± 0.3</w:t>
                  </w:r>
                </w:p>
              </w:tc>
              <w:tc>
                <w:tcPr/>
                <w:p>
                  <w:pPr>
                    <w:pStyle w:val="Compact"/>
                    <w:jc w:val="left"/>
                    <w:jc w:val="center"/>
                  </w:pPr>
                  <w:r>
                    <w:t xml:space="preserve">15.06 ± 3.23</w:t>
                  </w:r>
                </w:p>
              </w:tc>
            </w:tr>
            <w:tr>
              <w:tc>
                <w:tcPr/>
                <w:p>
                  <w:pPr>
                    <w:pStyle w:val="Compact"/>
                    <w:jc w:val="left"/>
                    <w:jc w:val="center"/>
                  </w:pPr>
                  <w:r>
                    <w:t xml:space="preserve">CrCH2</w:t>
                  </w:r>
                </w:p>
              </w:tc>
              <w:tc>
                <w:tcPr/>
                <w:p>
                  <w:pPr>
                    <w:pStyle w:val="Compact"/>
                    <w:jc w:val="left"/>
                    <w:jc w:val="center"/>
                  </w:pPr>
                  <w:r>
                    <w:t xml:space="preserve">0.26 ± 0.28</w:t>
                  </w:r>
                </w:p>
              </w:tc>
              <w:tc>
                <w:tcPr/>
                <w:p>
                  <w:pPr>
                    <w:pStyle w:val="Compact"/>
                    <w:jc w:val="left"/>
                    <w:jc w:val="center"/>
                  </w:pPr>
                  <w:r>
                    <w:t xml:space="preserve">433.94 ± 469.27</w:t>
                  </w:r>
                </w:p>
              </w:tc>
              <w:tc>
                <w:tcPr/>
                <w:p>
                  <w:pPr>
                    <w:pStyle w:val="Compact"/>
                    <w:jc w:val="left"/>
                    <w:jc w:val="center"/>
                  </w:pPr>
                  <w:r>
                    <w:t xml:space="preserve">0.24 ± 0.2</w:t>
                  </w:r>
                </w:p>
              </w:tc>
              <w:tc>
                <w:tcPr/>
                <w:p>
                  <w:pPr>
                    <w:pStyle w:val="Compact"/>
                    <w:jc w:val="left"/>
                    <w:jc w:val="center"/>
                  </w:pPr>
                  <w:r>
                    <w:t xml:space="preserve">285.11 ± 397.57</w:t>
                  </w:r>
                </w:p>
              </w:tc>
            </w:tr>
            <w:tr>
              <w:tc>
                <w:tcPr/>
                <w:p>
                  <w:pPr>
                    <w:pStyle w:val="Compact"/>
                    <w:jc w:val="left"/>
                    <w:jc w:val="center"/>
                  </w:pPr>
                  <w:r>
                    <w:t xml:space="preserve">tCho</w:t>
                  </w:r>
                </w:p>
              </w:tc>
              <w:tc>
                <w:tcPr/>
                <w:p>
                  <w:pPr>
                    <w:pStyle w:val="Compact"/>
                    <w:jc w:val="left"/>
                    <w:jc w:val="center"/>
                  </w:pPr>
                  <w:r>
                    <w:t xml:space="preserve">1.07 ± 0.09</w:t>
                  </w:r>
                </w:p>
              </w:tc>
              <w:tc>
                <w:tcPr/>
                <w:p>
                  <w:pPr>
                    <w:pStyle w:val="Compact"/>
                    <w:jc w:val="left"/>
                    <w:jc w:val="center"/>
                  </w:pPr>
                  <w:r>
                    <w:t xml:space="preserve">3.72 ± 0.46</w:t>
                  </w:r>
                </w:p>
              </w:tc>
              <w:tc>
                <w:tcPr/>
                <w:p>
                  <w:pPr>
                    <w:pStyle w:val="Compact"/>
                    <w:jc w:val="left"/>
                    <w:jc w:val="center"/>
                  </w:pPr>
                  <w:r>
                    <w:t xml:space="preserve">1.07 ± 0.09</w:t>
                  </w:r>
                </w:p>
              </w:tc>
              <w:tc>
                <w:tcPr/>
                <w:p>
                  <w:pPr>
                    <w:pStyle w:val="Compact"/>
                    <w:jc w:val="left"/>
                    <w:jc w:val="center"/>
                  </w:pPr>
                  <w:r>
                    <w:t xml:space="preserve">3.56 ± 0.62</w:t>
                  </w:r>
                </w:p>
              </w:tc>
            </w:tr>
            <w:tr>
              <w:tc>
                <w:tcPr/>
                <w:p>
                  <w:pPr>
                    <w:pStyle w:val="Compact"/>
                    <w:jc w:val="left"/>
                    <w:jc w:val="center"/>
                  </w:pPr>
                  <w:r>
                    <w:t xml:space="preserve">tCr</w:t>
                  </w:r>
                </w:p>
              </w:tc>
              <w:tc>
                <w:tcPr/>
                <w:p>
                  <w:pPr>
                    <w:pStyle w:val="Compact"/>
                    <w:jc w:val="left"/>
                    <w:jc w:val="center"/>
                  </w:pPr>
                  <w:r>
                    <w:t xml:space="preserve">7.72 ± 0.41</w:t>
                  </w:r>
                </w:p>
              </w:tc>
              <w:tc>
                <w:tcPr/>
                <w:p>
                  <w:pPr>
                    <w:pStyle w:val="Compact"/>
                    <w:jc w:val="left"/>
                    <w:jc w:val="center"/>
                  </w:pPr>
                  <w:r>
                    <w:t xml:space="preserve">1.44 ± 0.51</w:t>
                  </w:r>
                </w:p>
              </w:tc>
              <w:tc>
                <w:tcPr/>
                <w:p>
                  <w:pPr>
                    <w:pStyle w:val="Compact"/>
                    <w:jc w:val="left"/>
                    <w:jc w:val="center"/>
                  </w:pPr>
                  <w:r>
                    <w:t xml:space="preserve">7.8 ± 0.37</w:t>
                  </w:r>
                </w:p>
              </w:tc>
              <w:tc>
                <w:tcPr/>
                <w:p>
                  <w:pPr>
                    <w:pStyle w:val="Compact"/>
                    <w:jc w:val="left"/>
                    <w:jc w:val="center"/>
                  </w:pPr>
                  <w:r>
                    <w:t xml:space="preserve">1.39 ± 0.5</w:t>
                  </w:r>
                </w:p>
              </w:tc>
            </w:tr>
            <w:tr>
              <w:tc>
                <w:tcPr/>
                <w:p>
                  <w:pPr>
                    <w:pStyle w:val="Compact"/>
                    <w:jc w:val="left"/>
                    <w:jc w:val="center"/>
                  </w:pPr>
                  <w:r>
                    <w:t xml:space="preserve">tNAA</w:t>
                  </w:r>
                </w:p>
              </w:tc>
              <w:tc>
                <w:tcPr/>
                <w:p>
                  <w:pPr>
                    <w:pStyle w:val="Compact"/>
                    <w:jc w:val="left"/>
                    <w:jc w:val="center"/>
                  </w:pPr>
                  <w:r>
                    <w:t xml:space="preserve">11.88 ± 1.11</w:t>
                  </w:r>
                </w:p>
              </w:tc>
              <w:tc>
                <w:tcPr/>
                <w:p>
                  <w:pPr>
                    <w:pStyle w:val="Compact"/>
                    <w:jc w:val="left"/>
                    <w:jc w:val="center"/>
                  </w:pPr>
                  <w:r>
                    <w:t xml:space="preserve">1.94 ± 0.24</w:t>
                  </w:r>
                </w:p>
              </w:tc>
              <w:tc>
                <w:tcPr/>
                <w:p>
                  <w:pPr>
                    <w:pStyle w:val="Compact"/>
                    <w:jc w:val="left"/>
                    <w:jc w:val="center"/>
                  </w:pPr>
                  <w:r>
                    <w:t xml:space="preserve">11.91 ± 1.04</w:t>
                  </w:r>
                </w:p>
              </w:tc>
              <w:tc>
                <w:tcPr/>
                <w:p>
                  <w:pPr>
                    <w:pStyle w:val="Compact"/>
                    <w:jc w:val="left"/>
                    <w:jc w:val="center"/>
                  </w:pPr>
                  <w:r>
                    <w:t xml:space="preserve">1.83 ± 0.38</w:t>
                  </w:r>
                </w:p>
              </w:tc>
            </w:tr>
            <w:tr>
              <w:tc>
                <w:tcPr/>
                <w:p>
                  <w:pPr>
                    <w:pStyle w:val="Compact"/>
                    <w:jc w:val="left"/>
                    <w:jc w:val="center"/>
                  </w:pPr>
                  <w:r>
                    <w:t xml:space="preserve">Glx</w:t>
                  </w:r>
                </w:p>
              </w:tc>
              <w:tc>
                <w:tcPr/>
                <w:p>
                  <w:pPr>
                    <w:pStyle w:val="Compact"/>
                    <w:jc w:val="left"/>
                    <w:jc w:val="center"/>
                  </w:pPr>
                  <w:r>
                    <w:t xml:space="preserve">9.84 ± 1.06</w:t>
                  </w:r>
                </w:p>
              </w:tc>
              <w:tc>
                <w:tcPr/>
                <w:p>
                  <w:pPr>
                    <w:pStyle w:val="Compact"/>
                    <w:jc w:val="left"/>
                    <w:jc w:val="center"/>
                  </w:pPr>
                  <w:r>
                    <w:t xml:space="preserve">4.39 ± 0.5</w:t>
                  </w:r>
                </w:p>
              </w:tc>
              <w:tc>
                <w:tcPr/>
                <w:p>
                  <w:pPr>
                    <w:pStyle w:val="Compact"/>
                    <w:jc w:val="left"/>
                    <w:jc w:val="center"/>
                  </w:pPr>
                  <w:r>
                    <w:t xml:space="preserve">10.04 ± 0.79</w:t>
                  </w:r>
                </w:p>
              </w:tc>
              <w:tc>
                <w:tcPr/>
                <w:p>
                  <w:pPr>
                    <w:pStyle w:val="Compact"/>
                    <w:jc w:val="left"/>
                    <w:jc w:val="center"/>
                  </w:pPr>
                  <w:r>
                    <w:t xml:space="preserve">4.17 ± 0.51</w:t>
                  </w:r>
                </w:p>
              </w:tc>
            </w:tr>
            <w:tr>
              <w:tc>
                <w:tcPr/>
                <w:p>
                  <w:pPr>
                    <w:pStyle w:val="Compact"/>
                    <w:jc w:val="left"/>
                    <w:jc w:val="center"/>
                  </w:pPr>
                  <w:r>
                    <w:t xml:space="preserve">Lip13a</w:t>
                  </w:r>
                </w:p>
              </w:tc>
              <w:tc>
                <w:tcPr/>
                <w:p>
                  <w:pPr>
                    <w:pStyle w:val="Compact"/>
                    <w:jc w:val="left"/>
                    <w:jc w:val="center"/>
                  </w:pPr>
                  <w:r>
                    <w:t xml:space="preserve">18.63 ± 7.85</w:t>
                  </w:r>
                </w:p>
              </w:tc>
              <w:tc>
                <w:tcPr/>
                <w:p>
                  <w:pPr>
                    <w:pStyle w:val="Compact"/>
                    <w:jc w:val="left"/>
                    <w:jc w:val="center"/>
                  </w:pPr>
                  <w:r>
                    <w:t xml:space="preserve">76.06 ± 230.43</w:t>
                  </w:r>
                </w:p>
              </w:tc>
              <w:tc>
                <w:tcPr/>
                <w:p>
                  <w:pPr>
                    <w:pStyle w:val="Compact"/>
                    <w:jc w:val="left"/>
                    <w:jc w:val="center"/>
                  </w:pPr>
                  <w:r>
                    <w:t xml:space="preserve">20 ± 7.47</w:t>
                  </w:r>
                </w:p>
              </w:tc>
              <w:tc>
                <w:tcPr/>
                <w:p>
                  <w:pPr>
                    <w:pStyle w:val="Compact"/>
                    <w:jc w:val="left"/>
                    <w:jc w:val="center"/>
                  </w:pPr>
                  <w:r>
                    <w:t xml:space="preserve">21.78 ± 6.48</w:t>
                  </w:r>
                </w:p>
              </w:tc>
            </w:tr>
            <w:tr>
              <w:tc>
                <w:tcPr/>
                <w:p>
                  <w:pPr>
                    <w:pStyle w:val="Compact"/>
                    <w:jc w:val="left"/>
                    <w:jc w:val="center"/>
                  </w:pPr>
                  <w:r>
                    <w:t xml:space="preserve">Lip13b</w:t>
                  </w:r>
                </w:p>
              </w:tc>
              <w:tc>
                <w:tcPr/>
                <w:p>
                  <w:pPr>
                    <w:pStyle w:val="Compact"/>
                    <w:jc w:val="left"/>
                    <w:jc w:val="center"/>
                  </w:pPr>
                  <w:r>
                    <w:t xml:space="preserve">0.07 ± 0.3</w:t>
                  </w:r>
                </w:p>
              </w:tc>
              <w:tc>
                <w:tcPr/>
                <w:p>
                  <w:pPr>
                    <w:pStyle w:val="Compact"/>
                    <w:jc w:val="left"/>
                    <w:jc w:val="center"/>
                  </w:pPr>
                  <w:r>
                    <w:t xml:space="preserve">944.39 ± 231.7</w:t>
                  </w:r>
                </w:p>
              </w:tc>
              <w:tc>
                <w:tcPr/>
                <w:p>
                  <w:pPr>
                    <w:pStyle w:val="Compact"/>
                    <w:jc w:val="left"/>
                    <w:jc w:val="center"/>
                  </w:pPr>
                  <w:r>
                    <w:t xml:space="preserve">0 ± 0</w:t>
                  </w:r>
                </w:p>
              </w:tc>
              <w:tc>
                <w:tcPr/>
                <w:p>
                  <w:pPr>
                    <w:pStyle w:val="Compact"/>
                    <w:jc w:val="left"/>
                    <w:jc w:val="center"/>
                  </w:pPr>
                  <w:r>
                    <w:t xml:space="preserve">999 ± 0</w:t>
                  </w:r>
                </w:p>
              </w:tc>
            </w:tr>
            <w:tr>
              <w:tc>
                <w:tcPr/>
                <w:p>
                  <w:pPr>
                    <w:pStyle w:val="Compact"/>
                    <w:jc w:val="left"/>
                    <w:jc w:val="center"/>
                  </w:pPr>
                  <w:r>
                    <w:t xml:space="preserve">Lip09</w:t>
                  </w:r>
                </w:p>
              </w:tc>
              <w:tc>
                <w:tcPr/>
                <w:p>
                  <w:pPr>
                    <w:pStyle w:val="Compact"/>
                    <w:jc w:val="left"/>
                    <w:jc w:val="center"/>
                  </w:pPr>
                  <w:r>
                    <w:t xml:space="preserve">4.91 ± 2.05</w:t>
                  </w:r>
                </w:p>
              </w:tc>
              <w:tc>
                <w:tcPr/>
                <w:p>
                  <w:pPr>
                    <w:pStyle w:val="Compact"/>
                    <w:jc w:val="left"/>
                    <w:jc w:val="center"/>
                  </w:pPr>
                  <w:r>
                    <w:t xml:space="preserve">25 ± 9.44</w:t>
                  </w:r>
                </w:p>
              </w:tc>
              <w:tc>
                <w:tcPr/>
                <w:p>
                  <w:pPr>
                    <w:pStyle w:val="Compact"/>
                    <w:jc w:val="left"/>
                    <w:jc w:val="center"/>
                  </w:pPr>
                  <w:r>
                    <w:t xml:space="preserve">5.22 ± 2.04</w:t>
                  </w:r>
                </w:p>
              </w:tc>
              <w:tc>
                <w:tcPr/>
                <w:p>
                  <w:pPr>
                    <w:pStyle w:val="Compact"/>
                    <w:jc w:val="left"/>
                    <w:jc w:val="center"/>
                  </w:pPr>
                  <w:r>
                    <w:t xml:space="preserve">27 ± 10.96</w:t>
                  </w:r>
                </w:p>
              </w:tc>
            </w:tr>
            <w:tr>
              <w:tc>
                <w:tcPr/>
                <w:p>
                  <w:pPr>
                    <w:pStyle w:val="Compact"/>
                    <w:jc w:val="left"/>
                    <w:jc w:val="center"/>
                  </w:pPr>
                  <w:r>
                    <w:t xml:space="preserve">MM09</w:t>
                  </w:r>
                </w:p>
              </w:tc>
              <w:tc>
                <w:tcPr/>
                <w:p>
                  <w:pPr>
                    <w:pStyle w:val="Compact"/>
                    <w:jc w:val="left"/>
                    <w:jc w:val="center"/>
                  </w:pPr>
                  <w:r>
                    <w:t xml:space="preserve">3.1 ± 2.15</w:t>
                  </w:r>
                </w:p>
              </w:tc>
              <w:tc>
                <w:tcPr/>
                <w:p>
                  <w:pPr>
                    <w:pStyle w:val="Compact"/>
                    <w:jc w:val="left"/>
                    <w:jc w:val="center"/>
                  </w:pPr>
                  <w:r>
                    <w:t xml:space="preserve">112.67 ± 226.41</w:t>
                  </w:r>
                </w:p>
              </w:tc>
              <w:tc>
                <w:tcPr/>
                <w:p>
                  <w:pPr>
                    <w:pStyle w:val="Compact"/>
                    <w:jc w:val="left"/>
                    <w:jc w:val="center"/>
                  </w:pPr>
                  <w:r>
                    <w:t xml:space="preserve">3.03 ± 1.5</w:t>
                  </w:r>
                </w:p>
              </w:tc>
              <w:tc>
                <w:tcPr/>
                <w:p>
                  <w:pPr>
                    <w:pStyle w:val="Compact"/>
                    <w:jc w:val="left"/>
                    <w:jc w:val="center"/>
                  </w:pPr>
                  <w:r>
                    <w:t xml:space="preserve">103.56 ± 227.35</w:t>
                  </w:r>
                </w:p>
              </w:tc>
            </w:tr>
            <w:tr>
              <w:tc>
                <w:tcPr/>
                <w:p>
                  <w:pPr>
                    <w:pStyle w:val="Compact"/>
                    <w:jc w:val="left"/>
                    <w:jc w:val="center"/>
                  </w:pPr>
                  <w:r>
                    <w:t xml:space="preserve">Lip20</w:t>
                  </w:r>
                </w:p>
              </w:tc>
              <w:tc>
                <w:tcPr/>
                <w:p>
                  <w:pPr>
                    <w:pStyle w:val="Compact"/>
                    <w:jc w:val="left"/>
                    <w:jc w:val="center"/>
                  </w:pPr>
                  <w:r>
                    <w:t xml:space="preserve">3.64 ± 1.34</w:t>
                  </w:r>
                </w:p>
              </w:tc>
              <w:tc>
                <w:tcPr/>
                <w:p>
                  <w:pPr>
                    <w:pStyle w:val="Compact"/>
                    <w:jc w:val="left"/>
                    <w:jc w:val="center"/>
                  </w:pPr>
                  <w:r>
                    <w:t xml:space="preserve">15.5 ± 4.26</w:t>
                  </w:r>
                </w:p>
              </w:tc>
              <w:tc>
                <w:tcPr/>
                <w:p>
                  <w:pPr>
                    <w:pStyle w:val="Compact"/>
                    <w:jc w:val="left"/>
                    <w:jc w:val="center"/>
                  </w:pPr>
                  <w:r>
                    <w:t xml:space="preserve">4.05 ± 1</w:t>
                  </w:r>
                </w:p>
              </w:tc>
              <w:tc>
                <w:tcPr/>
                <w:p>
                  <w:pPr>
                    <w:pStyle w:val="Compact"/>
                    <w:jc w:val="left"/>
                    <w:jc w:val="center"/>
                  </w:pPr>
                  <w:r>
                    <w:t xml:space="preserve">14.44 ± 3.07</w:t>
                  </w:r>
                </w:p>
              </w:tc>
            </w:tr>
            <w:tr>
              <w:tc>
                <w:tcPr/>
                <w:p>
                  <w:pPr>
                    <w:pStyle w:val="Compact"/>
                    <w:jc w:val="left"/>
                    <w:jc w:val="center"/>
                  </w:pPr>
                  <w:r>
                    <w:t xml:space="preserve">MM20</w:t>
                  </w:r>
                </w:p>
              </w:tc>
              <w:tc>
                <w:tcPr/>
                <w:p>
                  <w:pPr>
                    <w:pStyle w:val="Compact"/>
                    <w:jc w:val="left"/>
                    <w:jc w:val="center"/>
                  </w:pPr>
                  <w:r>
                    <w:t xml:space="preserve">3.88 ± 3.43</w:t>
                  </w:r>
                </w:p>
              </w:tc>
              <w:tc>
                <w:tcPr/>
                <w:p>
                  <w:pPr>
                    <w:pStyle w:val="Compact"/>
                    <w:jc w:val="left"/>
                    <w:jc w:val="center"/>
                  </w:pPr>
                  <w:r>
                    <w:t xml:space="preserve">242.11 ± 383.63</w:t>
                  </w:r>
                </w:p>
              </w:tc>
              <w:tc>
                <w:tcPr/>
                <w:p>
                  <w:pPr>
                    <w:pStyle w:val="Compact"/>
                    <w:jc w:val="left"/>
                    <w:jc w:val="center"/>
                  </w:pPr>
                  <w:r>
                    <w:t xml:space="preserve">3.41 ± 2.16</w:t>
                  </w:r>
                </w:p>
              </w:tc>
              <w:tc>
                <w:tcPr/>
                <w:p>
                  <w:pPr>
                    <w:pStyle w:val="Compact"/>
                    <w:jc w:val="left"/>
                    <w:jc w:val="center"/>
                  </w:pPr>
                  <w:r>
                    <w:t xml:space="preserve">143 ± 262.51</w:t>
                  </w:r>
                </w:p>
              </w:tc>
            </w:tr>
            <w:tr>
              <w:tc>
                <w:tcPr/>
                <w:p>
                  <w:pPr>
                    <w:pStyle w:val="Compact"/>
                    <w:jc w:val="left"/>
                    <w:jc w:val="center"/>
                  </w:pPr>
                  <w:r>
                    <w:t xml:space="preserve">MM12</w:t>
                  </w:r>
                </w:p>
              </w:tc>
              <w:tc>
                <w:tcPr/>
                <w:p>
                  <w:pPr>
                    <w:pStyle w:val="Compact"/>
                    <w:jc w:val="left"/>
                    <w:jc w:val="center"/>
                  </w:pPr>
                  <w:r>
                    <w:t xml:space="preserve">0.95 ± 0.93</w:t>
                  </w:r>
                </w:p>
              </w:tc>
              <w:tc>
                <w:tcPr/>
                <w:p>
                  <w:pPr>
                    <w:pStyle w:val="Compact"/>
                    <w:jc w:val="left"/>
                    <w:jc w:val="center"/>
                  </w:pPr>
                  <w:r>
                    <w:t xml:space="preserve">316.28 ± 389.01</w:t>
                  </w:r>
                </w:p>
              </w:tc>
              <w:tc>
                <w:tcPr/>
                <w:p>
                  <w:pPr>
                    <w:pStyle w:val="Compact"/>
                    <w:jc w:val="left"/>
                    <w:jc w:val="center"/>
                  </w:pPr>
                  <w:r>
                    <w:t xml:space="preserve">0.99 ± 0.97</w:t>
                  </w:r>
                </w:p>
              </w:tc>
              <w:tc>
                <w:tcPr/>
                <w:p>
                  <w:pPr>
                    <w:pStyle w:val="Compact"/>
                    <w:jc w:val="left"/>
                    <w:jc w:val="center"/>
                  </w:pPr>
                  <w:r>
                    <w:t xml:space="preserve">333.78 ± 425.72</w:t>
                  </w:r>
                </w:p>
              </w:tc>
            </w:tr>
            <w:tr>
              <w:tc>
                <w:tcPr/>
                <w:p>
                  <w:pPr>
                    <w:pStyle w:val="Compact"/>
                    <w:jc w:val="left"/>
                    <w:jc w:val="center"/>
                  </w:pPr>
                  <w:r>
                    <w:t xml:space="preserve">MM14</w:t>
                  </w:r>
                </w:p>
              </w:tc>
              <w:tc>
                <w:tcPr/>
                <w:p>
                  <w:pPr>
                    <w:pStyle w:val="Compact"/>
                    <w:jc w:val="left"/>
                    <w:jc w:val="center"/>
                  </w:pPr>
                  <w:r>
                    <w:t xml:space="preserve">4.45 ± 2.14</w:t>
                  </w:r>
                </w:p>
              </w:tc>
              <w:tc>
                <w:tcPr/>
                <w:p>
                  <w:pPr>
                    <w:pStyle w:val="Compact"/>
                    <w:jc w:val="left"/>
                    <w:jc w:val="center"/>
                  </w:pPr>
                  <w:r>
                    <w:t xml:space="preserve">34.39 ± 21.5</w:t>
                  </w:r>
                </w:p>
              </w:tc>
              <w:tc>
                <w:tcPr/>
                <w:p>
                  <w:pPr>
                    <w:pStyle w:val="Compact"/>
                    <w:jc w:val="left"/>
                    <w:jc w:val="center"/>
                  </w:pPr>
                  <w:r>
                    <w:t xml:space="preserve">5.11 ± 2.63</w:t>
                  </w:r>
                </w:p>
              </w:tc>
              <w:tc>
                <w:tcPr/>
                <w:p>
                  <w:pPr>
                    <w:pStyle w:val="Compact"/>
                    <w:jc w:val="left"/>
                    <w:jc w:val="center"/>
                  </w:pPr>
                  <w:r>
                    <w:t xml:space="preserve">35.67 ± 25.59</w:t>
                  </w:r>
                </w:p>
              </w:tc>
            </w:tr>
            <w:tr>
              <w:tc>
                <w:tcPr/>
                <w:p>
                  <w:pPr>
                    <w:pStyle w:val="Compact"/>
                    <w:jc w:val="left"/>
                    <w:jc w:val="center"/>
                  </w:pPr>
                  <w:r>
                    <w:t xml:space="preserve">MM17</w:t>
                  </w:r>
                </w:p>
              </w:tc>
              <w:tc>
                <w:tcPr/>
                <w:p>
                  <w:pPr>
                    <w:pStyle w:val="Compact"/>
                    <w:jc w:val="left"/>
                    <w:jc w:val="center"/>
                  </w:pPr>
                  <w:r>
                    <w:t xml:space="preserve">2.56 ± 1.84</w:t>
                  </w:r>
                </w:p>
              </w:tc>
              <w:tc>
                <w:tcPr/>
                <w:p>
                  <w:pPr>
                    <w:pStyle w:val="Compact"/>
                    <w:jc w:val="left"/>
                    <w:jc w:val="center"/>
                  </w:pPr>
                  <w:r>
                    <w:t xml:space="preserve">246.39 ± 414.02</w:t>
                  </w:r>
                </w:p>
              </w:tc>
              <w:tc>
                <w:tcPr/>
                <w:p>
                  <w:pPr>
                    <w:pStyle w:val="Compact"/>
                    <w:jc w:val="left"/>
                    <w:jc w:val="center"/>
                  </w:pPr>
                  <w:r>
                    <w:t xml:space="preserve">2.69 ± 1.1</w:t>
                  </w:r>
                </w:p>
              </w:tc>
              <w:tc>
                <w:tcPr/>
                <w:p>
                  <w:pPr>
                    <w:pStyle w:val="Compact"/>
                    <w:jc w:val="left"/>
                    <w:jc w:val="center"/>
                  </w:pPr>
                  <w:r>
                    <w:t xml:space="preserve">39.89 ± 31.22</w:t>
                  </w:r>
                </w:p>
              </w:tc>
            </w:tr>
          </w:tbl>
          <w:p>
            <w:pPr>
              <w:jc w:val="center"/>
            </w:pPr>
            <w:pPr>
              <w:jc w:val="start"/>
              <w:spacing w:before="200"/>
              <w:pStyle w:val="ImageCaption"/>
            </w:pPr>
            <w:r>
              <w:t xml:space="preserve">Table S5</w:t>
            </w:r>
            <w:r>
              <w:rPr>
                <w:b/>
                <w:bCs/>
              </w:rPr>
              <w:t xml:space="preserve">.</w:t>
            </w:r>
            <w:r>
              <w:t xml:space="preserve"> </w:t>
            </w:r>
            <w:r>
              <w:rPr>
                <w:b/>
                <w:bCs/>
              </w:rPr>
              <w:t xml:space="preserve">All metabolite concentrations and Cramer-Rao lower bounds from semi-LASER.</w:t>
            </w:r>
            <w:r>
              <w:t xml:space="preserve"> </w:t>
            </w:r>
            <w:r>
              <w:t xml:space="preserve">Concentration values are in millimoles; Cramer-Rao lower bounds are in percentages. Conc = concentration; CRLB = Cramer-Rao lower bounds.</w:t>
            </w:r>
          </w:p>
          <w:bookmarkEnd w:id="387"/>
        </w:tc>
      </w:tr>
    </w:tbl>
    <w:bookmarkEnd w:id="388"/>
    <w:bookmarkStart w:id="390" w:name="mega-press"/>
    <w:p>
      <w:pPr>
        <w:pStyle w:val="Heading3"/>
      </w:pPr>
      <w:r>
        <w:t xml:space="preserve">MEGA-PRESS</w:t>
      </w:r>
    </w:p>
    <w:p>
      <w:pPr>
        <w:pStyle w:val="FirstParagraph"/>
      </w:pPr>
      <w:r>
        <w:t xml:space="preserve">All metabolite concentrations and Cramer-Rao lower bounds from J-edited MEGA-PRESS are reported in</w:t>
      </w:r>
      <w:r>
        <w:t xml:space="preserve"> </w:t>
      </w:r>
      <w:hyperlink w:anchor="supptbl-megapressmetabs">
        <w:r>
          <w:rPr>
            <w:rStyle w:val="InternetLink"/>
          </w:rPr>
          <w:t xml:space="preserve">Table S6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supptbl-megapressmetab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jc w:val="center"/>
                  </w:pPr>
                  <w:r>
                    <w:t xml:space="preserve">Rest Conc</w:t>
                  </w:r>
                </w:p>
              </w:tc>
              <w:tc>
                <w:tcPr/>
                <w:p>
                  <w:pPr>
                    <w:pStyle w:val="Compact"/>
                    <w:jc w:val="left"/>
                    <w:jc w:val="center"/>
                  </w:pPr>
                  <w:r>
                    <w:t xml:space="preserve">Rest CRLB</w:t>
                  </w:r>
                </w:p>
              </w:tc>
              <w:tc>
                <w:tcPr/>
                <w:p>
                  <w:pPr>
                    <w:pStyle w:val="Compact"/>
                    <w:jc w:val="left"/>
                    <w:jc w:val="center"/>
                  </w:pPr>
                  <w:r>
                    <w:t xml:space="preserve">Movie Conc</w:t>
                  </w:r>
                </w:p>
              </w:tc>
              <w:tc>
                <w:tcPr/>
                <w:p>
                  <w:pPr>
                    <w:pStyle w:val="Compact"/>
                    <w:jc w:val="left"/>
                    <w:jc w:val="center"/>
                  </w:pPr>
                  <w:r>
                    <w:t xml:space="preserve">Movie CRLB</w:t>
                  </w:r>
                </w:p>
              </w:tc>
            </w:tr>
            <w:tr>
              <w:tc>
                <w:tcPr/>
                <w:p>
                  <w:pPr>
                    <w:pStyle w:val="Compact"/>
                    <w:jc w:val="left"/>
                    <w:jc w:val="center"/>
                  </w:pPr>
                  <w:r>
                    <w:t xml:space="preserve">GABA</w:t>
                  </w:r>
                </w:p>
              </w:tc>
              <w:tc>
                <w:tcPr/>
                <w:p>
                  <w:pPr>
                    <w:pStyle w:val="Compact"/>
                    <w:jc w:val="left"/>
                    <w:jc w:val="center"/>
                  </w:pPr>
                  <w:r>
                    <w:t xml:space="preserve">1.64 ± 0.36</w:t>
                  </w:r>
                </w:p>
              </w:tc>
              <w:tc>
                <w:tcPr/>
                <w:p>
                  <w:pPr>
                    <w:pStyle w:val="Compact"/>
                    <w:jc w:val="left"/>
                    <w:jc w:val="center"/>
                  </w:pPr>
                  <w:r>
                    <w:t xml:space="preserve">16.61 ± 5.51</w:t>
                  </w:r>
                </w:p>
              </w:tc>
              <w:tc>
                <w:tcPr/>
                <w:p>
                  <w:pPr>
                    <w:pStyle w:val="Compact"/>
                    <w:jc w:val="left"/>
                    <w:jc w:val="center"/>
                  </w:pPr>
                  <w:r>
                    <w:t xml:space="preserve">1.55 ± 0.43</w:t>
                  </w:r>
                </w:p>
              </w:tc>
              <w:tc>
                <w:tcPr/>
                <w:p>
                  <w:pPr>
                    <w:pStyle w:val="Compact"/>
                    <w:jc w:val="left"/>
                    <w:jc w:val="center"/>
                  </w:pPr>
                  <w:r>
                    <w:t xml:space="preserve">18.5 ± 5.86</w:t>
                  </w:r>
                </w:p>
              </w:tc>
            </w:tr>
            <w:tr>
              <w:tc>
                <w:tcPr/>
                <w:p>
                  <w:pPr>
                    <w:pStyle w:val="Compact"/>
                    <w:jc w:val="left"/>
                    <w:jc w:val="center"/>
                  </w:pPr>
                  <w:r>
                    <w:t xml:space="preserve">GSH</w:t>
                  </w:r>
                </w:p>
              </w:tc>
              <w:tc>
                <w:tcPr/>
                <w:p>
                  <w:pPr>
                    <w:pStyle w:val="Compact"/>
                    <w:jc w:val="left"/>
                    <w:jc w:val="center"/>
                  </w:pPr>
                  <w:r>
                    <w:t xml:space="preserve">2.41 ± 0.6</w:t>
                  </w:r>
                </w:p>
              </w:tc>
              <w:tc>
                <w:tcPr/>
                <w:p>
                  <w:pPr>
                    <w:pStyle w:val="Compact"/>
                    <w:jc w:val="left"/>
                    <w:jc w:val="center"/>
                  </w:pPr>
                  <w:r>
                    <w:t xml:space="preserve">4.72 ± 0.57</w:t>
                  </w:r>
                </w:p>
              </w:tc>
              <w:tc>
                <w:tcPr/>
                <w:p>
                  <w:pPr>
                    <w:pStyle w:val="Compact"/>
                    <w:jc w:val="left"/>
                    <w:jc w:val="center"/>
                  </w:pPr>
                  <w:r>
                    <w:t xml:space="preserve">2.17 ± 0.62</w:t>
                  </w:r>
                </w:p>
              </w:tc>
              <w:tc>
                <w:tcPr/>
                <w:p>
                  <w:pPr>
                    <w:pStyle w:val="Compact"/>
                    <w:jc w:val="left"/>
                    <w:jc w:val="center"/>
                  </w:pPr>
                  <w:r>
                    <w:t xml:space="preserve">5.06 ± 0.94</w:t>
                  </w:r>
                </w:p>
              </w:tc>
            </w:tr>
            <w:tr>
              <w:tc>
                <w:tcPr/>
                <w:p>
                  <w:pPr>
                    <w:pStyle w:val="Compact"/>
                    <w:jc w:val="left"/>
                    <w:jc w:val="center"/>
                  </w:pPr>
                  <w:r>
                    <w:t xml:space="preserve">Gln</w:t>
                  </w:r>
                </w:p>
              </w:tc>
              <w:tc>
                <w:tcPr/>
                <w:p>
                  <w:pPr>
                    <w:pStyle w:val="Compact"/>
                    <w:jc w:val="left"/>
                    <w:jc w:val="center"/>
                  </w:pPr>
                  <w:r>
                    <w:t xml:space="preserve">2.59 ± 0.95</w:t>
                  </w:r>
                </w:p>
              </w:tc>
              <w:tc>
                <w:tcPr/>
                <w:p>
                  <w:pPr>
                    <w:pStyle w:val="Compact"/>
                    <w:jc w:val="left"/>
                    <w:jc w:val="center"/>
                  </w:pPr>
                  <w:r>
                    <w:t xml:space="preserve">74.56 ± 230.78</w:t>
                  </w:r>
                </w:p>
              </w:tc>
              <w:tc>
                <w:tcPr/>
                <w:p>
                  <w:pPr>
                    <w:pStyle w:val="Compact"/>
                    <w:jc w:val="left"/>
                    <w:jc w:val="center"/>
                  </w:pPr>
                  <w:r>
                    <w:t xml:space="preserve">2.4 ± 0.56</w:t>
                  </w:r>
                </w:p>
              </w:tc>
              <w:tc>
                <w:tcPr/>
                <w:p>
                  <w:pPr>
                    <w:pStyle w:val="Compact"/>
                    <w:jc w:val="left"/>
                    <w:jc w:val="center"/>
                  </w:pPr>
                  <w:r>
                    <w:t xml:space="preserve">24.11 ± 9.54</w:t>
                  </w:r>
                </w:p>
              </w:tc>
            </w:tr>
            <w:tr>
              <w:tc>
                <w:tcPr/>
                <w:p>
                  <w:pPr>
                    <w:pStyle w:val="Compact"/>
                    <w:jc w:val="left"/>
                    <w:jc w:val="center"/>
                  </w:pPr>
                  <w:r>
                    <w:t xml:space="preserve">Glu</w:t>
                  </w:r>
                </w:p>
              </w:tc>
              <w:tc>
                <w:tcPr/>
                <w:p>
                  <w:pPr>
                    <w:pStyle w:val="Compact"/>
                    <w:jc w:val="left"/>
                    <w:jc w:val="center"/>
                  </w:pPr>
                  <w:r>
                    <w:t xml:space="preserve">12.41 ± 1.76</w:t>
                  </w:r>
                </w:p>
              </w:tc>
              <w:tc>
                <w:tcPr/>
                <w:p>
                  <w:pPr>
                    <w:pStyle w:val="Compact"/>
                    <w:jc w:val="left"/>
                    <w:jc w:val="center"/>
                  </w:pPr>
                  <w:r>
                    <w:t xml:space="preserve">4.06 ± 0.64</w:t>
                  </w:r>
                </w:p>
              </w:tc>
              <w:tc>
                <w:tcPr/>
                <w:p>
                  <w:pPr>
                    <w:pStyle w:val="Compact"/>
                    <w:jc w:val="left"/>
                    <w:jc w:val="center"/>
                  </w:pPr>
                  <w:r>
                    <w:t xml:space="preserve">12.11 ± 1.65</w:t>
                  </w:r>
                </w:p>
              </w:tc>
              <w:tc>
                <w:tcPr/>
                <w:p>
                  <w:pPr>
                    <w:pStyle w:val="Compact"/>
                    <w:jc w:val="left"/>
                    <w:jc w:val="center"/>
                  </w:pPr>
                  <w:r>
                    <w:t xml:space="preserve">4.33 ± 0.77</w:t>
                  </w:r>
                </w:p>
              </w:tc>
            </w:tr>
            <w:tr>
              <w:tc>
                <w:tcPr/>
                <w:p>
                  <w:pPr>
                    <w:pStyle w:val="Compact"/>
                    <w:jc w:val="left"/>
                    <w:jc w:val="center"/>
                  </w:pPr>
                  <w:r>
                    <w:t xml:space="preserve">NAA</w:t>
                  </w:r>
                </w:p>
              </w:tc>
              <w:tc>
                <w:tcPr/>
                <w:p>
                  <w:pPr>
                    <w:pStyle w:val="Compact"/>
                    <w:jc w:val="left"/>
                    <w:jc w:val="center"/>
                  </w:pPr>
                  <w:r>
                    <w:t xml:space="preserve">16.47 ± 1.49</w:t>
                  </w:r>
                </w:p>
              </w:tc>
              <w:tc>
                <w:tcPr/>
                <w:p>
                  <w:pPr>
                    <w:pStyle w:val="Compact"/>
                    <w:jc w:val="left"/>
                    <w:jc w:val="center"/>
                  </w:pPr>
                  <w:r>
                    <w:t xml:space="preserve">9.94 ± 2.21</w:t>
                  </w:r>
                </w:p>
              </w:tc>
              <w:tc>
                <w:tcPr/>
                <w:p>
                  <w:pPr>
                    <w:pStyle w:val="Compact"/>
                    <w:jc w:val="left"/>
                    <w:jc w:val="center"/>
                  </w:pPr>
                  <w:r>
                    <w:t xml:space="preserve">16.29 ± 2.01</w:t>
                  </w:r>
                </w:p>
              </w:tc>
              <w:tc>
                <w:tcPr/>
                <w:p>
                  <w:pPr>
                    <w:pStyle w:val="Compact"/>
                    <w:jc w:val="left"/>
                    <w:jc w:val="center"/>
                  </w:pPr>
                  <w:r>
                    <w:t xml:space="preserve">10.39 ± 1.5</w:t>
                  </w:r>
                </w:p>
              </w:tc>
            </w:tr>
            <w:tr>
              <w:tc>
                <w:tcPr/>
                <w:p>
                  <w:pPr>
                    <w:pStyle w:val="Compact"/>
                    <w:jc w:val="left"/>
                    <w:jc w:val="center"/>
                  </w:pPr>
                  <w:r>
                    <w:t xml:space="preserve">NAAG</w:t>
                  </w:r>
                </w:p>
              </w:tc>
              <w:tc>
                <w:tcPr/>
                <w:p>
                  <w:pPr>
                    <w:pStyle w:val="Compact"/>
                    <w:jc w:val="left"/>
                    <w:jc w:val="center"/>
                  </w:pPr>
                  <w:r>
                    <w:t xml:space="preserve">1.8 ± 0.57</w:t>
                  </w:r>
                </w:p>
              </w:tc>
              <w:tc>
                <w:tcPr/>
                <w:p>
                  <w:pPr>
                    <w:pStyle w:val="Compact"/>
                    <w:jc w:val="left"/>
                    <w:jc w:val="center"/>
                  </w:pPr>
                  <w:r>
                    <w:t xml:space="preserve">16.61 ± 5.51</w:t>
                  </w:r>
                </w:p>
              </w:tc>
              <w:tc>
                <w:tcPr/>
                <w:p>
                  <w:pPr>
                    <w:pStyle w:val="Compact"/>
                    <w:jc w:val="left"/>
                    <w:jc w:val="center"/>
                  </w:pPr>
                  <w:r>
                    <w:t xml:space="preserve">2.02 ± 1.07</w:t>
                  </w:r>
                </w:p>
              </w:tc>
              <w:tc>
                <w:tcPr/>
                <w:p>
                  <w:pPr>
                    <w:pStyle w:val="Compact"/>
                    <w:jc w:val="left"/>
                    <w:jc w:val="center"/>
                  </w:pPr>
                  <w:r>
                    <w:t xml:space="preserve">18.5 ± 5.86</w:t>
                  </w:r>
                </w:p>
              </w:tc>
            </w:tr>
            <w:tr>
              <w:tc>
                <w:tcPr/>
                <w:p>
                  <w:pPr>
                    <w:pStyle w:val="Compact"/>
                    <w:jc w:val="left"/>
                    <w:jc w:val="center"/>
                  </w:pPr>
                  <w:r>
                    <w:t xml:space="preserve">tNAA</w:t>
                  </w:r>
                </w:p>
              </w:tc>
              <w:tc>
                <w:tcPr/>
                <w:p>
                  <w:pPr>
                    <w:pStyle w:val="Compact"/>
                    <w:jc w:val="left"/>
                    <w:jc w:val="center"/>
                  </w:pPr>
                  <w:r>
                    <w:t xml:space="preserve">18.27 ± 1.41</w:t>
                  </w:r>
                </w:p>
              </w:tc>
              <w:tc>
                <w:tcPr/>
                <w:p>
                  <w:pPr>
                    <w:pStyle w:val="Compact"/>
                    <w:jc w:val="left"/>
                    <w:jc w:val="center"/>
                  </w:pPr>
                  <w:r>
                    <w:t xml:space="preserve">4.72 ± 0.57</w:t>
                  </w:r>
                </w:p>
              </w:tc>
              <w:tc>
                <w:tcPr/>
                <w:p>
                  <w:pPr>
                    <w:pStyle w:val="Compact"/>
                    <w:jc w:val="left"/>
                    <w:jc w:val="center"/>
                  </w:pPr>
                  <w:r>
                    <w:t xml:space="preserve">18.31 ± 1.65</w:t>
                  </w:r>
                </w:p>
              </w:tc>
              <w:tc>
                <w:tcPr/>
                <w:p>
                  <w:pPr>
                    <w:pStyle w:val="Compact"/>
                    <w:jc w:val="left"/>
                    <w:jc w:val="center"/>
                  </w:pPr>
                  <w:r>
                    <w:t xml:space="preserve">5.06 ± 0.94</w:t>
                  </w:r>
                </w:p>
              </w:tc>
            </w:tr>
            <w:tr>
              <w:tc>
                <w:tcPr/>
                <w:p>
                  <w:pPr>
                    <w:pStyle w:val="Compact"/>
                    <w:jc w:val="left"/>
                    <w:jc w:val="center"/>
                  </w:pPr>
                  <w:r>
                    <w:t xml:space="preserve">Glx</w:t>
                  </w:r>
                </w:p>
              </w:tc>
              <w:tc>
                <w:tcPr/>
                <w:p>
                  <w:pPr>
                    <w:pStyle w:val="Compact"/>
                    <w:jc w:val="left"/>
                    <w:jc w:val="center"/>
                  </w:pPr>
                  <w:r>
                    <w:t xml:space="preserve">15 ± 1.51</w:t>
                  </w:r>
                </w:p>
              </w:tc>
              <w:tc>
                <w:tcPr/>
                <w:p>
                  <w:pPr>
                    <w:pStyle w:val="Compact"/>
                    <w:jc w:val="left"/>
                    <w:jc w:val="center"/>
                  </w:pPr>
                  <w:r>
                    <w:t xml:space="preserve">74.56 ± 230.78</w:t>
                  </w:r>
                </w:p>
              </w:tc>
              <w:tc>
                <w:tcPr/>
                <w:p>
                  <w:pPr>
                    <w:pStyle w:val="Compact"/>
                    <w:jc w:val="left"/>
                    <w:jc w:val="center"/>
                  </w:pPr>
                  <w:r>
                    <w:t xml:space="preserve">14.51 ± 1.57</w:t>
                  </w:r>
                </w:p>
              </w:tc>
              <w:tc>
                <w:tcPr/>
                <w:p>
                  <w:pPr>
                    <w:pStyle w:val="Compact"/>
                    <w:jc w:val="left"/>
                    <w:jc w:val="center"/>
                  </w:pPr>
                  <w:r>
                    <w:t xml:space="preserve">24.11 ± 9.54</w:t>
                  </w:r>
                </w:p>
              </w:tc>
            </w:tr>
            <w:tr>
              <w:tc>
                <w:tcPr/>
                <w:p>
                  <w:pPr>
                    <w:pStyle w:val="Compact"/>
                    <w:jc w:val="left"/>
                    <w:jc w:val="center"/>
                  </w:pPr>
                  <w:r>
                    <w:t xml:space="preserve">MM09</w:t>
                  </w:r>
                </w:p>
              </w:tc>
              <w:tc>
                <w:tcPr/>
                <w:p>
                  <w:pPr>
                    <w:pStyle w:val="Compact"/>
                    <w:jc w:val="left"/>
                    <w:jc w:val="center"/>
                  </w:pPr>
                  <w:r>
                    <w:t xml:space="preserve">3.84 ± 0.77</w:t>
                  </w:r>
                </w:p>
              </w:tc>
              <w:tc>
                <w:tcPr/>
                <w:p>
                  <w:pPr>
                    <w:pStyle w:val="Compact"/>
                    <w:jc w:val="left"/>
                    <w:jc w:val="center"/>
                  </w:pPr>
                  <w:r>
                    <w:t xml:space="preserve">4.06 ± 0.64</w:t>
                  </w:r>
                </w:p>
              </w:tc>
              <w:tc>
                <w:tcPr/>
                <w:p>
                  <w:pPr>
                    <w:pStyle w:val="Compact"/>
                    <w:jc w:val="left"/>
                    <w:jc w:val="center"/>
                  </w:pPr>
                  <w:r>
                    <w:t xml:space="preserve">3.69 ± 0.49</w:t>
                  </w:r>
                </w:p>
              </w:tc>
              <w:tc>
                <w:tcPr/>
                <w:p>
                  <w:pPr>
                    <w:pStyle w:val="Compact"/>
                    <w:jc w:val="left"/>
                    <w:jc w:val="center"/>
                  </w:pPr>
                  <w:r>
                    <w:t xml:space="preserve">4.33 ± 0.77</w:t>
                  </w:r>
                </w:p>
              </w:tc>
            </w:tr>
            <w:tr>
              <w:tc>
                <w:tcPr/>
                <w:p>
                  <w:pPr>
                    <w:pStyle w:val="Compact"/>
                    <w:jc w:val="left"/>
                    <w:jc w:val="center"/>
                  </w:pPr>
                  <w:r>
                    <w:t xml:space="preserve">GABAplus</w:t>
                  </w:r>
                </w:p>
              </w:tc>
              <w:tc>
                <w:tcPr/>
                <w:p>
                  <w:pPr>
                    <w:pStyle w:val="Compact"/>
                    <w:jc w:val="left"/>
                    <w:jc w:val="center"/>
                  </w:pPr>
                  <w:r>
                    <w:t xml:space="preserve">5.48 ± 0.77</w:t>
                  </w:r>
                </w:p>
              </w:tc>
              <w:tc>
                <w:tcPr/>
                <w:p>
                  <w:pPr>
                    <w:pStyle w:val="Compact"/>
                    <w:jc w:val="left"/>
                    <w:jc w:val="center"/>
                  </w:pPr>
                  <w:r>
                    <w:t xml:space="preserve">9.94 ± 2.21</w:t>
                  </w:r>
                </w:p>
              </w:tc>
              <w:tc>
                <w:tcPr/>
                <w:p>
                  <w:pPr>
                    <w:pStyle w:val="Compact"/>
                    <w:jc w:val="left"/>
                    <w:jc w:val="center"/>
                  </w:pPr>
                  <w:r>
                    <w:t xml:space="preserve">5.23 ± 0.71</w:t>
                  </w:r>
                </w:p>
              </w:tc>
              <w:tc>
                <w:tcPr/>
                <w:p>
                  <w:pPr>
                    <w:pStyle w:val="Compact"/>
                    <w:jc w:val="left"/>
                    <w:jc w:val="center"/>
                  </w:pPr>
                  <w:r>
                    <w:t xml:space="preserve">10.39 ± 1.5</w:t>
                  </w:r>
                </w:p>
              </w:tc>
            </w:tr>
          </w:tbl>
          <w:p>
            <w:pPr>
              <w:jc w:val="center"/>
            </w:pPr>
            <w:pPr>
              <w:jc w:val="start"/>
              <w:spacing w:before="200"/>
              <w:pStyle w:val="ImageCaption"/>
            </w:pPr>
            <w:r>
              <w:t xml:space="preserve">Table S6</w:t>
            </w:r>
            <w:r>
              <w:rPr>
                <w:b/>
                <w:bCs/>
              </w:rPr>
              <w:t xml:space="preserve">.</w:t>
            </w:r>
            <w:r>
              <w:t xml:space="preserve"> </w:t>
            </w:r>
            <w:r>
              <w:rPr>
                <w:b/>
                <w:bCs/>
              </w:rPr>
              <w:t xml:space="preserve">All metabolite concentrations and Cramer-Rao lower bounds from J-edited MEGA-PRESS.</w:t>
            </w:r>
            <w:r>
              <w:t xml:space="preserve"> </w:t>
            </w:r>
            <w:r>
              <w:t xml:space="preserve">Concentration values are in millimoles; Cramer-Rao lower bounds are in percentages. Conc = concentration; CRLB = Cramer-Rao lower bounds.</w:t>
            </w:r>
          </w:p>
          <w:bookmarkEnd w:id="389"/>
        </w:tc>
      </w:tr>
    </w:tbl>
    <w:bookmarkEnd w:id="390"/>
    <w:bookmarkEnd w:id="391"/>
    <w:bookmarkStart w:id="407" w:name="data-quality-1"/>
    <w:p>
      <w:pPr>
        <w:pStyle w:val="Heading2"/>
      </w:pPr>
      <w:r>
        <w:t xml:space="preserve">Data quality</w:t>
      </w:r>
    </w:p>
    <w:p>
      <w:pPr>
        <w:pStyle w:val="FirstParagraph"/>
      </w:pPr>
      <w:r>
        <w:t xml:space="preserve">Data quality correlations for Hurst with mean framewise displacement, Glx and GABA+ with FWHM, and Glx and GABA+ with frequency shift are shown in</w:t>
      </w:r>
      <w:r>
        <w:t xml:space="preserve"> </w:t>
      </w:r>
      <w:hyperlink w:anchor="suppfig-dataquality">
        <w:r>
          <w:rPr>
            <w:rStyle w:val="InternetLink"/>
          </w:rPr>
          <w:t xml:space="preserve">Figure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5" w:name="suppfig-dataquality"/>
          <w:p>
            <w:pPr>
              <w:jc w:val="center"/>
            </w:pPr>
            <w:r>
              <w:drawing>
                <wp:inline>
                  <wp:extent cx="5544151" cy="7392202"/>
                  <wp:effectExtent b="0" l="0" r="0" t="0"/>
                  <wp:docPr descr="" title="" id="393" name="Picture"/>
                  <a:graphic>
                    <a:graphicData uri="http://schemas.openxmlformats.org/drawingml/2006/picture">
                      <pic:pic>
                        <pic:nvPicPr>
                          <pic:cNvPr descr="index_files/figure-docx/unnamed-chunk-15-1.png" id="394" name="Picture"/>
                          <pic:cNvPicPr>
                            <a:picLocks noChangeArrowheads="1" noChangeAspect="1"/>
                          </pic:cNvPicPr>
                        </pic:nvPicPr>
                        <pic:blipFill>
                          <a:blip r:embed="rId392"/>
                          <a:stretch>
                            <a:fillRect/>
                          </a:stretch>
                        </pic:blipFill>
                        <pic:spPr bwMode="auto">
                          <a:xfrm>
                            <a:off x="0" y="0"/>
                            <a:ext cx="5544151" cy="73922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w:t>
            </w:r>
            <w:r>
              <w:rPr>
                <w:b/>
                <w:bCs/>
              </w:rPr>
              <w:t xml:space="preserve">.</w:t>
            </w:r>
            <w:r>
              <w:t xml:space="preserve"> </w:t>
            </w:r>
            <w:r>
              <w:rPr>
                <w:b/>
                <w:bCs/>
              </w:rPr>
              <w:t xml:space="preserve">Data quality correlations.</w:t>
            </w:r>
            <w:r>
              <w:t xml:space="preserve"> </w:t>
            </w:r>
            <w:r>
              <w:t xml:space="preserve">A) Correlation plots of H vs. mean FD (mm) for rest (green) and movie (orange). B) and C) Correlation plots of Glx (B) and GABA+ (C) vs. water FWHM (Hz) for rest (green) and movie (orange). D) and E) Correlation plots of Glx (B) and GABA+ (C) vs. frequency shift (ppm) for rest (green) and movie (orange).</w:t>
            </w:r>
          </w:p>
          <w:bookmarkEnd w:id="395"/>
        </w:tc>
      </w:tr>
    </w:tbl>
    <w:p>
      <w:pPr>
        <w:pStyle w:val="TextBody"/>
      </w:pPr>
      <w:r>
        <w:t xml:space="preserve">Rest vs movie FWHM comparisons (paired t-tests) are provided in</w:t>
      </w:r>
      <w:r>
        <w:t xml:space="preserve"> </w:t>
      </w:r>
      <w:hyperlink w:anchor="supptbl-FWHMprepost">
        <w:r>
          <w:rPr>
            <w:rStyle w:val="InternetLink"/>
          </w:rPr>
          <w:t xml:space="preserve">Table S7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6" w:name="supptbl-FWHMprepost"/>
          <w:tbl>
            <w:tblPr>
              <w:tblStyle w:val="Table"/>
              <w:tblW w:type="pct" w:w="5000"/>
              <w:tblLayout w:type="fixed"/>
              <w:tblLook w:firstRow="1" w:lastRow="0" w:firstColumn="0" w:lastColumn="0" w:noHBand="0" w:noVBand="0" w:val="0020"/>
            </w:tblPr>
            <w:tblGrid>
              <w:gridCol w:w="866"/>
              <w:gridCol w:w="990"/>
              <w:gridCol w:w="1113"/>
              <w:gridCol w:w="990"/>
              <w:gridCol w:w="990"/>
              <w:gridCol w:w="742"/>
              <w:gridCol w:w="618"/>
              <w:gridCol w:w="742"/>
              <w:gridCol w:w="866"/>
            </w:tblGrid>
            <w:tr>
              <w:trPr>
                <w:tblHeader w:val="on"/>
              </w:trPr>
              <w:tc>
                <w:tcPr/>
                <w:p>
                  <w:pPr>
                    <w:pStyle w:val="Compact"/>
                    <w:jc w:val="left"/>
                    <w:jc w:val="center"/>
                  </w:pPr>
                  <w:r>
                    <w:t xml:space="preserve">Seq</w:t>
                  </w:r>
                </w:p>
              </w:tc>
              <w:tc>
                <w:tcPr/>
                <w:p>
                  <w:pPr>
                    <w:pStyle w:val="Compact"/>
                    <w:jc w:val="right"/>
                    <w:jc w:val="center"/>
                  </w:pPr>
                  <w:r>
                    <w:t xml:space="preserve">m. rest</w:t>
                  </w:r>
                </w:p>
              </w:tc>
              <w:tc>
                <w:tcPr/>
                <w:p>
                  <w:pPr>
                    <w:pStyle w:val="Compact"/>
                    <w:jc w:val="right"/>
                    <w:jc w:val="center"/>
                  </w:pPr>
                  <w:r>
                    <w:t xml:space="preserve">m. movie</w:t>
                  </w:r>
                </w:p>
              </w:tc>
              <w:tc>
                <w:tcPr/>
                <w:p>
                  <w:pPr>
                    <w:pStyle w:val="Compact"/>
                    <w:jc w:val="right"/>
                    <w:jc w:val="center"/>
                  </w:pPr>
                  <w:r>
                    <w:t xml:space="preserve">m. diff</w:t>
                  </w:r>
                </w:p>
              </w:tc>
              <w:tc>
                <w:tcPr/>
                <w:p>
                  <w:pPr>
                    <w:pStyle w:val="Compact"/>
                    <w:jc w:val="right"/>
                    <w:jc w:val="center"/>
                  </w:pPr>
                  <w:r>
                    <w:t xml:space="preserve">sd diff</w:t>
                  </w:r>
                </w:p>
              </w:tc>
              <w:tc>
                <w:tcPr/>
                <w:p>
                  <w:pPr>
                    <w:pStyle w:val="Compact"/>
                    <w:jc w:val="right"/>
                    <w:jc w:val="center"/>
                  </w:pPr>
                  <w:r>
                    <w:t xml:space="preserve">t</w:t>
                  </w:r>
                </w:p>
              </w:tc>
              <w:tc>
                <w:tcPr/>
                <w:p>
                  <w:pPr>
                    <w:pStyle w:val="Compact"/>
                    <w:jc w:val="right"/>
                    <w:jc w:val="center"/>
                  </w:pPr>
                  <w:r>
                    <w:t xml:space="preserve">p</w:t>
                  </w:r>
                </w:p>
              </w:tc>
              <w:tc>
                <w:tcPr/>
                <w:p>
                  <w:pPr>
                    <w:pStyle w:val="Compact"/>
                    <w:jc w:val="right"/>
                    <w:jc w:val="center"/>
                  </w:pPr>
                  <w:r>
                    <w:t xml:space="preserve">CIlow</w:t>
                  </w:r>
                </w:p>
              </w:tc>
              <w:tc>
                <w:tcPr/>
                <w:p>
                  <w:pPr>
                    <w:pStyle w:val="Compact"/>
                    <w:jc w:val="right"/>
                    <w:jc w:val="center"/>
                  </w:pPr>
                  <w:r>
                    <w:t xml:space="preserve">CIhigh</w:t>
                  </w:r>
                </w:p>
              </w:tc>
            </w:tr>
            <w:tr>
              <w:tc>
                <w:tcPr/>
                <w:p>
                  <w:pPr>
                    <w:pStyle w:val="Compact"/>
                    <w:jc w:val="left"/>
                    <w:jc w:val="center"/>
                  </w:pPr>
                  <w:r>
                    <w:t xml:space="preserve">MEGA</w:t>
                  </w:r>
                </w:p>
              </w:tc>
              <w:tc>
                <w:tcPr/>
                <w:p>
                  <w:pPr>
                    <w:pStyle w:val="Compact"/>
                    <w:jc w:val="right"/>
                    <w:jc w:val="center"/>
                  </w:pPr>
                  <w:r>
                    <w:t xml:space="preserve">7.86</w:t>
                  </w:r>
                </w:p>
              </w:tc>
              <w:tc>
                <w:tcPr/>
                <w:p>
                  <w:pPr>
                    <w:pStyle w:val="Compact"/>
                    <w:jc w:val="right"/>
                    <w:jc w:val="center"/>
                  </w:pPr>
                  <w:r>
                    <w:t xml:space="preserve">7.95</w:t>
                  </w:r>
                </w:p>
              </w:tc>
              <w:tc>
                <w:tcPr/>
                <w:p>
                  <w:pPr>
                    <w:pStyle w:val="Compact"/>
                    <w:jc w:val="right"/>
                    <w:jc w:val="center"/>
                  </w:pPr>
                  <w:r>
                    <w:t xml:space="preserve">0.09</w:t>
                  </w:r>
                </w:p>
              </w:tc>
              <w:tc>
                <w:tcPr/>
                <w:p>
                  <w:pPr>
                    <w:pStyle w:val="Compact"/>
                    <w:jc w:val="right"/>
                    <w:jc w:val="center"/>
                  </w:pPr>
                  <w:r>
                    <w:t xml:space="preserve">0.51</w:t>
                  </w:r>
                </w:p>
              </w:tc>
              <w:tc>
                <w:tcPr/>
                <w:p>
                  <w:pPr>
                    <w:pStyle w:val="Compact"/>
                    <w:jc w:val="right"/>
                    <w:jc w:val="center"/>
                  </w:pPr>
                  <w:r>
                    <w:t xml:space="preserve">0.75</w:t>
                  </w:r>
                </w:p>
              </w:tc>
              <w:tc>
                <w:tcPr/>
                <w:p>
                  <w:pPr>
                    <w:pStyle w:val="Compact"/>
                    <w:jc w:val="right"/>
                    <w:jc w:val="center"/>
                  </w:pPr>
                  <w:r>
                    <w:t xml:space="preserve">0.46</w:t>
                  </w:r>
                </w:p>
              </w:tc>
              <w:tc>
                <w:tcPr/>
                <w:p>
                  <w:pPr>
                    <w:pStyle w:val="Compact"/>
                    <w:jc w:val="right"/>
                    <w:jc w:val="center"/>
                  </w:pPr>
                  <w:r>
                    <w:t xml:space="preserve">-0.16</w:t>
                  </w:r>
                </w:p>
              </w:tc>
              <w:tc>
                <w:tcPr/>
                <w:p>
                  <w:pPr>
                    <w:pStyle w:val="Compact"/>
                    <w:jc w:val="right"/>
                    <w:jc w:val="center"/>
                  </w:pPr>
                  <w:r>
                    <w:t xml:space="preserve">0.34</w:t>
                  </w:r>
                </w:p>
              </w:tc>
            </w:tr>
            <w:tr>
              <w:tc>
                <w:tcPr/>
                <w:p>
                  <w:pPr>
                    <w:pStyle w:val="Compact"/>
                    <w:jc w:val="left"/>
                    <w:jc w:val="center"/>
                  </w:pPr>
                  <w:r>
                    <w:t xml:space="preserve">sLASER</w:t>
                  </w:r>
                </w:p>
              </w:tc>
              <w:tc>
                <w:tcPr/>
                <w:p>
                  <w:pPr>
                    <w:pStyle w:val="Compact"/>
                    <w:jc w:val="right"/>
                    <w:jc w:val="center"/>
                  </w:pPr>
                  <w:r>
                    <w:t xml:space="preserve">8.47</w:t>
                  </w:r>
                </w:p>
              </w:tc>
              <w:tc>
                <w:tcPr/>
                <w:p>
                  <w:pPr>
                    <w:pStyle w:val="Compact"/>
                    <w:jc w:val="right"/>
                    <w:jc w:val="center"/>
                  </w:pPr>
                  <w:r>
                    <w:t xml:space="preserve">8.32</w:t>
                  </w:r>
                </w:p>
              </w:tc>
              <w:tc>
                <w:tcPr/>
                <w:p>
                  <w:pPr>
                    <w:pStyle w:val="Compact"/>
                    <w:jc w:val="right"/>
                    <w:jc w:val="center"/>
                  </w:pPr>
                  <w:r>
                    <w:t xml:space="preserve">-0.15</w:t>
                  </w:r>
                </w:p>
              </w:tc>
              <w:tc>
                <w:tcPr/>
                <w:p>
                  <w:pPr>
                    <w:pStyle w:val="Compact"/>
                    <w:jc w:val="right"/>
                    <w:jc w:val="center"/>
                  </w:pPr>
                  <w:r>
                    <w:t xml:space="preserve">0.49</w:t>
                  </w:r>
                </w:p>
              </w:tc>
              <w:tc>
                <w:tcPr/>
                <w:p>
                  <w:pPr>
                    <w:pStyle w:val="Compact"/>
                    <w:jc w:val="right"/>
                    <w:jc w:val="center"/>
                  </w:pPr>
                  <w:r>
                    <w:t xml:space="preserve">-1.28</w:t>
                  </w:r>
                </w:p>
              </w:tc>
              <w:tc>
                <w:tcPr/>
                <w:p>
                  <w:pPr>
                    <w:pStyle w:val="Compact"/>
                    <w:jc w:val="right"/>
                    <w:jc w:val="center"/>
                  </w:pPr>
                  <w:r>
                    <w:t xml:space="preserve">0.22</w:t>
                  </w:r>
                </w:p>
              </w:tc>
              <w:tc>
                <w:tcPr/>
                <w:p>
                  <w:pPr>
                    <w:pStyle w:val="Compact"/>
                    <w:jc w:val="right"/>
                    <w:jc w:val="center"/>
                  </w:pPr>
                  <w:r>
                    <w:t xml:space="preserve">-0.39</w:t>
                  </w:r>
                </w:p>
              </w:tc>
              <w:tc>
                <w:tcPr/>
                <w:p>
                  <w:pPr>
                    <w:pStyle w:val="Compact"/>
                    <w:jc w:val="right"/>
                    <w:jc w:val="center"/>
                  </w:pPr>
                  <w:r>
                    <w:t xml:space="preserve">0.10</w:t>
                  </w:r>
                </w:p>
              </w:tc>
            </w:tr>
          </w:tbl>
          <w:p>
            <w:pPr>
              <w:jc w:val="center"/>
            </w:pPr>
            <w:pPr>
              <w:jc w:val="start"/>
              <w:spacing w:before="200"/>
              <w:pStyle w:val="ImageCaption"/>
            </w:pPr>
            <w:r>
              <w:t xml:space="preserve">Table S7</w:t>
            </w:r>
            <w:r>
              <w:rPr>
                <w:b/>
                <w:bCs/>
              </w:rPr>
              <w:t xml:space="preserve">.</w:t>
            </w:r>
            <w:r>
              <w:t xml:space="preserve"> </w:t>
            </w:r>
            <w:r>
              <w:t xml:space="preserve">Rest vs. movie FWHM comparison (paired t-tests) for each spectroscopy sequence. Seq = sequence; m. = mean; sd = standard deviation; t = t-value; p = p-value; CIlow = lower confidence interval; CIhigh = higher confidence interval.</w:t>
            </w:r>
          </w:p>
          <w:bookmarkEnd w:id="396"/>
        </w:tc>
      </w:tr>
    </w:tbl>
    <w:p>
      <w:pPr>
        <w:pStyle w:val="TextBody"/>
      </w:pPr>
      <w:r>
        <w:t xml:space="preserve">Rest vs movie FWHM comparisons (paired t-tests) are provided in</w:t>
      </w:r>
      <w:r>
        <w:t xml:space="preserve"> </w:t>
      </w:r>
      <w:hyperlink w:anchor="supptbl-CRSNR">
        <w:r>
          <w:rPr>
            <w:rStyle w:val="InternetLink"/>
          </w:rPr>
          <w:t xml:space="preserve">Table 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7" w:name="supptbl-CRSNR"/>
          <w:tbl>
            <w:tblPr>
              <w:tblStyle w:val="Table"/>
              <w:tblW w:type="pct" w:w="5000"/>
              <w:tblLayout w:type="fixed"/>
              <w:tblLook w:firstRow="1" w:lastRow="0" w:firstColumn="0" w:lastColumn="0" w:noHBand="0" w:noVBand="0" w:val="0020"/>
            </w:tblPr>
            <w:tblGrid>
              <w:gridCol w:w="852"/>
              <w:gridCol w:w="974"/>
              <w:gridCol w:w="1096"/>
              <w:gridCol w:w="974"/>
              <w:gridCol w:w="974"/>
              <w:gridCol w:w="731"/>
              <w:gridCol w:w="609"/>
              <w:gridCol w:w="852"/>
              <w:gridCol w:w="852"/>
            </w:tblGrid>
            <w:tr>
              <w:trPr>
                <w:tblHeader w:val="on"/>
              </w:trPr>
              <w:tc>
                <w:tcPr/>
                <w:p>
                  <w:pPr>
                    <w:pStyle w:val="Compact"/>
                    <w:jc w:val="left"/>
                    <w:jc w:val="center"/>
                  </w:pPr>
                  <w:r>
                    <w:t xml:space="preserve">Seq</w:t>
                  </w:r>
                </w:p>
              </w:tc>
              <w:tc>
                <w:tcPr/>
                <w:p>
                  <w:pPr>
                    <w:pStyle w:val="Compact"/>
                    <w:jc w:val="right"/>
                    <w:jc w:val="center"/>
                  </w:pPr>
                  <w:r>
                    <w:t xml:space="preserve">m. rest</w:t>
                  </w:r>
                </w:p>
              </w:tc>
              <w:tc>
                <w:tcPr/>
                <w:p>
                  <w:pPr>
                    <w:pStyle w:val="Compact"/>
                    <w:jc w:val="right"/>
                    <w:jc w:val="center"/>
                  </w:pPr>
                  <w:r>
                    <w:t xml:space="preserve">m. movie</w:t>
                  </w:r>
                </w:p>
              </w:tc>
              <w:tc>
                <w:tcPr/>
                <w:p>
                  <w:pPr>
                    <w:pStyle w:val="Compact"/>
                    <w:jc w:val="right"/>
                    <w:jc w:val="center"/>
                  </w:pPr>
                  <w:r>
                    <w:t xml:space="preserve">m. diff</w:t>
                  </w:r>
                </w:p>
              </w:tc>
              <w:tc>
                <w:tcPr/>
                <w:p>
                  <w:pPr>
                    <w:pStyle w:val="Compact"/>
                    <w:jc w:val="right"/>
                    <w:jc w:val="center"/>
                  </w:pPr>
                  <w:r>
                    <w:t xml:space="preserve">sd diff</w:t>
                  </w:r>
                </w:p>
              </w:tc>
              <w:tc>
                <w:tcPr/>
                <w:p>
                  <w:pPr>
                    <w:pStyle w:val="Compact"/>
                    <w:jc w:val="right"/>
                    <w:jc w:val="center"/>
                  </w:pPr>
                  <w:r>
                    <w:t xml:space="preserve">t</w:t>
                  </w:r>
                </w:p>
              </w:tc>
              <w:tc>
                <w:tcPr/>
                <w:p>
                  <w:pPr>
                    <w:pStyle w:val="Compact"/>
                    <w:jc w:val="right"/>
                    <w:jc w:val="center"/>
                  </w:pPr>
                  <w:r>
                    <w:t xml:space="preserve">p</w:t>
                  </w:r>
                </w:p>
              </w:tc>
              <w:tc>
                <w:tcPr/>
                <w:p>
                  <w:pPr>
                    <w:pStyle w:val="Compact"/>
                    <w:jc w:val="right"/>
                    <w:jc w:val="center"/>
                  </w:pPr>
                  <w:r>
                    <w:t xml:space="preserve">CIlow</w:t>
                  </w:r>
                </w:p>
              </w:tc>
              <w:tc>
                <w:tcPr/>
                <w:p>
                  <w:pPr>
                    <w:pStyle w:val="Compact"/>
                    <w:jc w:val="right"/>
                    <w:jc w:val="center"/>
                  </w:pPr>
                  <w:r>
                    <w:t xml:space="preserve">CIhigh</w:t>
                  </w:r>
                </w:p>
              </w:tc>
            </w:tr>
            <w:tr>
              <w:tc>
                <w:tcPr/>
                <w:p>
                  <w:pPr>
                    <w:pStyle w:val="Compact"/>
                    <w:jc w:val="left"/>
                    <w:jc w:val="center"/>
                  </w:pPr>
                  <w:r>
                    <w:t xml:space="preserve">MEGA</w:t>
                  </w:r>
                </w:p>
              </w:tc>
              <w:tc>
                <w:tcPr/>
                <w:p>
                  <w:pPr>
                    <w:pStyle w:val="Compact"/>
                    <w:jc w:val="right"/>
                    <w:jc w:val="center"/>
                  </w:pPr>
                  <w:r>
                    <w:t xml:space="preserve">101.05</w:t>
                  </w:r>
                </w:p>
              </w:tc>
              <w:tc>
                <w:tcPr/>
                <w:p>
                  <w:pPr>
                    <w:pStyle w:val="Compact"/>
                    <w:jc w:val="right"/>
                    <w:jc w:val="center"/>
                  </w:pPr>
                  <w:r>
                    <w:t xml:space="preserve">98.75</w:t>
                  </w:r>
                </w:p>
              </w:tc>
              <w:tc>
                <w:tcPr/>
                <w:p>
                  <w:pPr>
                    <w:pStyle w:val="Compact"/>
                    <w:jc w:val="right"/>
                    <w:jc w:val="center"/>
                  </w:pPr>
                  <w:r>
                    <w:t xml:space="preserve">-2.30</w:t>
                  </w:r>
                </w:p>
              </w:tc>
              <w:tc>
                <w:tcPr/>
                <w:p>
                  <w:pPr>
                    <w:pStyle w:val="Compact"/>
                    <w:jc w:val="right"/>
                    <w:jc w:val="center"/>
                  </w:pPr>
                  <w:r>
                    <w:t xml:space="preserve">9.39</w:t>
                  </w:r>
                </w:p>
              </w:tc>
              <w:tc>
                <w:tcPr/>
                <w:p>
                  <w:pPr>
                    <w:pStyle w:val="Compact"/>
                    <w:jc w:val="right"/>
                    <w:jc w:val="center"/>
                  </w:pPr>
                  <w:r>
                    <w:t xml:space="preserve">-1.04</w:t>
                  </w:r>
                </w:p>
              </w:tc>
              <w:tc>
                <w:tcPr/>
                <w:p>
                  <w:pPr>
                    <w:pStyle w:val="Compact"/>
                    <w:jc w:val="right"/>
                    <w:jc w:val="center"/>
                  </w:pPr>
                  <w:r>
                    <w:t xml:space="preserve">0.31</w:t>
                  </w:r>
                </w:p>
              </w:tc>
              <w:tc>
                <w:tcPr/>
                <w:p>
                  <w:pPr>
                    <w:pStyle w:val="Compact"/>
                    <w:jc w:val="right"/>
                    <w:jc w:val="center"/>
                  </w:pPr>
                  <w:r>
                    <w:t xml:space="preserve">-6.97</w:t>
                  </w:r>
                </w:p>
              </w:tc>
              <w:tc>
                <w:tcPr/>
                <w:p>
                  <w:pPr>
                    <w:pStyle w:val="Compact"/>
                    <w:jc w:val="right"/>
                    <w:jc w:val="center"/>
                  </w:pPr>
                  <w:r>
                    <w:t xml:space="preserve">2.36</w:t>
                  </w:r>
                </w:p>
              </w:tc>
            </w:tr>
            <w:tr>
              <w:tc>
                <w:tcPr/>
                <w:p>
                  <w:pPr>
                    <w:pStyle w:val="Compact"/>
                    <w:jc w:val="left"/>
                    <w:jc w:val="center"/>
                  </w:pPr>
                  <w:r>
                    <w:t xml:space="preserve">sLASER</w:t>
                  </w:r>
                </w:p>
              </w:tc>
              <w:tc>
                <w:tcPr/>
                <w:p>
                  <w:pPr>
                    <w:pStyle w:val="Compact"/>
                    <w:jc w:val="right"/>
                    <w:jc w:val="center"/>
                  </w:pPr>
                  <w:r>
                    <w:t xml:space="preserve">147.61</w:t>
                  </w:r>
                </w:p>
              </w:tc>
              <w:tc>
                <w:tcPr/>
                <w:p>
                  <w:pPr>
                    <w:pStyle w:val="Compact"/>
                    <w:jc w:val="right"/>
                    <w:jc w:val="center"/>
                  </w:pPr>
                  <w:r>
                    <w:t xml:space="preserve">140.60</w:t>
                  </w:r>
                </w:p>
              </w:tc>
              <w:tc>
                <w:tcPr/>
                <w:p>
                  <w:pPr>
                    <w:pStyle w:val="Compact"/>
                    <w:jc w:val="right"/>
                    <w:jc w:val="center"/>
                  </w:pPr>
                  <w:r>
                    <w:t xml:space="preserve">-7.01</w:t>
                  </w:r>
                </w:p>
              </w:tc>
              <w:tc>
                <w:tcPr/>
                <w:p>
                  <w:pPr>
                    <w:pStyle w:val="Compact"/>
                    <w:jc w:val="right"/>
                    <w:jc w:val="center"/>
                  </w:pPr>
                  <w:r>
                    <w:t xml:space="preserve">22.84</w:t>
                  </w:r>
                </w:p>
              </w:tc>
              <w:tc>
                <w:tcPr/>
                <w:p>
                  <w:pPr>
                    <w:pStyle w:val="Compact"/>
                    <w:jc w:val="right"/>
                    <w:jc w:val="center"/>
                  </w:pPr>
                  <w:r>
                    <w:t xml:space="preserve">-1.30</w:t>
                  </w:r>
                </w:p>
              </w:tc>
              <w:tc>
                <w:tcPr/>
                <w:p>
                  <w:pPr>
                    <w:pStyle w:val="Compact"/>
                    <w:jc w:val="right"/>
                    <w:jc w:val="center"/>
                  </w:pPr>
                  <w:r>
                    <w:t xml:space="preserve">0.21</w:t>
                  </w:r>
                </w:p>
              </w:tc>
              <w:tc>
                <w:tcPr/>
                <w:p>
                  <w:pPr>
                    <w:pStyle w:val="Compact"/>
                    <w:jc w:val="right"/>
                    <w:jc w:val="center"/>
                  </w:pPr>
                  <w:r>
                    <w:t xml:space="preserve">-18.37</w:t>
                  </w:r>
                </w:p>
              </w:tc>
              <w:tc>
                <w:tcPr/>
                <w:p>
                  <w:pPr>
                    <w:pStyle w:val="Compact"/>
                    <w:jc w:val="right"/>
                    <w:jc w:val="center"/>
                  </w:pPr>
                  <w:r>
                    <w:t xml:space="preserve">4.34</w:t>
                  </w:r>
                </w:p>
              </w:tc>
            </w:tr>
          </w:tbl>
          <w:p>
            <w:pPr>
              <w:jc w:val="center"/>
            </w:pPr>
            <w:pPr>
              <w:jc w:val="start"/>
              <w:spacing w:before="200"/>
              <w:pStyle w:val="ImageCaption"/>
            </w:pPr>
            <w:r>
              <w:t xml:space="preserve">Table S8</w:t>
            </w:r>
            <w:r>
              <w:rPr>
                <w:b/>
                <w:bCs/>
              </w:rPr>
              <w:t xml:space="preserve">.</w:t>
            </w:r>
            <w:r>
              <w:t xml:space="preserve"> </w:t>
            </w:r>
            <w:r>
              <w:t xml:space="preserve">Rest vs. movie CR-SNR comparison (paired t-tests) for each spectroscopy sequence. Seq = sequence; m. = mean; sd = standard deviation; t = t-value; p = p-value; CIlow = lower confidence interval; CIhigh = higher confidence interval.</w:t>
            </w:r>
          </w:p>
          <w:bookmarkEnd w:id="397"/>
        </w:tc>
      </w:tr>
    </w:tbl>
    <w:p>
      <w:pPr>
        <w:pStyle w:val="TextBody"/>
      </w:pPr>
      <w:r>
        <w:t xml:space="preserve">Subject-level FWHM and CR-SNR values for each sequence (Rest, Movie, and Movie–Rest difference) are provided in</w:t>
      </w:r>
      <w:r>
        <w:t xml:space="preserve"> </w:t>
      </w:r>
      <w:hyperlink w:anchor="supptbl-FWHMCRSNR">
        <w:r>
          <w:rPr>
            <w:rStyle w:val="InternetLink"/>
          </w:rPr>
          <w:t xml:space="preserve">Table S9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8" w:name="supptbl-FWHMCRSNR"/>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jc w:val="center"/>
                  </w:pPr>
                  <w:r>
                    <w:t xml:space="preserve">Sub</w:t>
                  </w:r>
                </w:p>
              </w:tc>
              <w:tc>
                <w:tcPr/>
                <w:p>
                  <w:pPr>
                    <w:pStyle w:val="Compact"/>
                    <w:jc w:val="left"/>
                    <w:jc w:val="center"/>
                  </w:pPr>
                  <w:r>
                    <w:t xml:space="preserve">Seq</w:t>
                  </w:r>
                </w:p>
              </w:tc>
              <w:tc>
                <w:tcPr/>
                <w:p>
                  <w:pPr>
                    <w:pStyle w:val="Compact"/>
                    <w:jc w:val="right"/>
                    <w:jc w:val="center"/>
                  </w:pPr>
                  <w:r>
                    <w:t xml:space="preserve">R FWHM</w:t>
                  </w:r>
                </w:p>
              </w:tc>
              <w:tc>
                <w:tcPr/>
                <w:p>
                  <w:pPr>
                    <w:pStyle w:val="Compact"/>
                    <w:jc w:val="right"/>
                    <w:jc w:val="center"/>
                  </w:pPr>
                  <w:r>
                    <w:t xml:space="preserve">M FWHM</w:t>
                  </w:r>
                </w:p>
              </w:tc>
              <w:tc>
                <w:tcPr/>
                <w:p>
                  <w:pPr>
                    <w:pStyle w:val="Compact"/>
                    <w:jc w:val="right"/>
                    <w:jc w:val="center"/>
                  </w:pPr>
                  <w:r>
                    <w:t xml:space="preserve">Diff FWHM</w:t>
                  </w:r>
                </w:p>
              </w:tc>
              <w:tc>
                <w:tcPr/>
                <w:p>
                  <w:pPr>
                    <w:pStyle w:val="Compact"/>
                    <w:jc w:val="right"/>
                    <w:jc w:val="center"/>
                  </w:pPr>
                  <w:r>
                    <w:t xml:space="preserve">R SNR</w:t>
                  </w:r>
                </w:p>
              </w:tc>
              <w:tc>
                <w:tcPr/>
                <w:p>
                  <w:pPr>
                    <w:pStyle w:val="Compact"/>
                    <w:jc w:val="right"/>
                    <w:jc w:val="center"/>
                  </w:pPr>
                  <w:r>
                    <w:t xml:space="preserve">M SNR</w:t>
                  </w:r>
                </w:p>
              </w:tc>
              <w:tc>
                <w:tcPr/>
                <w:p>
                  <w:pPr>
                    <w:pStyle w:val="Compact"/>
                    <w:jc w:val="right"/>
                    <w:jc w:val="center"/>
                  </w:pPr>
                  <w:r>
                    <w:t xml:space="preserve">Diff SNR</w:t>
                  </w:r>
                </w:p>
              </w:tc>
            </w:tr>
            <w:tr>
              <w:tc>
                <w:tcPr/>
                <w:p>
                  <w:pPr>
                    <w:pStyle w:val="Compact"/>
                    <w:jc w:val="right"/>
                    <w:jc w:val="center"/>
                  </w:pPr>
                  <w:r>
                    <w:t xml:space="preserve">1</w:t>
                  </w:r>
                </w:p>
              </w:tc>
              <w:tc>
                <w:tcPr/>
                <w:p>
                  <w:pPr>
                    <w:pStyle w:val="Compact"/>
                    <w:jc w:val="left"/>
                    <w:jc w:val="center"/>
                  </w:pPr>
                  <w:r>
                    <w:t xml:space="preserve">sLASER</w:t>
                  </w:r>
                </w:p>
              </w:tc>
              <w:tc>
                <w:tcPr/>
                <w:p>
                  <w:pPr>
                    <w:pStyle w:val="Compact"/>
                    <w:jc w:val="right"/>
                    <w:jc w:val="center"/>
                  </w:pPr>
                  <w:r>
                    <w:t xml:space="preserve">8.36</w:t>
                  </w:r>
                </w:p>
              </w:tc>
              <w:tc>
                <w:tcPr/>
                <w:p>
                  <w:pPr>
                    <w:pStyle w:val="Compact"/>
                    <w:jc w:val="right"/>
                    <w:jc w:val="center"/>
                  </w:pPr>
                  <w:r>
                    <w:t xml:space="preserve">8.04</w:t>
                  </w:r>
                </w:p>
              </w:tc>
              <w:tc>
                <w:tcPr/>
                <w:p>
                  <w:pPr>
                    <w:pStyle w:val="Compact"/>
                    <w:jc w:val="right"/>
                    <w:jc w:val="center"/>
                  </w:pPr>
                  <w:r>
                    <w:t xml:space="preserve">-0.33</w:t>
                  </w:r>
                </w:p>
              </w:tc>
              <w:tc>
                <w:tcPr/>
                <w:p>
                  <w:pPr>
                    <w:pStyle w:val="Compact"/>
                    <w:jc w:val="right"/>
                    <w:jc w:val="center"/>
                  </w:pPr>
                  <w:r>
                    <w:t xml:space="preserve">135.58</w:t>
                  </w:r>
                </w:p>
              </w:tc>
              <w:tc>
                <w:tcPr/>
                <w:p>
                  <w:pPr>
                    <w:pStyle w:val="Compact"/>
                    <w:jc w:val="right"/>
                    <w:jc w:val="center"/>
                  </w:pPr>
                  <w:r>
                    <w:t xml:space="preserve">125.26</w:t>
                  </w:r>
                </w:p>
              </w:tc>
              <w:tc>
                <w:tcPr/>
                <w:p>
                  <w:pPr>
                    <w:pStyle w:val="Compact"/>
                    <w:jc w:val="right"/>
                    <w:jc w:val="center"/>
                  </w:pPr>
                  <w:r>
                    <w:t xml:space="preserve">-10.32</w:t>
                  </w:r>
                </w:p>
              </w:tc>
            </w:tr>
            <w:tr>
              <w:tc>
                <w:tcPr/>
                <w:p>
                  <w:pPr>
                    <w:pStyle w:val="Compact"/>
                    <w:jc w:val="right"/>
                    <w:jc w:val="center"/>
                  </w:pPr>
                  <w:r>
                    <w:t xml:space="preserve">1</w:t>
                  </w:r>
                </w:p>
              </w:tc>
              <w:tc>
                <w:tcPr/>
                <w:p>
                  <w:pPr>
                    <w:pStyle w:val="Compact"/>
                    <w:jc w:val="left"/>
                    <w:jc w:val="center"/>
                  </w:pPr>
                  <w:r>
                    <w:t xml:space="preserve">MEGA</w:t>
                  </w:r>
                </w:p>
              </w:tc>
              <w:tc>
                <w:tcPr/>
                <w:p>
                  <w:pPr>
                    <w:pStyle w:val="Compact"/>
                    <w:jc w:val="right"/>
                    <w:jc w:val="center"/>
                  </w:pPr>
                  <w:r>
                    <w:t xml:space="preserve">7.38</w:t>
                  </w:r>
                </w:p>
              </w:tc>
              <w:tc>
                <w:tcPr/>
                <w:p>
                  <w:pPr>
                    <w:pStyle w:val="Compact"/>
                    <w:jc w:val="right"/>
                    <w:jc w:val="center"/>
                  </w:pPr>
                  <w:r>
                    <w:t xml:space="preserve">7.41</w:t>
                  </w:r>
                </w:p>
              </w:tc>
              <w:tc>
                <w:tcPr/>
                <w:p>
                  <w:pPr>
                    <w:pStyle w:val="Compact"/>
                    <w:jc w:val="right"/>
                    <w:jc w:val="center"/>
                  </w:pPr>
                  <w:r>
                    <w:t xml:space="preserve">0.03</w:t>
                  </w:r>
                </w:p>
              </w:tc>
              <w:tc>
                <w:tcPr/>
                <w:p>
                  <w:pPr>
                    <w:pStyle w:val="Compact"/>
                    <w:jc w:val="right"/>
                    <w:jc w:val="center"/>
                  </w:pPr>
                  <w:r>
                    <w:t xml:space="preserve">91.29</w:t>
                  </w:r>
                </w:p>
              </w:tc>
              <w:tc>
                <w:tcPr/>
                <w:p>
                  <w:pPr>
                    <w:pStyle w:val="Compact"/>
                    <w:jc w:val="right"/>
                    <w:jc w:val="center"/>
                  </w:pPr>
                  <w:r>
                    <w:t xml:space="preserve">92.46</w:t>
                  </w:r>
                </w:p>
              </w:tc>
              <w:tc>
                <w:tcPr/>
                <w:p>
                  <w:pPr>
                    <w:pStyle w:val="Compact"/>
                    <w:jc w:val="right"/>
                    <w:jc w:val="center"/>
                  </w:pPr>
                  <w:r>
                    <w:t xml:space="preserve">1.17</w:t>
                  </w:r>
                </w:p>
              </w:tc>
            </w:tr>
            <w:tr>
              <w:tc>
                <w:tcPr/>
                <w:p>
                  <w:pPr>
                    <w:pStyle w:val="Compact"/>
                    <w:jc w:val="right"/>
                    <w:jc w:val="center"/>
                  </w:pPr>
                  <w:r>
                    <w:t xml:space="preserve">2</w:t>
                  </w:r>
                </w:p>
              </w:tc>
              <w:tc>
                <w:tcPr/>
                <w:p>
                  <w:pPr>
                    <w:pStyle w:val="Compact"/>
                    <w:jc w:val="left"/>
                    <w:jc w:val="center"/>
                  </w:pPr>
                  <w:r>
                    <w:t xml:space="preserve">sLASER</w:t>
                  </w:r>
                </w:p>
              </w:tc>
              <w:tc>
                <w:tcPr/>
                <w:p>
                  <w:pPr>
                    <w:pStyle w:val="Compact"/>
                    <w:jc w:val="right"/>
                    <w:jc w:val="center"/>
                  </w:pPr>
                  <w:r>
                    <w:t xml:space="preserve">8.57</w:t>
                  </w:r>
                </w:p>
              </w:tc>
              <w:tc>
                <w:tcPr/>
                <w:p>
                  <w:pPr>
                    <w:pStyle w:val="Compact"/>
                    <w:jc w:val="right"/>
                    <w:jc w:val="center"/>
                  </w:pPr>
                  <w:r>
                    <w:t xml:space="preserve">7.72</w:t>
                  </w:r>
                </w:p>
              </w:tc>
              <w:tc>
                <w:tcPr/>
                <w:p>
                  <w:pPr>
                    <w:pStyle w:val="Compact"/>
                    <w:jc w:val="right"/>
                    <w:jc w:val="center"/>
                  </w:pPr>
                  <w:r>
                    <w:t xml:space="preserve">-0.85</w:t>
                  </w:r>
                </w:p>
              </w:tc>
              <w:tc>
                <w:tcPr/>
                <w:p>
                  <w:pPr>
                    <w:pStyle w:val="Compact"/>
                    <w:jc w:val="right"/>
                    <w:jc w:val="center"/>
                  </w:pPr>
                  <w:r>
                    <w:t xml:space="preserve">128.76</w:t>
                  </w:r>
                </w:p>
              </w:tc>
              <w:tc>
                <w:tcPr/>
                <w:p>
                  <w:pPr>
                    <w:pStyle w:val="Compact"/>
                    <w:jc w:val="right"/>
                    <w:jc w:val="center"/>
                  </w:pPr>
                  <w:r>
                    <w:t xml:space="preserve">147.92</w:t>
                  </w:r>
                </w:p>
              </w:tc>
              <w:tc>
                <w:tcPr/>
                <w:p>
                  <w:pPr>
                    <w:pStyle w:val="Compact"/>
                    <w:jc w:val="right"/>
                    <w:jc w:val="center"/>
                  </w:pPr>
                  <w:r>
                    <w:t xml:space="preserve">19.16</w:t>
                  </w:r>
                </w:p>
              </w:tc>
            </w:tr>
            <w:tr>
              <w:tc>
                <w:tcPr/>
                <w:p>
                  <w:pPr>
                    <w:pStyle w:val="Compact"/>
                    <w:jc w:val="right"/>
                    <w:jc w:val="center"/>
                  </w:pPr>
                  <w:r>
                    <w:t xml:space="preserve">2</w:t>
                  </w:r>
                </w:p>
              </w:tc>
              <w:tc>
                <w:tcPr/>
                <w:p>
                  <w:pPr>
                    <w:pStyle w:val="Compact"/>
                    <w:jc w:val="left"/>
                    <w:jc w:val="center"/>
                  </w:pPr>
                  <w:r>
                    <w:t xml:space="preserve">MEGA</w:t>
                  </w:r>
                </w:p>
              </w:tc>
              <w:tc>
                <w:tcPr/>
                <w:p>
                  <w:pPr>
                    <w:pStyle w:val="Compact"/>
                    <w:jc w:val="right"/>
                    <w:jc w:val="center"/>
                  </w:pPr>
                  <w:r>
                    <w:t xml:space="preserve">7.73</w:t>
                  </w:r>
                </w:p>
              </w:tc>
              <w:tc>
                <w:tcPr/>
                <w:p>
                  <w:pPr>
                    <w:pStyle w:val="Compact"/>
                    <w:jc w:val="right"/>
                    <w:jc w:val="center"/>
                  </w:pPr>
                  <w:r>
                    <w:t xml:space="preserve">7.15</w:t>
                  </w:r>
                </w:p>
              </w:tc>
              <w:tc>
                <w:tcPr/>
                <w:p>
                  <w:pPr>
                    <w:pStyle w:val="Compact"/>
                    <w:jc w:val="right"/>
                    <w:jc w:val="center"/>
                  </w:pPr>
                  <w:r>
                    <w:t xml:space="preserve">-0.58</w:t>
                  </w:r>
                </w:p>
              </w:tc>
              <w:tc>
                <w:tcPr/>
                <w:p>
                  <w:pPr>
                    <w:pStyle w:val="Compact"/>
                    <w:jc w:val="right"/>
                    <w:jc w:val="center"/>
                  </w:pPr>
                  <w:r>
                    <w:t xml:space="preserve">82.16</w:t>
                  </w:r>
                </w:p>
              </w:tc>
              <w:tc>
                <w:tcPr/>
                <w:p>
                  <w:pPr>
                    <w:pStyle w:val="Compact"/>
                    <w:jc w:val="right"/>
                    <w:jc w:val="center"/>
                  </w:pPr>
                  <w:r>
                    <w:t xml:space="preserve">84.05</w:t>
                  </w:r>
                </w:p>
              </w:tc>
              <w:tc>
                <w:tcPr/>
                <w:p>
                  <w:pPr>
                    <w:pStyle w:val="Compact"/>
                    <w:jc w:val="right"/>
                    <w:jc w:val="center"/>
                  </w:pPr>
                  <w:r>
                    <w:t xml:space="preserve">1.89</w:t>
                  </w:r>
                </w:p>
              </w:tc>
            </w:tr>
            <w:tr>
              <w:tc>
                <w:tcPr/>
                <w:p>
                  <w:pPr>
                    <w:pStyle w:val="Compact"/>
                    <w:jc w:val="right"/>
                    <w:jc w:val="center"/>
                  </w:pPr>
                  <w:r>
                    <w:t xml:space="preserve">4</w:t>
                  </w:r>
                </w:p>
              </w:tc>
              <w:tc>
                <w:tcPr/>
                <w:p>
                  <w:pPr>
                    <w:pStyle w:val="Compact"/>
                    <w:jc w:val="left"/>
                    <w:jc w:val="center"/>
                  </w:pPr>
                  <w:r>
                    <w:t xml:space="preserve">sLASER</w:t>
                  </w:r>
                </w:p>
              </w:tc>
              <w:tc>
                <w:tcPr/>
                <w:p>
                  <w:pPr>
                    <w:pStyle w:val="Compact"/>
                    <w:jc w:val="right"/>
                    <w:jc w:val="center"/>
                  </w:pPr>
                  <w:r>
                    <w:t xml:space="preserve">8.61</w:t>
                  </w:r>
                </w:p>
              </w:tc>
              <w:tc>
                <w:tcPr/>
                <w:p>
                  <w:pPr>
                    <w:pStyle w:val="Compact"/>
                    <w:jc w:val="right"/>
                    <w:jc w:val="center"/>
                  </w:pPr>
                  <w:r>
                    <w:t xml:space="preserve">8.93</w:t>
                  </w:r>
                </w:p>
              </w:tc>
              <w:tc>
                <w:tcPr/>
                <w:p>
                  <w:pPr>
                    <w:pStyle w:val="Compact"/>
                    <w:jc w:val="right"/>
                    <w:jc w:val="center"/>
                  </w:pPr>
                  <w:r>
                    <w:t xml:space="preserve">0.31</w:t>
                  </w:r>
                </w:p>
              </w:tc>
              <w:tc>
                <w:tcPr/>
                <w:p>
                  <w:pPr>
                    <w:pStyle w:val="Compact"/>
                    <w:jc w:val="right"/>
                    <w:jc w:val="center"/>
                  </w:pPr>
                  <w:r>
                    <w:t xml:space="preserve">162.00</w:t>
                  </w:r>
                </w:p>
              </w:tc>
              <w:tc>
                <w:tcPr/>
                <w:p>
                  <w:pPr>
                    <w:pStyle w:val="Compact"/>
                    <w:jc w:val="right"/>
                    <w:jc w:val="center"/>
                  </w:pPr>
                  <w:r>
                    <w:t xml:space="preserve">132.33</w:t>
                  </w:r>
                </w:p>
              </w:tc>
              <w:tc>
                <w:tcPr/>
                <w:p>
                  <w:pPr>
                    <w:pStyle w:val="Compact"/>
                    <w:jc w:val="right"/>
                    <w:jc w:val="center"/>
                  </w:pPr>
                  <w:r>
                    <w:t xml:space="preserve">-29.67</w:t>
                  </w:r>
                </w:p>
              </w:tc>
            </w:tr>
            <w:tr>
              <w:tc>
                <w:tcPr/>
                <w:p>
                  <w:pPr>
                    <w:pStyle w:val="Compact"/>
                    <w:jc w:val="right"/>
                    <w:jc w:val="center"/>
                  </w:pPr>
                  <w:r>
                    <w:t xml:space="preserve">4</w:t>
                  </w:r>
                </w:p>
              </w:tc>
              <w:tc>
                <w:tcPr/>
                <w:p>
                  <w:pPr>
                    <w:pStyle w:val="Compact"/>
                    <w:jc w:val="left"/>
                    <w:jc w:val="center"/>
                  </w:pPr>
                  <w:r>
                    <w:t xml:space="preserve">MEGA</w:t>
                  </w:r>
                </w:p>
              </w:tc>
              <w:tc>
                <w:tcPr/>
                <w:p>
                  <w:pPr>
                    <w:pStyle w:val="Compact"/>
                    <w:jc w:val="right"/>
                    <w:jc w:val="center"/>
                  </w:pPr>
                  <w:r>
                    <w:t xml:space="preserve">9.23</w:t>
                  </w:r>
                </w:p>
              </w:tc>
              <w:tc>
                <w:tcPr/>
                <w:p>
                  <w:pPr>
                    <w:pStyle w:val="Compact"/>
                    <w:jc w:val="right"/>
                    <w:jc w:val="center"/>
                  </w:pPr>
                  <w:r>
                    <w:t xml:space="preserve">8.56</w:t>
                  </w:r>
                </w:p>
              </w:tc>
              <w:tc>
                <w:tcPr/>
                <w:p>
                  <w:pPr>
                    <w:pStyle w:val="Compact"/>
                    <w:jc w:val="right"/>
                    <w:jc w:val="center"/>
                  </w:pPr>
                  <w:r>
                    <w:t xml:space="preserve">-0.66</w:t>
                  </w:r>
                </w:p>
              </w:tc>
              <w:tc>
                <w:tcPr/>
                <w:p>
                  <w:pPr>
                    <w:pStyle w:val="Compact"/>
                    <w:jc w:val="right"/>
                    <w:jc w:val="center"/>
                  </w:pPr>
                  <w:r>
                    <w:t xml:space="preserve">98.51</w:t>
                  </w:r>
                </w:p>
              </w:tc>
              <w:tc>
                <w:tcPr/>
                <w:p>
                  <w:pPr>
                    <w:pStyle w:val="Compact"/>
                    <w:jc w:val="right"/>
                    <w:jc w:val="center"/>
                  </w:pPr>
                  <w:r>
                    <w:t xml:space="preserve">103.83</w:t>
                  </w:r>
                </w:p>
              </w:tc>
              <w:tc>
                <w:tcPr/>
                <w:p>
                  <w:pPr>
                    <w:pStyle w:val="Compact"/>
                    <w:jc w:val="right"/>
                    <w:jc w:val="center"/>
                  </w:pPr>
                  <w:r>
                    <w:t xml:space="preserve">5.31</w:t>
                  </w:r>
                </w:p>
              </w:tc>
            </w:tr>
            <w:tr>
              <w:tc>
                <w:tcPr/>
                <w:p>
                  <w:pPr>
                    <w:pStyle w:val="Compact"/>
                    <w:jc w:val="right"/>
                    <w:jc w:val="center"/>
                  </w:pPr>
                  <w:r>
                    <w:t xml:space="preserve">6</w:t>
                  </w:r>
                </w:p>
              </w:tc>
              <w:tc>
                <w:tcPr/>
                <w:p>
                  <w:pPr>
                    <w:pStyle w:val="Compact"/>
                    <w:jc w:val="left"/>
                    <w:jc w:val="center"/>
                  </w:pPr>
                  <w:r>
                    <w:t xml:space="preserve">sLASER</w:t>
                  </w:r>
                </w:p>
              </w:tc>
              <w:tc>
                <w:tcPr/>
                <w:p>
                  <w:pPr>
                    <w:pStyle w:val="Compact"/>
                    <w:jc w:val="right"/>
                    <w:jc w:val="center"/>
                  </w:pPr>
                  <w:r>
                    <w:t xml:space="preserve">8.01</w:t>
                  </w:r>
                </w:p>
              </w:tc>
              <w:tc>
                <w:tcPr/>
                <w:p>
                  <w:pPr>
                    <w:pStyle w:val="Compact"/>
                    <w:jc w:val="right"/>
                    <w:jc w:val="center"/>
                  </w:pPr>
                  <w:r>
                    <w:t xml:space="preserve">7.94</w:t>
                  </w:r>
                </w:p>
              </w:tc>
              <w:tc>
                <w:tcPr/>
                <w:p>
                  <w:pPr>
                    <w:pStyle w:val="Compact"/>
                    <w:jc w:val="right"/>
                    <w:jc w:val="center"/>
                  </w:pPr>
                  <w:r>
                    <w:t xml:space="preserve">-0.06</w:t>
                  </w:r>
                </w:p>
              </w:tc>
              <w:tc>
                <w:tcPr/>
                <w:p>
                  <w:pPr>
                    <w:pStyle w:val="Compact"/>
                    <w:jc w:val="right"/>
                    <w:jc w:val="center"/>
                  </w:pPr>
                  <w:r>
                    <w:t xml:space="preserve">130.77</w:t>
                  </w:r>
                </w:p>
              </w:tc>
              <w:tc>
                <w:tcPr/>
                <w:p>
                  <w:pPr>
                    <w:pStyle w:val="Compact"/>
                    <w:jc w:val="right"/>
                    <w:jc w:val="center"/>
                  </w:pPr>
                  <w:r>
                    <w:t xml:space="preserve">152.24</w:t>
                  </w:r>
                </w:p>
              </w:tc>
              <w:tc>
                <w:tcPr/>
                <w:p>
                  <w:pPr>
                    <w:pStyle w:val="Compact"/>
                    <w:jc w:val="right"/>
                    <w:jc w:val="center"/>
                  </w:pPr>
                  <w:r>
                    <w:t xml:space="preserve">21.47</w:t>
                  </w:r>
                </w:p>
              </w:tc>
            </w:tr>
            <w:tr>
              <w:tc>
                <w:tcPr/>
                <w:p>
                  <w:pPr>
                    <w:pStyle w:val="Compact"/>
                    <w:jc w:val="right"/>
                    <w:jc w:val="center"/>
                  </w:pPr>
                  <w:r>
                    <w:t xml:space="preserve">6</w:t>
                  </w:r>
                </w:p>
              </w:tc>
              <w:tc>
                <w:tcPr/>
                <w:p>
                  <w:pPr>
                    <w:pStyle w:val="Compact"/>
                    <w:jc w:val="left"/>
                    <w:jc w:val="center"/>
                  </w:pPr>
                  <w:r>
                    <w:t xml:space="preserve">MEGA</w:t>
                  </w:r>
                </w:p>
              </w:tc>
              <w:tc>
                <w:tcPr/>
                <w:p>
                  <w:pPr>
                    <w:pStyle w:val="Compact"/>
                    <w:jc w:val="right"/>
                    <w:jc w:val="center"/>
                  </w:pPr>
                  <w:r>
                    <w:t xml:space="preserve">7.35</w:t>
                  </w:r>
                </w:p>
              </w:tc>
              <w:tc>
                <w:tcPr/>
                <w:p>
                  <w:pPr>
                    <w:pStyle w:val="Compact"/>
                    <w:jc w:val="right"/>
                    <w:jc w:val="center"/>
                  </w:pPr>
                  <w:r>
                    <w:t xml:space="preserve">7.58</w:t>
                  </w:r>
                </w:p>
              </w:tc>
              <w:tc>
                <w:tcPr/>
                <w:p>
                  <w:pPr>
                    <w:pStyle w:val="Compact"/>
                    <w:jc w:val="right"/>
                    <w:jc w:val="center"/>
                  </w:pPr>
                  <w:r>
                    <w:t xml:space="preserve">0.23</w:t>
                  </w:r>
                </w:p>
              </w:tc>
              <w:tc>
                <w:tcPr/>
                <w:p>
                  <w:pPr>
                    <w:pStyle w:val="Compact"/>
                    <w:jc w:val="right"/>
                    <w:jc w:val="center"/>
                  </w:pPr>
                  <w:r>
                    <w:t xml:space="preserve">128.02</w:t>
                  </w:r>
                </w:p>
              </w:tc>
              <w:tc>
                <w:tcPr/>
                <w:p>
                  <w:pPr>
                    <w:pStyle w:val="Compact"/>
                    <w:jc w:val="right"/>
                    <w:jc w:val="center"/>
                  </w:pPr>
                  <w:r>
                    <w:t xml:space="preserve">122.19</w:t>
                  </w:r>
                </w:p>
              </w:tc>
              <w:tc>
                <w:tcPr/>
                <w:p>
                  <w:pPr>
                    <w:pStyle w:val="Compact"/>
                    <w:jc w:val="right"/>
                    <w:jc w:val="center"/>
                  </w:pPr>
                  <w:r>
                    <w:t xml:space="preserve">-5.83</w:t>
                  </w:r>
                </w:p>
              </w:tc>
            </w:tr>
            <w:tr>
              <w:tc>
                <w:tcPr/>
                <w:p>
                  <w:pPr>
                    <w:pStyle w:val="Compact"/>
                    <w:jc w:val="right"/>
                    <w:jc w:val="center"/>
                  </w:pPr>
                  <w:r>
                    <w:t xml:space="preserve">7</w:t>
                  </w:r>
                </w:p>
              </w:tc>
              <w:tc>
                <w:tcPr/>
                <w:p>
                  <w:pPr>
                    <w:pStyle w:val="Compact"/>
                    <w:jc w:val="left"/>
                    <w:jc w:val="center"/>
                  </w:pPr>
                  <w:r>
                    <w:t xml:space="preserve">sLASER</w:t>
                  </w:r>
                </w:p>
              </w:tc>
              <w:tc>
                <w:tcPr/>
                <w:p>
                  <w:pPr>
                    <w:pStyle w:val="Compact"/>
                    <w:jc w:val="right"/>
                    <w:jc w:val="center"/>
                  </w:pPr>
                  <w:r>
                    <w:t xml:space="preserve">9.08</w:t>
                  </w:r>
                </w:p>
              </w:tc>
              <w:tc>
                <w:tcPr/>
                <w:p>
                  <w:pPr>
                    <w:pStyle w:val="Compact"/>
                    <w:jc w:val="right"/>
                    <w:jc w:val="center"/>
                  </w:pPr>
                  <w:r>
                    <w:t xml:space="preserve">9.10</w:t>
                  </w:r>
                </w:p>
              </w:tc>
              <w:tc>
                <w:tcPr/>
                <w:p>
                  <w:pPr>
                    <w:pStyle w:val="Compact"/>
                    <w:jc w:val="right"/>
                    <w:jc w:val="center"/>
                  </w:pPr>
                  <w:r>
                    <w:t xml:space="preserve">0.02</w:t>
                  </w:r>
                </w:p>
              </w:tc>
              <w:tc>
                <w:tcPr/>
                <w:p>
                  <w:pPr>
                    <w:pStyle w:val="Compact"/>
                    <w:jc w:val="right"/>
                    <w:jc w:val="center"/>
                  </w:pPr>
                  <w:r>
                    <w:t xml:space="preserve">112.42</w:t>
                  </w:r>
                </w:p>
              </w:tc>
              <w:tc>
                <w:tcPr/>
                <w:p>
                  <w:pPr>
                    <w:pStyle w:val="Compact"/>
                    <w:jc w:val="right"/>
                    <w:jc w:val="center"/>
                  </w:pPr>
                  <w:r>
                    <w:t xml:space="preserve">99.45</w:t>
                  </w:r>
                </w:p>
              </w:tc>
              <w:tc>
                <w:tcPr/>
                <w:p>
                  <w:pPr>
                    <w:pStyle w:val="Compact"/>
                    <w:jc w:val="right"/>
                    <w:jc w:val="center"/>
                  </w:pPr>
                  <w:r>
                    <w:t xml:space="preserve">-12.97</w:t>
                  </w:r>
                </w:p>
              </w:tc>
            </w:tr>
            <w:tr>
              <w:tc>
                <w:tcPr/>
                <w:p>
                  <w:pPr>
                    <w:pStyle w:val="Compact"/>
                    <w:jc w:val="right"/>
                    <w:jc w:val="center"/>
                  </w:pPr>
                  <w:r>
                    <w:t xml:space="preserve">7</w:t>
                  </w:r>
                </w:p>
              </w:tc>
              <w:tc>
                <w:tcPr/>
                <w:p>
                  <w:pPr>
                    <w:pStyle w:val="Compact"/>
                    <w:jc w:val="left"/>
                    <w:jc w:val="center"/>
                  </w:pPr>
                  <w:r>
                    <w:t xml:space="preserve">MEGA</w:t>
                  </w:r>
                </w:p>
              </w:tc>
              <w:tc>
                <w:tcPr/>
                <w:p>
                  <w:pPr>
                    <w:pStyle w:val="Compact"/>
                    <w:jc w:val="right"/>
                    <w:jc w:val="center"/>
                  </w:pPr>
                  <w:r>
                    <w:t xml:space="preserve">9.17</w:t>
                  </w:r>
                </w:p>
              </w:tc>
              <w:tc>
                <w:tcPr/>
                <w:p>
                  <w:pPr>
                    <w:pStyle w:val="Compact"/>
                    <w:jc w:val="right"/>
                    <w:jc w:val="center"/>
                  </w:pPr>
                  <w:r>
                    <w:t xml:space="preserve">8.95</w:t>
                  </w:r>
                </w:p>
              </w:tc>
              <w:tc>
                <w:tcPr/>
                <w:p>
                  <w:pPr>
                    <w:pStyle w:val="Compact"/>
                    <w:jc w:val="right"/>
                    <w:jc w:val="center"/>
                  </w:pPr>
                  <w:r>
                    <w:t xml:space="preserve">-0.22</w:t>
                  </w:r>
                </w:p>
              </w:tc>
              <w:tc>
                <w:tcPr/>
                <w:p>
                  <w:pPr>
                    <w:pStyle w:val="Compact"/>
                    <w:jc w:val="right"/>
                    <w:jc w:val="center"/>
                  </w:pPr>
                  <w:r>
                    <w:t xml:space="preserve">75.46</w:t>
                  </w:r>
                </w:p>
              </w:tc>
              <w:tc>
                <w:tcPr/>
                <w:p>
                  <w:pPr>
                    <w:pStyle w:val="Compact"/>
                    <w:jc w:val="right"/>
                    <w:jc w:val="center"/>
                  </w:pPr>
                  <w:r>
                    <w:t xml:space="preserve">84.31</w:t>
                  </w:r>
                </w:p>
              </w:tc>
              <w:tc>
                <w:tcPr/>
                <w:p>
                  <w:pPr>
                    <w:pStyle w:val="Compact"/>
                    <w:jc w:val="right"/>
                    <w:jc w:val="center"/>
                  </w:pPr>
                  <w:r>
                    <w:t xml:space="preserve">8.85</w:t>
                  </w:r>
                </w:p>
              </w:tc>
            </w:tr>
            <w:tr>
              <w:tc>
                <w:tcPr/>
                <w:p>
                  <w:pPr>
                    <w:pStyle w:val="Compact"/>
                    <w:jc w:val="right"/>
                    <w:jc w:val="center"/>
                  </w:pPr>
                  <w:r>
                    <w:t xml:space="preserve">9</w:t>
                  </w:r>
                </w:p>
              </w:tc>
              <w:tc>
                <w:tcPr/>
                <w:p>
                  <w:pPr>
                    <w:pStyle w:val="Compact"/>
                    <w:jc w:val="left"/>
                    <w:jc w:val="center"/>
                  </w:pPr>
                  <w:r>
                    <w:t xml:space="preserve">sLASER</w:t>
                  </w:r>
                </w:p>
              </w:tc>
              <w:tc>
                <w:tcPr/>
                <w:p>
                  <w:pPr>
                    <w:pStyle w:val="Compact"/>
                    <w:jc w:val="right"/>
                    <w:jc w:val="center"/>
                  </w:pPr>
                  <w:r>
                    <w:t xml:space="preserve">8.27</w:t>
                  </w:r>
                </w:p>
              </w:tc>
              <w:tc>
                <w:tcPr/>
                <w:p>
                  <w:pPr>
                    <w:pStyle w:val="Compact"/>
                    <w:jc w:val="right"/>
                    <w:jc w:val="center"/>
                  </w:pPr>
                  <w:r>
                    <w:t xml:space="preserve">8.53</w:t>
                  </w:r>
                </w:p>
              </w:tc>
              <w:tc>
                <w:tcPr/>
                <w:p>
                  <w:pPr>
                    <w:pStyle w:val="Compact"/>
                    <w:jc w:val="right"/>
                    <w:jc w:val="center"/>
                  </w:pPr>
                  <w:r>
                    <w:t xml:space="preserve">0.26</w:t>
                  </w:r>
                </w:p>
              </w:tc>
              <w:tc>
                <w:tcPr/>
                <w:p>
                  <w:pPr>
                    <w:pStyle w:val="Compact"/>
                    <w:jc w:val="right"/>
                    <w:jc w:val="center"/>
                  </w:pPr>
                  <w:r>
                    <w:t xml:space="preserve">172.88</w:t>
                  </w:r>
                </w:p>
              </w:tc>
              <w:tc>
                <w:tcPr/>
                <w:p>
                  <w:pPr>
                    <w:pStyle w:val="Compact"/>
                    <w:jc w:val="right"/>
                    <w:jc w:val="center"/>
                  </w:pPr>
                  <w:r>
                    <w:t xml:space="preserve">161.56</w:t>
                  </w:r>
                </w:p>
              </w:tc>
              <w:tc>
                <w:tcPr/>
                <w:p>
                  <w:pPr>
                    <w:pStyle w:val="Compact"/>
                    <w:jc w:val="right"/>
                    <w:jc w:val="center"/>
                  </w:pPr>
                  <w:r>
                    <w:t xml:space="preserve">-11.32</w:t>
                  </w:r>
                </w:p>
              </w:tc>
            </w:tr>
            <w:tr>
              <w:tc>
                <w:tcPr/>
                <w:p>
                  <w:pPr>
                    <w:pStyle w:val="Compact"/>
                    <w:jc w:val="right"/>
                    <w:jc w:val="center"/>
                  </w:pPr>
                  <w:r>
                    <w:t xml:space="preserve">9</w:t>
                  </w:r>
                </w:p>
              </w:tc>
              <w:tc>
                <w:tcPr/>
                <w:p>
                  <w:pPr>
                    <w:pStyle w:val="Compact"/>
                    <w:jc w:val="left"/>
                    <w:jc w:val="center"/>
                  </w:pPr>
                  <w:r>
                    <w:t xml:space="preserve">MEGA</w:t>
                  </w:r>
                </w:p>
              </w:tc>
              <w:tc>
                <w:tcPr/>
                <w:p>
                  <w:pPr>
                    <w:pStyle w:val="Compact"/>
                    <w:jc w:val="right"/>
                    <w:jc w:val="center"/>
                  </w:pPr>
                  <w:r>
                    <w:t xml:space="preserve">8.02</w:t>
                  </w:r>
                </w:p>
              </w:tc>
              <w:tc>
                <w:tcPr/>
                <w:p>
                  <w:pPr>
                    <w:pStyle w:val="Compact"/>
                    <w:jc w:val="right"/>
                    <w:jc w:val="center"/>
                  </w:pPr>
                  <w:r>
                    <w:t xml:space="preserve">8.51</w:t>
                  </w:r>
                </w:p>
              </w:tc>
              <w:tc>
                <w:tcPr/>
                <w:p>
                  <w:pPr>
                    <w:pStyle w:val="Compact"/>
                    <w:jc w:val="right"/>
                    <w:jc w:val="center"/>
                  </w:pPr>
                  <w:r>
                    <w:t xml:space="preserve">0.49</w:t>
                  </w:r>
                </w:p>
              </w:tc>
              <w:tc>
                <w:tcPr/>
                <w:p>
                  <w:pPr>
                    <w:pStyle w:val="Compact"/>
                    <w:jc w:val="right"/>
                    <w:jc w:val="center"/>
                  </w:pPr>
                  <w:r>
                    <w:t xml:space="preserve">115.78</w:t>
                  </w:r>
                </w:p>
              </w:tc>
              <w:tc>
                <w:tcPr/>
                <w:p>
                  <w:pPr>
                    <w:pStyle w:val="Compact"/>
                    <w:jc w:val="right"/>
                    <w:jc w:val="center"/>
                  </w:pPr>
                  <w:r>
                    <w:t xml:space="preserve">108.07</w:t>
                  </w:r>
                </w:p>
              </w:tc>
              <w:tc>
                <w:tcPr/>
                <w:p>
                  <w:pPr>
                    <w:pStyle w:val="Compact"/>
                    <w:jc w:val="right"/>
                    <w:jc w:val="center"/>
                  </w:pPr>
                  <w:r>
                    <w:t xml:space="preserve">-7.71</w:t>
                  </w:r>
                </w:p>
              </w:tc>
            </w:tr>
            <w:tr>
              <w:tc>
                <w:tcPr/>
                <w:p>
                  <w:pPr>
                    <w:pStyle w:val="Compact"/>
                    <w:jc w:val="right"/>
                    <w:jc w:val="center"/>
                  </w:pPr>
                  <w:r>
                    <w:t xml:space="preserve">10</w:t>
                  </w:r>
                </w:p>
              </w:tc>
              <w:tc>
                <w:tcPr/>
                <w:p>
                  <w:pPr>
                    <w:pStyle w:val="Compact"/>
                    <w:jc w:val="left"/>
                    <w:jc w:val="center"/>
                  </w:pPr>
                  <w:r>
                    <w:t xml:space="preserve">sLASER</w:t>
                  </w:r>
                </w:p>
              </w:tc>
              <w:tc>
                <w:tcPr/>
                <w:p>
                  <w:pPr>
                    <w:pStyle w:val="Compact"/>
                    <w:jc w:val="right"/>
                    <w:jc w:val="center"/>
                  </w:pPr>
                  <w:r>
                    <w:t xml:space="preserve">7.65</w:t>
                  </w:r>
                </w:p>
              </w:tc>
              <w:tc>
                <w:tcPr/>
                <w:p>
                  <w:pPr>
                    <w:pStyle w:val="Compact"/>
                    <w:jc w:val="right"/>
                    <w:jc w:val="center"/>
                  </w:pPr>
                  <w:r>
                    <w:t xml:space="preserve">7.46</w:t>
                  </w:r>
                </w:p>
              </w:tc>
              <w:tc>
                <w:tcPr/>
                <w:p>
                  <w:pPr>
                    <w:pStyle w:val="Compact"/>
                    <w:jc w:val="right"/>
                    <w:jc w:val="center"/>
                  </w:pPr>
                  <w:r>
                    <w:t xml:space="preserve">-0.20</w:t>
                  </w:r>
                </w:p>
              </w:tc>
              <w:tc>
                <w:tcPr/>
                <w:p>
                  <w:pPr>
                    <w:pStyle w:val="Compact"/>
                    <w:jc w:val="right"/>
                    <w:jc w:val="center"/>
                  </w:pPr>
                  <w:r>
                    <w:t xml:space="preserve">168.43</w:t>
                  </w:r>
                </w:p>
              </w:tc>
              <w:tc>
                <w:tcPr/>
                <w:p>
                  <w:pPr>
                    <w:pStyle w:val="Compact"/>
                    <w:jc w:val="right"/>
                    <w:jc w:val="center"/>
                  </w:pPr>
                  <w:r>
                    <w:t xml:space="preserve">173.85</w:t>
                  </w:r>
                </w:p>
              </w:tc>
              <w:tc>
                <w:tcPr/>
                <w:p>
                  <w:pPr>
                    <w:pStyle w:val="Compact"/>
                    <w:jc w:val="right"/>
                    <w:jc w:val="center"/>
                  </w:pPr>
                  <w:r>
                    <w:t xml:space="preserve">5.41</w:t>
                  </w:r>
                </w:p>
              </w:tc>
            </w:tr>
            <w:tr>
              <w:tc>
                <w:tcPr/>
                <w:p>
                  <w:pPr>
                    <w:pStyle w:val="Compact"/>
                    <w:jc w:val="right"/>
                    <w:jc w:val="center"/>
                  </w:pPr>
                  <w:r>
                    <w:t xml:space="preserve">10</w:t>
                  </w:r>
                </w:p>
              </w:tc>
              <w:tc>
                <w:tcPr/>
                <w:p>
                  <w:pPr>
                    <w:pStyle w:val="Compact"/>
                    <w:jc w:val="left"/>
                    <w:jc w:val="center"/>
                  </w:pPr>
                  <w:r>
                    <w:t xml:space="preserve">MEGA</w:t>
                  </w:r>
                </w:p>
              </w:tc>
              <w:tc>
                <w:tcPr/>
                <w:p>
                  <w:pPr>
                    <w:pStyle w:val="Compact"/>
                    <w:jc w:val="right"/>
                    <w:jc w:val="center"/>
                  </w:pPr>
                  <w:r>
                    <w:t xml:space="preserve">6.66</w:t>
                  </w:r>
                </w:p>
              </w:tc>
              <w:tc>
                <w:tcPr/>
                <w:p>
                  <w:pPr>
                    <w:pStyle w:val="Compact"/>
                    <w:jc w:val="right"/>
                    <w:jc w:val="center"/>
                  </w:pPr>
                  <w:r>
                    <w:t xml:space="preserve">7.20</w:t>
                  </w:r>
                </w:p>
              </w:tc>
              <w:tc>
                <w:tcPr/>
                <w:p>
                  <w:pPr>
                    <w:pStyle w:val="Compact"/>
                    <w:jc w:val="right"/>
                    <w:jc w:val="center"/>
                  </w:pPr>
                  <w:r>
                    <w:t xml:space="preserve">0.55</w:t>
                  </w:r>
                </w:p>
              </w:tc>
              <w:tc>
                <w:tcPr/>
                <w:p>
                  <w:pPr>
                    <w:pStyle w:val="Compact"/>
                    <w:jc w:val="right"/>
                    <w:jc w:val="center"/>
                  </w:pPr>
                  <w:r>
                    <w:t xml:space="preserve">115.75</w:t>
                  </w:r>
                </w:p>
              </w:tc>
              <w:tc>
                <w:tcPr/>
                <w:p>
                  <w:pPr>
                    <w:pStyle w:val="Compact"/>
                    <w:jc w:val="right"/>
                    <w:jc w:val="center"/>
                  </w:pPr>
                  <w:r>
                    <w:t xml:space="preserve">103.79</w:t>
                  </w:r>
                </w:p>
              </w:tc>
              <w:tc>
                <w:tcPr/>
                <w:p>
                  <w:pPr>
                    <w:pStyle w:val="Compact"/>
                    <w:jc w:val="right"/>
                    <w:jc w:val="center"/>
                  </w:pPr>
                  <w:r>
                    <w:t xml:space="preserve">-11.96</w:t>
                  </w:r>
                </w:p>
              </w:tc>
            </w:tr>
            <w:tr>
              <w:tc>
                <w:tcPr/>
                <w:p>
                  <w:pPr>
                    <w:pStyle w:val="Compact"/>
                    <w:jc w:val="right"/>
                    <w:jc w:val="center"/>
                  </w:pPr>
                  <w:r>
                    <w:t xml:space="preserve">11</w:t>
                  </w:r>
                </w:p>
              </w:tc>
              <w:tc>
                <w:tcPr/>
                <w:p>
                  <w:pPr>
                    <w:pStyle w:val="Compact"/>
                    <w:jc w:val="left"/>
                    <w:jc w:val="center"/>
                  </w:pPr>
                  <w:r>
                    <w:t xml:space="preserve">sLASER</w:t>
                  </w:r>
                </w:p>
              </w:tc>
              <w:tc>
                <w:tcPr/>
                <w:p>
                  <w:pPr>
                    <w:pStyle w:val="Compact"/>
                    <w:jc w:val="right"/>
                    <w:jc w:val="center"/>
                  </w:pPr>
                  <w:r>
                    <w:t xml:space="preserve">9.53</w:t>
                  </w:r>
                </w:p>
              </w:tc>
              <w:tc>
                <w:tcPr/>
                <w:p>
                  <w:pPr>
                    <w:pStyle w:val="Compact"/>
                    <w:jc w:val="right"/>
                    <w:jc w:val="center"/>
                  </w:pPr>
                  <w:r>
                    <w:t xml:space="preserve">8.57</w:t>
                  </w:r>
                </w:p>
              </w:tc>
              <w:tc>
                <w:tcPr/>
                <w:p>
                  <w:pPr>
                    <w:pStyle w:val="Compact"/>
                    <w:jc w:val="right"/>
                    <w:jc w:val="center"/>
                  </w:pPr>
                  <w:r>
                    <w:t xml:space="preserve">-0.96</w:t>
                  </w:r>
                </w:p>
              </w:tc>
              <w:tc>
                <w:tcPr/>
                <w:p>
                  <w:pPr>
                    <w:pStyle w:val="Compact"/>
                    <w:jc w:val="right"/>
                    <w:jc w:val="center"/>
                  </w:pPr>
                  <w:r>
                    <w:t xml:space="preserve">157.59</w:t>
                  </w:r>
                </w:p>
              </w:tc>
              <w:tc>
                <w:tcPr/>
                <w:p>
                  <w:pPr>
                    <w:pStyle w:val="Compact"/>
                    <w:jc w:val="right"/>
                    <w:jc w:val="center"/>
                  </w:pPr>
                  <w:r>
                    <w:t xml:space="preserve">136.11</w:t>
                  </w:r>
                </w:p>
              </w:tc>
              <w:tc>
                <w:tcPr/>
                <w:p>
                  <w:pPr>
                    <w:pStyle w:val="Compact"/>
                    <w:jc w:val="right"/>
                    <w:jc w:val="center"/>
                  </w:pPr>
                  <w:r>
                    <w:t xml:space="preserve">-21.48</w:t>
                  </w:r>
                </w:p>
              </w:tc>
            </w:tr>
            <w:tr>
              <w:tc>
                <w:tcPr/>
                <w:p>
                  <w:pPr>
                    <w:pStyle w:val="Compact"/>
                    <w:jc w:val="right"/>
                    <w:jc w:val="center"/>
                  </w:pPr>
                  <w:r>
                    <w:t xml:space="preserve">11</w:t>
                  </w:r>
                </w:p>
              </w:tc>
              <w:tc>
                <w:tcPr/>
                <w:p>
                  <w:pPr>
                    <w:pStyle w:val="Compact"/>
                    <w:jc w:val="left"/>
                    <w:jc w:val="center"/>
                  </w:pPr>
                  <w:r>
                    <w:t xml:space="preserve">MEGA</w:t>
                  </w:r>
                </w:p>
              </w:tc>
              <w:tc>
                <w:tcPr/>
                <w:p>
                  <w:pPr>
                    <w:pStyle w:val="Compact"/>
                    <w:jc w:val="right"/>
                    <w:jc w:val="center"/>
                  </w:pPr>
                  <w:r>
                    <w:t xml:space="preserve">7.73</w:t>
                  </w:r>
                </w:p>
              </w:tc>
              <w:tc>
                <w:tcPr/>
                <w:p>
                  <w:pPr>
                    <w:pStyle w:val="Compact"/>
                    <w:jc w:val="right"/>
                    <w:jc w:val="center"/>
                  </w:pPr>
                  <w:r>
                    <w:t xml:space="preserve">8.83</w:t>
                  </w:r>
                </w:p>
              </w:tc>
              <w:tc>
                <w:tcPr/>
                <w:p>
                  <w:pPr>
                    <w:pStyle w:val="Compact"/>
                    <w:jc w:val="right"/>
                    <w:jc w:val="center"/>
                  </w:pPr>
                  <w:r>
                    <w:t xml:space="preserve">1.10</w:t>
                  </w:r>
                </w:p>
              </w:tc>
              <w:tc>
                <w:tcPr/>
                <w:p>
                  <w:pPr>
                    <w:pStyle w:val="Compact"/>
                    <w:jc w:val="right"/>
                    <w:jc w:val="center"/>
                  </w:pPr>
                  <w:r>
                    <w:t xml:space="preserve">101.11</w:t>
                  </w:r>
                </w:p>
              </w:tc>
              <w:tc>
                <w:tcPr/>
                <w:p>
                  <w:pPr>
                    <w:pStyle w:val="Compact"/>
                    <w:jc w:val="right"/>
                    <w:jc w:val="center"/>
                  </w:pPr>
                  <w:r>
                    <w:t xml:space="preserve">87.58</w:t>
                  </w:r>
                </w:p>
              </w:tc>
              <w:tc>
                <w:tcPr/>
                <w:p>
                  <w:pPr>
                    <w:pStyle w:val="Compact"/>
                    <w:jc w:val="right"/>
                    <w:jc w:val="center"/>
                  </w:pPr>
                  <w:r>
                    <w:t xml:space="preserve">-13.52</w:t>
                  </w:r>
                </w:p>
              </w:tc>
            </w:tr>
            <w:tr>
              <w:tc>
                <w:tcPr/>
                <w:p>
                  <w:pPr>
                    <w:pStyle w:val="Compact"/>
                    <w:jc w:val="right"/>
                    <w:jc w:val="center"/>
                  </w:pPr>
                  <w:r>
                    <w:t xml:space="preserve">12</w:t>
                  </w:r>
                </w:p>
              </w:tc>
              <w:tc>
                <w:tcPr/>
                <w:p>
                  <w:pPr>
                    <w:pStyle w:val="Compact"/>
                    <w:jc w:val="left"/>
                    <w:jc w:val="center"/>
                  </w:pPr>
                  <w:r>
                    <w:t xml:space="preserve">sLASER</w:t>
                  </w:r>
                </w:p>
              </w:tc>
              <w:tc>
                <w:tcPr/>
                <w:p>
                  <w:pPr>
                    <w:pStyle w:val="Compact"/>
                    <w:jc w:val="right"/>
                    <w:jc w:val="center"/>
                  </w:pPr>
                  <w:r>
                    <w:t xml:space="preserve">8.39</w:t>
                  </w:r>
                </w:p>
              </w:tc>
              <w:tc>
                <w:tcPr/>
                <w:p>
                  <w:pPr>
                    <w:pStyle w:val="Compact"/>
                    <w:jc w:val="right"/>
                    <w:jc w:val="center"/>
                  </w:pPr>
                  <w:r>
                    <w:t xml:space="preserve">7.79</w:t>
                  </w:r>
                </w:p>
              </w:tc>
              <w:tc>
                <w:tcPr/>
                <w:p>
                  <w:pPr>
                    <w:pStyle w:val="Compact"/>
                    <w:jc w:val="right"/>
                    <w:jc w:val="center"/>
                  </w:pPr>
                  <w:r>
                    <w:t xml:space="preserve">-0.60</w:t>
                  </w:r>
                </w:p>
              </w:tc>
              <w:tc>
                <w:tcPr/>
                <w:p>
                  <w:pPr>
                    <w:pStyle w:val="Compact"/>
                    <w:jc w:val="right"/>
                    <w:jc w:val="center"/>
                  </w:pPr>
                  <w:r>
                    <w:t xml:space="preserve">180.44</w:t>
                  </w:r>
                </w:p>
              </w:tc>
              <w:tc>
                <w:tcPr/>
                <w:p>
                  <w:pPr>
                    <w:pStyle w:val="Compact"/>
                    <w:jc w:val="right"/>
                    <w:jc w:val="center"/>
                  </w:pPr>
                  <w:r>
                    <w:t xml:space="preserve">136.71</w:t>
                  </w:r>
                </w:p>
              </w:tc>
              <w:tc>
                <w:tcPr/>
                <w:p>
                  <w:pPr>
                    <w:pStyle w:val="Compact"/>
                    <w:jc w:val="right"/>
                    <w:jc w:val="center"/>
                  </w:pPr>
                  <w:r>
                    <w:t xml:space="preserve">-43.73</w:t>
                  </w:r>
                </w:p>
              </w:tc>
            </w:tr>
            <w:tr>
              <w:tc>
                <w:tcPr/>
                <w:p>
                  <w:pPr>
                    <w:pStyle w:val="Compact"/>
                    <w:jc w:val="right"/>
                    <w:jc w:val="center"/>
                  </w:pPr>
                  <w:r>
                    <w:t xml:space="preserve">12</w:t>
                  </w:r>
                </w:p>
              </w:tc>
              <w:tc>
                <w:tcPr/>
                <w:p>
                  <w:pPr>
                    <w:pStyle w:val="Compact"/>
                    <w:jc w:val="left"/>
                    <w:jc w:val="center"/>
                  </w:pPr>
                  <w:r>
                    <w:t xml:space="preserve">MEGA</w:t>
                  </w:r>
                </w:p>
              </w:tc>
              <w:tc>
                <w:tcPr/>
                <w:p>
                  <w:pPr>
                    <w:pStyle w:val="Compact"/>
                    <w:jc w:val="right"/>
                    <w:jc w:val="center"/>
                  </w:pPr>
                  <w:r>
                    <w:t xml:space="preserve">7.46</w:t>
                  </w:r>
                </w:p>
              </w:tc>
              <w:tc>
                <w:tcPr/>
                <w:p>
                  <w:pPr>
                    <w:pStyle w:val="Compact"/>
                    <w:jc w:val="right"/>
                    <w:jc w:val="center"/>
                  </w:pPr>
                  <w:r>
                    <w:t xml:space="preserve">7.43</w:t>
                  </w:r>
                </w:p>
              </w:tc>
              <w:tc>
                <w:tcPr/>
                <w:p>
                  <w:pPr>
                    <w:pStyle w:val="Compact"/>
                    <w:jc w:val="right"/>
                    <w:jc w:val="center"/>
                  </w:pPr>
                  <w:r>
                    <w:t xml:space="preserve">-0.03</w:t>
                  </w:r>
                </w:p>
              </w:tc>
              <w:tc>
                <w:tcPr/>
                <w:p>
                  <w:pPr>
                    <w:pStyle w:val="Compact"/>
                    <w:jc w:val="right"/>
                    <w:jc w:val="center"/>
                  </w:pPr>
                  <w:r>
                    <w:t xml:space="preserve">113.05</w:t>
                  </w:r>
                </w:p>
              </w:tc>
              <w:tc>
                <w:tcPr/>
                <w:p>
                  <w:pPr>
                    <w:pStyle w:val="Compact"/>
                    <w:jc w:val="right"/>
                    <w:jc w:val="center"/>
                  </w:pPr>
                  <w:r>
                    <w:t xml:space="preserve">112.73</w:t>
                  </w:r>
                </w:p>
              </w:tc>
              <w:tc>
                <w:tcPr/>
                <w:p>
                  <w:pPr>
                    <w:pStyle w:val="Compact"/>
                    <w:jc w:val="right"/>
                    <w:jc w:val="center"/>
                  </w:pPr>
                  <w:r>
                    <w:t xml:space="preserve">-0.32</w:t>
                  </w:r>
                </w:p>
              </w:tc>
            </w:tr>
            <w:tr>
              <w:tc>
                <w:tcPr/>
                <w:p>
                  <w:pPr>
                    <w:pStyle w:val="Compact"/>
                    <w:jc w:val="right"/>
                    <w:jc w:val="center"/>
                  </w:pPr>
                  <w:r>
                    <w:t xml:space="preserve">13</w:t>
                  </w:r>
                </w:p>
              </w:tc>
              <w:tc>
                <w:tcPr/>
                <w:p>
                  <w:pPr>
                    <w:pStyle w:val="Compact"/>
                    <w:jc w:val="left"/>
                    <w:jc w:val="center"/>
                  </w:pPr>
                  <w:r>
                    <w:t xml:space="preserve">sLASER</w:t>
                  </w:r>
                </w:p>
              </w:tc>
              <w:tc>
                <w:tcPr/>
                <w:p>
                  <w:pPr>
                    <w:pStyle w:val="Compact"/>
                    <w:jc w:val="right"/>
                    <w:jc w:val="center"/>
                  </w:pPr>
                  <w:r>
                    <w:t xml:space="preserve">7.73</w:t>
                  </w:r>
                </w:p>
              </w:tc>
              <w:tc>
                <w:tcPr/>
                <w:p>
                  <w:pPr>
                    <w:pStyle w:val="Compact"/>
                    <w:jc w:val="right"/>
                    <w:jc w:val="center"/>
                  </w:pPr>
                  <w:r>
                    <w:t xml:space="preserve">8.45</w:t>
                  </w:r>
                </w:p>
              </w:tc>
              <w:tc>
                <w:tcPr/>
                <w:p>
                  <w:pPr>
                    <w:pStyle w:val="Compact"/>
                    <w:jc w:val="right"/>
                    <w:jc w:val="center"/>
                  </w:pPr>
                  <w:r>
                    <w:t xml:space="preserve">0.72</w:t>
                  </w:r>
                </w:p>
              </w:tc>
              <w:tc>
                <w:tcPr/>
                <w:p>
                  <w:pPr>
                    <w:pStyle w:val="Compact"/>
                    <w:jc w:val="right"/>
                    <w:jc w:val="center"/>
                  </w:pPr>
                  <w:r>
                    <w:t xml:space="preserve">158.00</w:t>
                  </w:r>
                </w:p>
              </w:tc>
              <w:tc>
                <w:tcPr/>
                <w:p>
                  <w:pPr>
                    <w:pStyle w:val="Compact"/>
                    <w:jc w:val="right"/>
                    <w:jc w:val="center"/>
                  </w:pPr>
                  <w:r>
                    <w:t xml:space="preserve">207.77</w:t>
                  </w:r>
                </w:p>
              </w:tc>
              <w:tc>
                <w:tcPr/>
                <w:p>
                  <w:pPr>
                    <w:pStyle w:val="Compact"/>
                    <w:jc w:val="right"/>
                    <w:jc w:val="center"/>
                  </w:pPr>
                  <w:r>
                    <w:t xml:space="preserve">49.78</w:t>
                  </w:r>
                </w:p>
              </w:tc>
            </w:tr>
            <w:tr>
              <w:tc>
                <w:tcPr/>
                <w:p>
                  <w:pPr>
                    <w:pStyle w:val="Compact"/>
                    <w:jc w:val="right"/>
                    <w:jc w:val="center"/>
                  </w:pPr>
                  <w:r>
                    <w:t xml:space="preserve">13</w:t>
                  </w:r>
                </w:p>
              </w:tc>
              <w:tc>
                <w:tcPr/>
                <w:p>
                  <w:pPr>
                    <w:pStyle w:val="Compact"/>
                    <w:jc w:val="left"/>
                    <w:jc w:val="center"/>
                  </w:pPr>
                  <w:r>
                    <w:t xml:space="preserve">MEGA</w:t>
                  </w:r>
                </w:p>
              </w:tc>
              <w:tc>
                <w:tcPr/>
                <w:p>
                  <w:pPr>
                    <w:pStyle w:val="Compact"/>
                    <w:jc w:val="right"/>
                    <w:jc w:val="center"/>
                  </w:pPr>
                  <w:r>
                    <w:t xml:space="preserve">7.06</w:t>
                  </w:r>
                </w:p>
              </w:tc>
              <w:tc>
                <w:tcPr/>
                <w:p>
                  <w:pPr>
                    <w:pStyle w:val="Compact"/>
                    <w:jc w:val="right"/>
                    <w:jc w:val="center"/>
                  </w:pPr>
                  <w:r>
                    <w:t xml:space="preserve">7.09</w:t>
                  </w:r>
                </w:p>
              </w:tc>
              <w:tc>
                <w:tcPr/>
                <w:p>
                  <w:pPr>
                    <w:pStyle w:val="Compact"/>
                    <w:jc w:val="right"/>
                    <w:jc w:val="center"/>
                  </w:pPr>
                  <w:r>
                    <w:t xml:space="preserve">0.03</w:t>
                  </w:r>
                </w:p>
              </w:tc>
              <w:tc>
                <w:tcPr/>
                <w:p>
                  <w:pPr>
                    <w:pStyle w:val="Compact"/>
                    <w:jc w:val="right"/>
                    <w:jc w:val="center"/>
                  </w:pPr>
                  <w:r>
                    <w:t xml:space="preserve">147.40</w:t>
                  </w:r>
                </w:p>
              </w:tc>
              <w:tc>
                <w:tcPr/>
                <w:p>
                  <w:pPr>
                    <w:pStyle w:val="Compact"/>
                    <w:jc w:val="right"/>
                    <w:jc w:val="center"/>
                  </w:pPr>
                  <w:r>
                    <w:t xml:space="preserve">147.57</w:t>
                  </w:r>
                </w:p>
              </w:tc>
              <w:tc>
                <w:tcPr/>
                <w:p>
                  <w:pPr>
                    <w:pStyle w:val="Compact"/>
                    <w:jc w:val="right"/>
                    <w:jc w:val="center"/>
                  </w:pPr>
                  <w:r>
                    <w:t xml:space="preserve">0.17</w:t>
                  </w:r>
                </w:p>
              </w:tc>
            </w:tr>
            <w:tr>
              <w:tc>
                <w:tcPr/>
                <w:p>
                  <w:pPr>
                    <w:pStyle w:val="Compact"/>
                    <w:jc w:val="right"/>
                    <w:jc w:val="center"/>
                  </w:pPr>
                  <w:r>
                    <w:t xml:space="preserve">15</w:t>
                  </w:r>
                </w:p>
              </w:tc>
              <w:tc>
                <w:tcPr/>
                <w:p>
                  <w:pPr>
                    <w:pStyle w:val="Compact"/>
                    <w:jc w:val="left"/>
                    <w:jc w:val="center"/>
                  </w:pPr>
                  <w:r>
                    <w:t xml:space="preserve">sLASER</w:t>
                  </w:r>
                </w:p>
              </w:tc>
              <w:tc>
                <w:tcPr/>
                <w:p>
                  <w:pPr>
                    <w:pStyle w:val="Compact"/>
                    <w:jc w:val="right"/>
                    <w:jc w:val="center"/>
                  </w:pPr>
                  <w:r>
                    <w:t xml:space="preserve">9.27</w:t>
                  </w:r>
                </w:p>
              </w:tc>
              <w:tc>
                <w:tcPr/>
                <w:p>
                  <w:pPr>
                    <w:pStyle w:val="Compact"/>
                    <w:jc w:val="right"/>
                    <w:jc w:val="center"/>
                  </w:pPr>
                  <w:r>
                    <w:t xml:space="preserve">8.25</w:t>
                  </w:r>
                </w:p>
              </w:tc>
              <w:tc>
                <w:tcPr/>
                <w:p>
                  <w:pPr>
                    <w:pStyle w:val="Compact"/>
                    <w:jc w:val="right"/>
                    <w:jc w:val="center"/>
                  </w:pPr>
                  <w:r>
                    <w:t xml:space="preserve">-1.03</w:t>
                  </w:r>
                </w:p>
              </w:tc>
              <w:tc>
                <w:tcPr/>
                <w:p>
                  <w:pPr>
                    <w:pStyle w:val="Compact"/>
                    <w:jc w:val="right"/>
                    <w:jc w:val="center"/>
                  </w:pPr>
                  <w:r>
                    <w:t xml:space="preserve">161.54</w:t>
                  </w:r>
                </w:p>
              </w:tc>
              <w:tc>
                <w:tcPr/>
                <w:p>
                  <w:pPr>
                    <w:pStyle w:val="Compact"/>
                    <w:jc w:val="right"/>
                    <w:jc w:val="center"/>
                  </w:pPr>
                  <w:r>
                    <w:t xml:space="preserve">135.97</w:t>
                  </w:r>
                </w:p>
              </w:tc>
              <w:tc>
                <w:tcPr/>
                <w:p>
                  <w:pPr>
                    <w:pStyle w:val="Compact"/>
                    <w:jc w:val="right"/>
                    <w:jc w:val="center"/>
                  </w:pPr>
                  <w:r>
                    <w:t xml:space="preserve">-25.57</w:t>
                  </w:r>
                </w:p>
              </w:tc>
            </w:tr>
            <w:tr>
              <w:tc>
                <w:tcPr/>
                <w:p>
                  <w:pPr>
                    <w:pStyle w:val="Compact"/>
                    <w:jc w:val="right"/>
                    <w:jc w:val="center"/>
                  </w:pPr>
                  <w:r>
                    <w:t xml:space="preserve">15</w:t>
                  </w:r>
                </w:p>
              </w:tc>
              <w:tc>
                <w:tcPr/>
                <w:p>
                  <w:pPr>
                    <w:pStyle w:val="Compact"/>
                    <w:jc w:val="left"/>
                    <w:jc w:val="center"/>
                  </w:pPr>
                  <w:r>
                    <w:t xml:space="preserve">MEGA</w:t>
                  </w:r>
                </w:p>
              </w:tc>
              <w:tc>
                <w:tcPr/>
                <w:p>
                  <w:pPr>
                    <w:pStyle w:val="Compact"/>
                    <w:jc w:val="right"/>
                    <w:jc w:val="center"/>
                  </w:pPr>
                  <w:r>
                    <w:t xml:space="preserve">7.93</w:t>
                  </w:r>
                </w:p>
              </w:tc>
              <w:tc>
                <w:tcPr/>
                <w:p>
                  <w:pPr>
                    <w:pStyle w:val="Compact"/>
                    <w:jc w:val="right"/>
                    <w:jc w:val="center"/>
                  </w:pPr>
                  <w:r>
                    <w:t xml:space="preserve">7.40</w:t>
                  </w:r>
                </w:p>
              </w:tc>
              <w:tc>
                <w:tcPr/>
                <w:p>
                  <w:pPr>
                    <w:pStyle w:val="Compact"/>
                    <w:jc w:val="right"/>
                    <w:jc w:val="center"/>
                  </w:pPr>
                  <w:r>
                    <w:t xml:space="preserve">-0.53</w:t>
                  </w:r>
                </w:p>
              </w:tc>
              <w:tc>
                <w:tcPr/>
                <w:p>
                  <w:pPr>
                    <w:pStyle w:val="Compact"/>
                    <w:jc w:val="right"/>
                    <w:jc w:val="center"/>
                  </w:pPr>
                  <w:r>
                    <w:t xml:space="preserve">105.05</w:t>
                  </w:r>
                </w:p>
              </w:tc>
              <w:tc>
                <w:tcPr/>
                <w:p>
                  <w:pPr>
                    <w:pStyle w:val="Compact"/>
                    <w:jc w:val="right"/>
                    <w:jc w:val="center"/>
                  </w:pPr>
                  <w:r>
                    <w:t xml:space="preserve">124.51</w:t>
                  </w:r>
                </w:p>
              </w:tc>
              <w:tc>
                <w:tcPr/>
                <w:p>
                  <w:pPr>
                    <w:pStyle w:val="Compact"/>
                    <w:jc w:val="right"/>
                    <w:jc w:val="center"/>
                  </w:pPr>
                  <w:r>
                    <w:t xml:space="preserve">19.47</w:t>
                  </w:r>
                </w:p>
              </w:tc>
            </w:tr>
            <w:tr>
              <w:tc>
                <w:tcPr/>
                <w:p>
                  <w:pPr>
                    <w:pStyle w:val="Compact"/>
                    <w:jc w:val="right"/>
                    <w:jc w:val="center"/>
                  </w:pPr>
                  <w:r>
                    <w:t xml:space="preserve">16</w:t>
                  </w:r>
                </w:p>
              </w:tc>
              <w:tc>
                <w:tcPr/>
                <w:p>
                  <w:pPr>
                    <w:pStyle w:val="Compact"/>
                    <w:jc w:val="left"/>
                    <w:jc w:val="center"/>
                  </w:pPr>
                  <w:r>
                    <w:t xml:space="preserve">sLASER</w:t>
                  </w:r>
                </w:p>
              </w:tc>
              <w:tc>
                <w:tcPr/>
                <w:p>
                  <w:pPr>
                    <w:pStyle w:val="Compact"/>
                    <w:jc w:val="right"/>
                    <w:jc w:val="center"/>
                  </w:pPr>
                  <w:r>
                    <w:t xml:space="preserve">9.23</w:t>
                  </w:r>
                </w:p>
              </w:tc>
              <w:tc>
                <w:tcPr/>
                <w:p>
                  <w:pPr>
                    <w:pStyle w:val="Compact"/>
                    <w:jc w:val="right"/>
                    <w:jc w:val="center"/>
                  </w:pPr>
                  <w:r>
                    <w:t xml:space="preserve">9.19</w:t>
                  </w:r>
                </w:p>
              </w:tc>
              <w:tc>
                <w:tcPr/>
                <w:p>
                  <w:pPr>
                    <w:pStyle w:val="Compact"/>
                    <w:jc w:val="right"/>
                    <w:jc w:val="center"/>
                  </w:pPr>
                  <w:r>
                    <w:t xml:space="preserve">-0.04</w:t>
                  </w:r>
                </w:p>
              </w:tc>
              <w:tc>
                <w:tcPr/>
                <w:p>
                  <w:pPr>
                    <w:pStyle w:val="Compact"/>
                    <w:jc w:val="right"/>
                    <w:jc w:val="center"/>
                  </w:pPr>
                  <w:r>
                    <w:t xml:space="preserve">155.48</w:t>
                  </w:r>
                </w:p>
              </w:tc>
              <w:tc>
                <w:tcPr/>
                <w:p>
                  <w:pPr>
                    <w:pStyle w:val="Compact"/>
                    <w:jc w:val="right"/>
                    <w:jc w:val="center"/>
                  </w:pPr>
                  <w:r>
                    <w:t xml:space="preserve">135.41</w:t>
                  </w:r>
                </w:p>
              </w:tc>
              <w:tc>
                <w:tcPr/>
                <w:p>
                  <w:pPr>
                    <w:pStyle w:val="Compact"/>
                    <w:jc w:val="right"/>
                    <w:jc w:val="center"/>
                  </w:pPr>
                  <w:r>
                    <w:t xml:space="preserve">-20.07</w:t>
                  </w:r>
                </w:p>
              </w:tc>
            </w:tr>
            <w:tr>
              <w:tc>
                <w:tcPr/>
                <w:p>
                  <w:pPr>
                    <w:pStyle w:val="Compact"/>
                    <w:jc w:val="right"/>
                    <w:jc w:val="center"/>
                  </w:pPr>
                  <w:r>
                    <w:t xml:space="preserve">16</w:t>
                  </w:r>
                </w:p>
              </w:tc>
              <w:tc>
                <w:tcPr/>
                <w:p>
                  <w:pPr>
                    <w:pStyle w:val="Compact"/>
                    <w:jc w:val="left"/>
                    <w:jc w:val="center"/>
                  </w:pPr>
                  <w:r>
                    <w:t xml:space="preserve">MEGA</w:t>
                  </w:r>
                </w:p>
              </w:tc>
              <w:tc>
                <w:tcPr/>
                <w:p>
                  <w:pPr>
                    <w:pStyle w:val="Compact"/>
                    <w:jc w:val="right"/>
                    <w:jc w:val="center"/>
                  </w:pPr>
                  <w:r>
                    <w:t xml:space="preserve">8.32</w:t>
                  </w:r>
                </w:p>
              </w:tc>
              <w:tc>
                <w:tcPr/>
                <w:p>
                  <w:pPr>
                    <w:pStyle w:val="Compact"/>
                    <w:jc w:val="right"/>
                    <w:jc w:val="center"/>
                  </w:pPr>
                  <w:r>
                    <w:t xml:space="preserve">8.29</w:t>
                  </w:r>
                </w:p>
              </w:tc>
              <w:tc>
                <w:tcPr/>
                <w:p>
                  <w:pPr>
                    <w:pStyle w:val="Compact"/>
                    <w:jc w:val="right"/>
                    <w:jc w:val="center"/>
                  </w:pPr>
                  <w:r>
                    <w:t xml:space="preserve">-0.03</w:t>
                  </w:r>
                </w:p>
              </w:tc>
              <w:tc>
                <w:tcPr/>
                <w:p>
                  <w:pPr>
                    <w:pStyle w:val="Compact"/>
                    <w:jc w:val="right"/>
                    <w:jc w:val="center"/>
                  </w:pPr>
                  <w:r>
                    <w:t xml:space="preserve">102.73</w:t>
                  </w:r>
                </w:p>
              </w:tc>
              <w:tc>
                <w:tcPr/>
                <w:p>
                  <w:pPr>
                    <w:pStyle w:val="Compact"/>
                    <w:jc w:val="right"/>
                    <w:jc w:val="center"/>
                  </w:pPr>
                  <w:r>
                    <w:t xml:space="preserve">97.17</w:t>
                  </w:r>
                </w:p>
              </w:tc>
              <w:tc>
                <w:tcPr/>
                <w:p>
                  <w:pPr>
                    <w:pStyle w:val="Compact"/>
                    <w:jc w:val="right"/>
                    <w:jc w:val="center"/>
                  </w:pPr>
                  <w:r>
                    <w:t xml:space="preserve">-5.55</w:t>
                  </w:r>
                </w:p>
              </w:tc>
            </w:tr>
            <w:tr>
              <w:tc>
                <w:tcPr/>
                <w:p>
                  <w:pPr>
                    <w:pStyle w:val="Compact"/>
                    <w:jc w:val="right"/>
                    <w:jc w:val="center"/>
                  </w:pPr>
                  <w:r>
                    <w:t xml:space="preserve">18</w:t>
                  </w:r>
                </w:p>
              </w:tc>
              <w:tc>
                <w:tcPr/>
                <w:p>
                  <w:pPr>
                    <w:pStyle w:val="Compact"/>
                    <w:jc w:val="left"/>
                    <w:jc w:val="center"/>
                  </w:pPr>
                  <w:r>
                    <w:t xml:space="preserve">sLASER</w:t>
                  </w:r>
                </w:p>
              </w:tc>
              <w:tc>
                <w:tcPr/>
                <w:p>
                  <w:pPr>
                    <w:pStyle w:val="Compact"/>
                    <w:jc w:val="right"/>
                    <w:jc w:val="center"/>
                  </w:pPr>
                  <w:r>
                    <w:t xml:space="preserve">8.57</w:t>
                  </w:r>
                </w:p>
              </w:tc>
              <w:tc>
                <w:tcPr/>
                <w:p>
                  <w:pPr>
                    <w:pStyle w:val="Compact"/>
                    <w:jc w:val="right"/>
                    <w:jc w:val="center"/>
                  </w:pPr>
                  <w:r>
                    <w:t xml:space="preserve">8.33</w:t>
                  </w:r>
                </w:p>
              </w:tc>
              <w:tc>
                <w:tcPr/>
                <w:p>
                  <w:pPr>
                    <w:pStyle w:val="Compact"/>
                    <w:jc w:val="right"/>
                    <w:jc w:val="center"/>
                  </w:pPr>
                  <w:r>
                    <w:t xml:space="preserve">-0.24</w:t>
                  </w:r>
                </w:p>
              </w:tc>
              <w:tc>
                <w:tcPr/>
                <w:p>
                  <w:pPr>
                    <w:pStyle w:val="Compact"/>
                    <w:jc w:val="right"/>
                    <w:jc w:val="center"/>
                  </w:pPr>
                  <w:r>
                    <w:t xml:space="preserve">116.65</w:t>
                  </w:r>
                </w:p>
              </w:tc>
              <w:tc>
                <w:tcPr/>
                <w:p>
                  <w:pPr>
                    <w:pStyle w:val="Compact"/>
                    <w:jc w:val="right"/>
                    <w:jc w:val="center"/>
                  </w:pPr>
                  <w:r>
                    <w:t xml:space="preserve">117.28</w:t>
                  </w:r>
                </w:p>
              </w:tc>
              <w:tc>
                <w:tcPr/>
                <w:p>
                  <w:pPr>
                    <w:pStyle w:val="Compact"/>
                    <w:jc w:val="right"/>
                    <w:jc w:val="center"/>
                  </w:pPr>
                  <w:r>
                    <w:t xml:space="preserve">0.62</w:t>
                  </w:r>
                </w:p>
              </w:tc>
            </w:tr>
            <w:tr>
              <w:tc>
                <w:tcPr/>
                <w:p>
                  <w:pPr>
                    <w:pStyle w:val="Compact"/>
                    <w:jc w:val="right"/>
                    <w:jc w:val="center"/>
                  </w:pPr>
                  <w:r>
                    <w:t xml:space="preserve">18</w:t>
                  </w:r>
                </w:p>
              </w:tc>
              <w:tc>
                <w:tcPr/>
                <w:p>
                  <w:pPr>
                    <w:pStyle w:val="Compact"/>
                    <w:jc w:val="left"/>
                    <w:jc w:val="center"/>
                  </w:pPr>
                  <w:r>
                    <w:t xml:space="preserve">MEGA</w:t>
                  </w:r>
                </w:p>
              </w:tc>
              <w:tc>
                <w:tcPr/>
                <w:p>
                  <w:pPr>
                    <w:pStyle w:val="Compact"/>
                    <w:jc w:val="right"/>
                    <w:jc w:val="center"/>
                  </w:pPr>
                  <w:r>
                    <w:t xml:space="preserve">7.91</w:t>
                  </w:r>
                </w:p>
              </w:tc>
              <w:tc>
                <w:tcPr/>
                <w:p>
                  <w:pPr>
                    <w:pStyle w:val="Compact"/>
                    <w:jc w:val="right"/>
                    <w:jc w:val="center"/>
                  </w:pPr>
                  <w:r>
                    <w:t xml:space="preserve">7.51</w:t>
                  </w:r>
                </w:p>
              </w:tc>
              <w:tc>
                <w:tcPr/>
                <w:p>
                  <w:pPr>
                    <w:pStyle w:val="Compact"/>
                    <w:jc w:val="right"/>
                    <w:jc w:val="center"/>
                  </w:pPr>
                  <w:r>
                    <w:t xml:space="preserve">-0.40</w:t>
                  </w:r>
                </w:p>
              </w:tc>
              <w:tc>
                <w:tcPr/>
                <w:p>
                  <w:pPr>
                    <w:pStyle w:val="Compact"/>
                    <w:jc w:val="right"/>
                    <w:jc w:val="center"/>
                  </w:pPr>
                  <w:r>
                    <w:t xml:space="preserve">75.65</w:t>
                  </w:r>
                </w:p>
              </w:tc>
              <w:tc>
                <w:tcPr/>
                <w:p>
                  <w:pPr>
                    <w:pStyle w:val="Compact"/>
                    <w:jc w:val="right"/>
                    <w:jc w:val="center"/>
                  </w:pPr>
                  <w:r>
                    <w:t xml:space="preserve">83.37</w:t>
                  </w:r>
                </w:p>
              </w:tc>
              <w:tc>
                <w:tcPr/>
                <w:p>
                  <w:pPr>
                    <w:pStyle w:val="Compact"/>
                    <w:jc w:val="right"/>
                    <w:jc w:val="center"/>
                  </w:pPr>
                  <w:r>
                    <w:t xml:space="preserve">7.71</w:t>
                  </w:r>
                </w:p>
              </w:tc>
            </w:tr>
            <w:tr>
              <w:tc>
                <w:tcPr/>
                <w:p>
                  <w:pPr>
                    <w:pStyle w:val="Compact"/>
                    <w:jc w:val="right"/>
                    <w:jc w:val="center"/>
                  </w:pPr>
                  <w:r>
                    <w:t xml:space="preserve">19</w:t>
                  </w:r>
                </w:p>
              </w:tc>
              <w:tc>
                <w:tcPr/>
                <w:p>
                  <w:pPr>
                    <w:pStyle w:val="Compact"/>
                    <w:jc w:val="left"/>
                    <w:jc w:val="center"/>
                  </w:pPr>
                  <w:r>
                    <w:t xml:space="preserve">sLASER</w:t>
                  </w:r>
                </w:p>
              </w:tc>
              <w:tc>
                <w:tcPr/>
                <w:p>
                  <w:pPr>
                    <w:pStyle w:val="Compact"/>
                    <w:jc w:val="right"/>
                    <w:jc w:val="center"/>
                  </w:pPr>
                  <w:r>
                    <w:t xml:space="preserve">8.39</w:t>
                  </w:r>
                </w:p>
              </w:tc>
              <w:tc>
                <w:tcPr/>
                <w:p>
                  <w:pPr>
                    <w:pStyle w:val="Compact"/>
                    <w:jc w:val="right"/>
                    <w:jc w:val="center"/>
                  </w:pPr>
                  <w:r>
                    <w:t xml:space="preserve">8.57</w:t>
                  </w:r>
                </w:p>
              </w:tc>
              <w:tc>
                <w:tcPr/>
                <w:p>
                  <w:pPr>
                    <w:pStyle w:val="Compact"/>
                    <w:jc w:val="right"/>
                    <w:jc w:val="center"/>
                  </w:pPr>
                  <w:r>
                    <w:t xml:space="preserve">0.18</w:t>
                  </w:r>
                </w:p>
              </w:tc>
              <w:tc>
                <w:tcPr/>
                <w:p>
                  <w:pPr>
                    <w:pStyle w:val="Compact"/>
                    <w:jc w:val="right"/>
                    <w:jc w:val="center"/>
                  </w:pPr>
                  <w:r>
                    <w:t xml:space="preserve">169.98</w:t>
                  </w:r>
                </w:p>
              </w:tc>
              <w:tc>
                <w:tcPr/>
                <w:p>
                  <w:pPr>
                    <w:pStyle w:val="Compact"/>
                    <w:jc w:val="right"/>
                    <w:jc w:val="center"/>
                  </w:pPr>
                  <w:r>
                    <w:t xml:space="preserve">145.07</w:t>
                  </w:r>
                </w:p>
              </w:tc>
              <w:tc>
                <w:tcPr/>
                <w:p>
                  <w:pPr>
                    <w:pStyle w:val="Compact"/>
                    <w:jc w:val="right"/>
                    <w:jc w:val="center"/>
                  </w:pPr>
                  <w:r>
                    <w:t xml:space="preserve">-24.92</w:t>
                  </w:r>
                </w:p>
              </w:tc>
            </w:tr>
            <w:tr>
              <w:tc>
                <w:tcPr/>
                <w:p>
                  <w:pPr>
                    <w:pStyle w:val="Compact"/>
                    <w:jc w:val="right"/>
                    <w:jc w:val="center"/>
                  </w:pPr>
                  <w:r>
                    <w:t xml:space="preserve">19</w:t>
                  </w:r>
                </w:p>
              </w:tc>
              <w:tc>
                <w:tcPr/>
                <w:p>
                  <w:pPr>
                    <w:pStyle w:val="Compact"/>
                    <w:jc w:val="left"/>
                    <w:jc w:val="center"/>
                  </w:pPr>
                  <w:r>
                    <w:t xml:space="preserve">MEGA</w:t>
                  </w:r>
                </w:p>
              </w:tc>
              <w:tc>
                <w:tcPr/>
                <w:p>
                  <w:pPr>
                    <w:pStyle w:val="Compact"/>
                    <w:jc w:val="right"/>
                    <w:jc w:val="center"/>
                  </w:pPr>
                  <w:r>
                    <w:t xml:space="preserve">7.63</w:t>
                  </w:r>
                </w:p>
              </w:tc>
              <w:tc>
                <w:tcPr/>
                <w:p>
                  <w:pPr>
                    <w:pStyle w:val="Compact"/>
                    <w:jc w:val="right"/>
                    <w:jc w:val="center"/>
                  </w:pPr>
                  <w:r>
                    <w:t xml:space="preserve">8.01</w:t>
                  </w:r>
                </w:p>
              </w:tc>
              <w:tc>
                <w:tcPr/>
                <w:p>
                  <w:pPr>
                    <w:pStyle w:val="Compact"/>
                    <w:jc w:val="right"/>
                    <w:jc w:val="center"/>
                  </w:pPr>
                  <w:r>
                    <w:t xml:space="preserve">0.37</w:t>
                  </w:r>
                </w:p>
              </w:tc>
              <w:tc>
                <w:tcPr/>
                <w:p>
                  <w:pPr>
                    <w:pStyle w:val="Compact"/>
                    <w:jc w:val="right"/>
                    <w:jc w:val="center"/>
                  </w:pPr>
                  <w:r>
                    <w:t xml:space="preserve">126.17</w:t>
                  </w:r>
                </w:p>
              </w:tc>
              <w:tc>
                <w:tcPr/>
                <w:p>
                  <w:pPr>
                    <w:pStyle w:val="Compact"/>
                    <w:jc w:val="right"/>
                    <w:jc w:val="center"/>
                  </w:pPr>
                  <w:r>
                    <w:t xml:space="preserve">107.86</w:t>
                  </w:r>
                </w:p>
              </w:tc>
              <w:tc>
                <w:tcPr/>
                <w:p>
                  <w:pPr>
                    <w:pStyle w:val="Compact"/>
                    <w:jc w:val="right"/>
                    <w:jc w:val="center"/>
                  </w:pPr>
                  <w:r>
                    <w:t xml:space="preserve">-18.31</w:t>
                  </w:r>
                </w:p>
              </w:tc>
            </w:tr>
            <w:tr>
              <w:tc>
                <w:tcPr/>
                <w:p>
                  <w:pPr>
                    <w:pStyle w:val="Compact"/>
                    <w:jc w:val="right"/>
                    <w:jc w:val="center"/>
                  </w:pPr>
                  <w:r>
                    <w:t xml:space="preserve">20</w:t>
                  </w:r>
                </w:p>
              </w:tc>
              <w:tc>
                <w:tcPr/>
                <w:p>
                  <w:pPr>
                    <w:pStyle w:val="Compact"/>
                    <w:jc w:val="left"/>
                    <w:jc w:val="center"/>
                  </w:pPr>
                  <w:r>
                    <w:t xml:space="preserve">sLASER</w:t>
                  </w:r>
                </w:p>
              </w:tc>
              <w:tc>
                <w:tcPr/>
                <w:p>
                  <w:pPr>
                    <w:pStyle w:val="Compact"/>
                    <w:jc w:val="right"/>
                    <w:jc w:val="center"/>
                  </w:pPr>
                  <w:r>
                    <w:t xml:space="preserve">7.94</w:t>
                  </w:r>
                </w:p>
              </w:tc>
              <w:tc>
                <w:tcPr/>
                <w:p>
                  <w:pPr>
                    <w:pStyle w:val="Compact"/>
                    <w:jc w:val="right"/>
                    <w:jc w:val="center"/>
                  </w:pPr>
                  <w:r>
                    <w:t xml:space="preserve">7.93</w:t>
                  </w:r>
                </w:p>
              </w:tc>
              <w:tc>
                <w:tcPr/>
                <w:p>
                  <w:pPr>
                    <w:pStyle w:val="Compact"/>
                    <w:jc w:val="right"/>
                    <w:jc w:val="center"/>
                  </w:pPr>
                  <w:r>
                    <w:t xml:space="preserve">0.00</w:t>
                  </w:r>
                </w:p>
              </w:tc>
              <w:tc>
                <w:tcPr/>
                <w:p>
                  <w:pPr>
                    <w:pStyle w:val="Compact"/>
                    <w:jc w:val="right"/>
                    <w:jc w:val="center"/>
                  </w:pPr>
                  <w:r>
                    <w:t xml:space="preserve">146.29</w:t>
                  </w:r>
                </w:p>
              </w:tc>
              <w:tc>
                <w:tcPr/>
                <w:p>
                  <w:pPr>
                    <w:pStyle w:val="Compact"/>
                    <w:jc w:val="right"/>
                    <w:jc w:val="center"/>
                  </w:pPr>
                  <w:r>
                    <w:t xml:space="preserve">156.69</w:t>
                  </w:r>
                </w:p>
              </w:tc>
              <w:tc>
                <w:tcPr/>
                <w:p>
                  <w:pPr>
                    <w:pStyle w:val="Compact"/>
                    <w:jc w:val="right"/>
                    <w:jc w:val="center"/>
                  </w:pPr>
                  <w:r>
                    <w:t xml:space="preserve">10.40</w:t>
                  </w:r>
                </w:p>
              </w:tc>
            </w:tr>
            <w:tr>
              <w:tc>
                <w:tcPr/>
                <w:p>
                  <w:pPr>
                    <w:pStyle w:val="Compact"/>
                    <w:jc w:val="right"/>
                    <w:jc w:val="center"/>
                  </w:pPr>
                  <w:r>
                    <w:t xml:space="preserve">20</w:t>
                  </w:r>
                </w:p>
              </w:tc>
              <w:tc>
                <w:tcPr/>
                <w:p>
                  <w:pPr>
                    <w:pStyle w:val="Compact"/>
                    <w:jc w:val="left"/>
                    <w:jc w:val="center"/>
                  </w:pPr>
                  <w:r>
                    <w:t xml:space="preserve">MEGA</w:t>
                  </w:r>
                </w:p>
              </w:tc>
              <w:tc>
                <w:tcPr/>
                <w:p>
                  <w:pPr>
                    <w:pStyle w:val="Compact"/>
                    <w:jc w:val="right"/>
                    <w:jc w:val="center"/>
                  </w:pPr>
                  <w:r>
                    <w:t xml:space="preserve">7.16</w:t>
                  </w:r>
                </w:p>
              </w:tc>
              <w:tc>
                <w:tcPr/>
                <w:p>
                  <w:pPr>
                    <w:pStyle w:val="Compact"/>
                    <w:jc w:val="right"/>
                    <w:jc w:val="center"/>
                  </w:pPr>
                  <w:r>
                    <w:t xml:space="preserve">8.24</w:t>
                  </w:r>
                </w:p>
              </w:tc>
              <w:tc>
                <w:tcPr/>
                <w:p>
                  <w:pPr>
                    <w:pStyle w:val="Compact"/>
                    <w:jc w:val="right"/>
                    <w:jc w:val="center"/>
                  </w:pPr>
                  <w:r>
                    <w:t xml:space="preserve">1.08</w:t>
                  </w:r>
                </w:p>
              </w:tc>
              <w:tc>
                <w:tcPr/>
                <w:p>
                  <w:pPr>
                    <w:pStyle w:val="Compact"/>
                    <w:jc w:val="right"/>
                    <w:jc w:val="center"/>
                  </w:pPr>
                  <w:r>
                    <w:t xml:space="preserve">100.81</w:t>
                  </w:r>
                </w:p>
              </w:tc>
              <w:tc>
                <w:tcPr/>
                <w:p>
                  <w:pPr>
                    <w:pStyle w:val="Compact"/>
                    <w:jc w:val="right"/>
                    <w:jc w:val="center"/>
                  </w:pPr>
                  <w:r>
                    <w:t xml:space="preserve">85.99</w:t>
                  </w:r>
                </w:p>
              </w:tc>
              <w:tc>
                <w:tcPr/>
                <w:p>
                  <w:pPr>
                    <w:pStyle w:val="Compact"/>
                    <w:jc w:val="right"/>
                    <w:jc w:val="center"/>
                  </w:pPr>
                  <w:r>
                    <w:t xml:space="preserve">-14.82</w:t>
                  </w:r>
                </w:p>
              </w:tc>
            </w:tr>
            <w:tr>
              <w:tc>
                <w:tcPr/>
                <w:p>
                  <w:pPr>
                    <w:pStyle w:val="Compact"/>
                    <w:jc w:val="right"/>
                    <w:jc w:val="center"/>
                  </w:pPr>
                  <w:r>
                    <w:t xml:space="preserve">22</w:t>
                  </w:r>
                </w:p>
              </w:tc>
              <w:tc>
                <w:tcPr/>
                <w:p>
                  <w:pPr>
                    <w:pStyle w:val="Compact"/>
                    <w:jc w:val="left"/>
                    <w:jc w:val="center"/>
                  </w:pPr>
                  <w:r>
                    <w:t xml:space="preserve">sLASER</w:t>
                  </w:r>
                </w:p>
              </w:tc>
              <w:tc>
                <w:tcPr/>
                <w:p>
                  <w:pPr>
                    <w:pStyle w:val="Compact"/>
                    <w:jc w:val="right"/>
                    <w:jc w:val="center"/>
                  </w:pPr>
                  <w:r>
                    <w:t xml:space="preserve">9.51</w:t>
                  </w:r>
                </w:p>
              </w:tc>
              <w:tc>
                <w:tcPr/>
                <w:p>
                  <w:pPr>
                    <w:pStyle w:val="Compact"/>
                    <w:jc w:val="right"/>
                    <w:jc w:val="center"/>
                  </w:pPr>
                  <w:r>
                    <w:t xml:space="preserve">9.86</w:t>
                  </w:r>
                </w:p>
              </w:tc>
              <w:tc>
                <w:tcPr/>
                <w:p>
                  <w:pPr>
                    <w:pStyle w:val="Compact"/>
                    <w:jc w:val="right"/>
                    <w:jc w:val="center"/>
                  </w:pPr>
                  <w:r>
                    <w:t xml:space="preserve">0.35</w:t>
                  </w:r>
                </w:p>
              </w:tc>
              <w:tc>
                <w:tcPr/>
                <w:p>
                  <w:pPr>
                    <w:pStyle w:val="Compact"/>
                    <w:jc w:val="right"/>
                    <w:jc w:val="center"/>
                  </w:pPr>
                  <w:r>
                    <w:t xml:space="preserve">121.74</w:t>
                  </w:r>
                </w:p>
              </w:tc>
              <w:tc>
                <w:tcPr/>
                <w:p>
                  <w:pPr>
                    <w:pStyle w:val="Compact"/>
                    <w:jc w:val="right"/>
                    <w:jc w:val="center"/>
                  </w:pPr>
                  <w:r>
                    <w:t xml:space="preserve">96.63</w:t>
                  </w:r>
                </w:p>
              </w:tc>
              <w:tc>
                <w:tcPr/>
                <w:p>
                  <w:pPr>
                    <w:pStyle w:val="Compact"/>
                    <w:jc w:val="right"/>
                    <w:jc w:val="center"/>
                  </w:pPr>
                  <w:r>
                    <w:t xml:space="preserve">-25.11</w:t>
                  </w:r>
                </w:p>
              </w:tc>
            </w:tr>
            <w:tr>
              <w:tc>
                <w:tcPr/>
                <w:p>
                  <w:pPr>
                    <w:pStyle w:val="Compact"/>
                    <w:jc w:val="right"/>
                    <w:jc w:val="center"/>
                  </w:pPr>
                  <w:r>
                    <w:t xml:space="preserve">22</w:t>
                  </w:r>
                </w:p>
              </w:tc>
              <w:tc>
                <w:tcPr/>
                <w:p>
                  <w:pPr>
                    <w:pStyle w:val="Compact"/>
                    <w:jc w:val="left"/>
                    <w:jc w:val="center"/>
                  </w:pPr>
                  <w:r>
                    <w:t xml:space="preserve">MEGA</w:t>
                  </w:r>
                </w:p>
              </w:tc>
              <w:tc>
                <w:tcPr/>
                <w:p>
                  <w:pPr>
                    <w:pStyle w:val="Compact"/>
                    <w:jc w:val="right"/>
                    <w:jc w:val="center"/>
                  </w:pPr>
                  <w:r>
                    <w:t xml:space="preserve">9.20</w:t>
                  </w:r>
                </w:p>
              </w:tc>
              <w:tc>
                <w:tcPr/>
                <w:p>
                  <w:pPr>
                    <w:pStyle w:val="Compact"/>
                    <w:jc w:val="right"/>
                    <w:jc w:val="center"/>
                  </w:pPr>
                  <w:r>
                    <w:t xml:space="preserve">9.43</w:t>
                  </w:r>
                </w:p>
              </w:tc>
              <w:tc>
                <w:tcPr/>
                <w:p>
                  <w:pPr>
                    <w:pStyle w:val="Compact"/>
                    <w:jc w:val="right"/>
                    <w:jc w:val="center"/>
                  </w:pPr>
                  <w:r>
                    <w:t xml:space="preserve">0.24</w:t>
                  </w:r>
                </w:p>
              </w:tc>
              <w:tc>
                <w:tcPr/>
                <w:p>
                  <w:pPr>
                    <w:pStyle w:val="Compact"/>
                    <w:jc w:val="right"/>
                    <w:jc w:val="center"/>
                  </w:pPr>
                  <w:r>
                    <w:t xml:space="preserve">60.44</w:t>
                  </w:r>
                </w:p>
              </w:tc>
              <w:tc>
                <w:tcPr/>
                <w:p>
                  <w:pPr>
                    <w:pStyle w:val="Compact"/>
                    <w:jc w:val="right"/>
                    <w:jc w:val="center"/>
                  </w:pPr>
                  <w:r>
                    <w:t xml:space="preserve">60.70</w:t>
                  </w:r>
                </w:p>
              </w:tc>
              <w:tc>
                <w:tcPr/>
                <w:p>
                  <w:pPr>
                    <w:pStyle w:val="Compact"/>
                    <w:jc w:val="right"/>
                    <w:jc w:val="center"/>
                  </w:pPr>
                  <w:r>
                    <w:t xml:space="preserve">0.26</w:t>
                  </w:r>
                </w:p>
              </w:tc>
            </w:tr>
            <w:tr>
              <w:tc>
                <w:tcPr/>
                <w:p>
                  <w:pPr>
                    <w:pStyle w:val="Compact"/>
                    <w:jc w:val="right"/>
                    <w:jc w:val="center"/>
                  </w:pPr>
                  <w:r>
                    <w:t xml:space="preserve">24</w:t>
                  </w:r>
                </w:p>
              </w:tc>
              <w:tc>
                <w:tcPr/>
                <w:p>
                  <w:pPr>
                    <w:pStyle w:val="Compact"/>
                    <w:jc w:val="left"/>
                    <w:jc w:val="center"/>
                  </w:pPr>
                  <w:r>
                    <w:t xml:space="preserve">sLASER</w:t>
                  </w:r>
                </w:p>
              </w:tc>
              <w:tc>
                <w:tcPr/>
                <w:p>
                  <w:pPr>
                    <w:pStyle w:val="Compact"/>
                    <w:jc w:val="right"/>
                    <w:jc w:val="center"/>
                  </w:pPr>
                  <w:r>
                    <w:t xml:space="preserve">7.18</w:t>
                  </w:r>
                </w:p>
              </w:tc>
              <w:tc>
                <w:tcPr/>
                <w:p>
                  <w:pPr>
                    <w:pStyle w:val="Compact"/>
                    <w:jc w:val="right"/>
                    <w:jc w:val="center"/>
                  </w:pPr>
                  <w:r>
                    <w:t xml:space="preserve">6.67</w:t>
                  </w:r>
                </w:p>
              </w:tc>
              <w:tc>
                <w:tcPr/>
                <w:p>
                  <w:pPr>
                    <w:pStyle w:val="Compact"/>
                    <w:jc w:val="right"/>
                    <w:jc w:val="center"/>
                  </w:pPr>
                  <w:r>
                    <w:t xml:space="preserve">-0.50</w:t>
                  </w:r>
                </w:p>
              </w:tc>
              <w:tc>
                <w:tcPr/>
                <w:p>
                  <w:pPr>
                    <w:pStyle w:val="Compact"/>
                    <w:jc w:val="right"/>
                    <w:jc w:val="center"/>
                  </w:pPr>
                  <w:r>
                    <w:t xml:space="preserve">138.38</w:t>
                  </w:r>
                </w:p>
              </w:tc>
              <w:tc>
                <w:tcPr/>
                <w:p>
                  <w:pPr>
                    <w:pStyle w:val="Compact"/>
                    <w:jc w:val="right"/>
                    <w:jc w:val="center"/>
                  </w:pPr>
                  <w:r>
                    <w:t xml:space="preserve">121.95</w:t>
                  </w:r>
                </w:p>
              </w:tc>
              <w:tc>
                <w:tcPr/>
                <w:p>
                  <w:pPr>
                    <w:pStyle w:val="Compact"/>
                    <w:jc w:val="right"/>
                    <w:jc w:val="center"/>
                  </w:pPr>
                  <w:r>
                    <w:t xml:space="preserve">-16.43</w:t>
                  </w:r>
                </w:p>
              </w:tc>
            </w:tr>
            <w:tr>
              <w:tc>
                <w:tcPr/>
                <w:p>
                  <w:pPr>
                    <w:pStyle w:val="Compact"/>
                    <w:jc w:val="right"/>
                    <w:jc w:val="center"/>
                  </w:pPr>
                  <w:r>
                    <w:t xml:space="preserve">24</w:t>
                  </w:r>
                </w:p>
              </w:tc>
              <w:tc>
                <w:tcPr/>
                <w:p>
                  <w:pPr>
                    <w:pStyle w:val="Compact"/>
                    <w:jc w:val="left"/>
                    <w:jc w:val="center"/>
                  </w:pPr>
                  <w:r>
                    <w:t xml:space="preserve">MEGA</w:t>
                  </w:r>
                </w:p>
              </w:tc>
              <w:tc>
                <w:tcPr/>
                <w:p>
                  <w:pPr>
                    <w:pStyle w:val="Compact"/>
                    <w:jc w:val="right"/>
                    <w:jc w:val="center"/>
                  </w:pPr>
                  <w:r>
                    <w:t xml:space="preserve">6.73</w:t>
                  </w:r>
                </w:p>
              </w:tc>
              <w:tc>
                <w:tcPr/>
                <w:p>
                  <w:pPr>
                    <w:pStyle w:val="Compact"/>
                    <w:jc w:val="right"/>
                    <w:jc w:val="center"/>
                  </w:pPr>
                  <w:r>
                    <w:t xml:space="preserve">6.44</w:t>
                  </w:r>
                </w:p>
              </w:tc>
              <w:tc>
                <w:tcPr/>
                <w:p>
                  <w:pPr>
                    <w:pStyle w:val="Compact"/>
                    <w:jc w:val="right"/>
                    <w:jc w:val="center"/>
                  </w:pPr>
                  <w:r>
                    <w:t xml:space="preserve">-0.29</w:t>
                  </w:r>
                </w:p>
              </w:tc>
              <w:tc>
                <w:tcPr/>
                <w:p>
                  <w:pPr>
                    <w:pStyle w:val="Compact"/>
                    <w:jc w:val="right"/>
                    <w:jc w:val="center"/>
                  </w:pPr>
                  <w:r>
                    <w:t xml:space="preserve">85.78</w:t>
                  </w:r>
                </w:p>
              </w:tc>
              <w:tc>
                <w:tcPr/>
                <w:p>
                  <w:pPr>
                    <w:pStyle w:val="Compact"/>
                    <w:jc w:val="right"/>
                    <w:jc w:val="center"/>
                  </w:pPr>
                  <w:r>
                    <w:t xml:space="preserve">83.25</w:t>
                  </w:r>
                </w:p>
              </w:tc>
              <w:tc>
                <w:tcPr/>
                <w:p>
                  <w:pPr>
                    <w:pStyle w:val="Compact"/>
                    <w:jc w:val="right"/>
                    <w:jc w:val="center"/>
                  </w:pPr>
                  <w:r>
                    <w:t xml:space="preserve">-2.53</w:t>
                  </w:r>
                </w:p>
              </w:tc>
            </w:tr>
            <w:tr>
              <w:tc>
                <w:tcPr/>
                <w:p>
                  <w:pPr>
                    <w:pStyle w:val="Compact"/>
                    <w:jc w:val="right"/>
                    <w:jc w:val="center"/>
                  </w:pPr>
                  <w:r>
                    <w:t xml:space="preserve">26</w:t>
                  </w:r>
                </w:p>
              </w:tc>
              <w:tc>
                <w:tcPr/>
                <w:p>
                  <w:pPr>
                    <w:pStyle w:val="Compact"/>
                    <w:jc w:val="left"/>
                    <w:jc w:val="center"/>
                  </w:pPr>
                  <w:r>
                    <w:t xml:space="preserve">sLASER</w:t>
                  </w:r>
                </w:p>
              </w:tc>
              <w:tc>
                <w:tcPr/>
                <w:p>
                  <w:pPr>
                    <w:pStyle w:val="Compact"/>
                    <w:jc w:val="right"/>
                    <w:jc w:val="center"/>
                  </w:pPr>
                  <w:r>
                    <w:t xml:space="preserve">8.12</w:t>
                  </w:r>
                </w:p>
              </w:tc>
              <w:tc>
                <w:tcPr/>
                <w:p>
                  <w:pPr>
                    <w:pStyle w:val="Compact"/>
                    <w:jc w:val="right"/>
                    <w:jc w:val="center"/>
                  </w:pPr>
                  <w:r>
                    <w:t xml:space="preserve">8.42</w:t>
                  </w:r>
                </w:p>
              </w:tc>
              <w:tc>
                <w:tcPr/>
                <w:p>
                  <w:pPr>
                    <w:pStyle w:val="Compact"/>
                    <w:jc w:val="right"/>
                    <w:jc w:val="center"/>
                  </w:pPr>
                  <w:r>
                    <w:t xml:space="preserve">0.31</w:t>
                  </w:r>
                </w:p>
              </w:tc>
              <w:tc>
                <w:tcPr/>
                <w:p>
                  <w:pPr>
                    <w:pStyle w:val="Compact"/>
                    <w:jc w:val="right"/>
                    <w:jc w:val="center"/>
                  </w:pPr>
                  <w:r>
                    <w:t xml:space="preserve">140.13</w:t>
                  </w:r>
                </w:p>
              </w:tc>
              <w:tc>
                <w:tcPr/>
                <w:p>
                  <w:pPr>
                    <w:pStyle w:val="Compact"/>
                    <w:jc w:val="right"/>
                    <w:jc w:val="center"/>
                  </w:pPr>
                  <w:r>
                    <w:t xml:space="preserve">148.61</w:t>
                  </w:r>
                </w:p>
              </w:tc>
              <w:tc>
                <w:tcPr/>
                <w:p>
                  <w:pPr>
                    <w:pStyle w:val="Compact"/>
                    <w:jc w:val="right"/>
                    <w:jc w:val="center"/>
                  </w:pPr>
                  <w:r>
                    <w:t xml:space="preserve">8.48</w:t>
                  </w:r>
                </w:p>
              </w:tc>
            </w:tr>
            <w:tr>
              <w:tc>
                <w:tcPr/>
                <w:p>
                  <w:pPr>
                    <w:pStyle w:val="Compact"/>
                    <w:jc w:val="right"/>
                    <w:jc w:val="center"/>
                  </w:pPr>
                  <w:r>
                    <w:t xml:space="preserve">26</w:t>
                  </w:r>
                </w:p>
              </w:tc>
              <w:tc>
                <w:tcPr/>
                <w:p>
                  <w:pPr>
                    <w:pStyle w:val="Compact"/>
                    <w:jc w:val="left"/>
                    <w:jc w:val="center"/>
                  </w:pPr>
                  <w:r>
                    <w:t xml:space="preserve">MEGA</w:t>
                  </w:r>
                </w:p>
              </w:tc>
              <w:tc>
                <w:tcPr/>
                <w:p>
                  <w:pPr>
                    <w:pStyle w:val="Compact"/>
                    <w:jc w:val="right"/>
                    <w:jc w:val="center"/>
                  </w:pPr>
                  <w:r>
                    <w:t xml:space="preserve">8.76</w:t>
                  </w:r>
                </w:p>
              </w:tc>
              <w:tc>
                <w:tcPr/>
                <w:p>
                  <w:pPr>
                    <w:pStyle w:val="Compact"/>
                    <w:jc w:val="right"/>
                    <w:jc w:val="center"/>
                  </w:pPr>
                  <w:r>
                    <w:t xml:space="preserve">9.03</w:t>
                  </w:r>
                </w:p>
              </w:tc>
              <w:tc>
                <w:tcPr/>
                <w:p>
                  <w:pPr>
                    <w:pStyle w:val="Compact"/>
                    <w:jc w:val="right"/>
                    <w:jc w:val="center"/>
                  </w:pPr>
                  <w:r>
                    <w:t xml:space="preserve">0.27</w:t>
                  </w:r>
                </w:p>
              </w:tc>
              <w:tc>
                <w:tcPr/>
                <w:p>
                  <w:pPr>
                    <w:pStyle w:val="Compact"/>
                    <w:jc w:val="right"/>
                    <w:jc w:val="center"/>
                  </w:pPr>
                  <w:r>
                    <w:t xml:space="preserve">93.80</w:t>
                  </w:r>
                </w:p>
              </w:tc>
              <w:tc>
                <w:tcPr/>
                <w:p>
                  <w:pPr>
                    <w:pStyle w:val="Compact"/>
                    <w:jc w:val="right"/>
                    <w:jc w:val="center"/>
                  </w:pPr>
                  <w:r>
                    <w:t xml:space="preserve">88.04</w:t>
                  </w:r>
                </w:p>
              </w:tc>
              <w:tc>
                <w:tcPr/>
                <w:p>
                  <w:pPr>
                    <w:pStyle w:val="Compact"/>
                    <w:jc w:val="right"/>
                    <w:jc w:val="center"/>
                  </w:pPr>
                  <w:r>
                    <w:t xml:space="preserve">-5.76</w:t>
                  </w:r>
                </w:p>
              </w:tc>
            </w:tr>
          </w:tbl>
          <w:p>
            <w:pPr>
              <w:jc w:val="center"/>
            </w:pPr>
            <w:pPr>
              <w:jc w:val="start"/>
              <w:spacing w:before="200"/>
              <w:pStyle w:val="ImageCaption"/>
            </w:pPr>
            <w:r>
              <w:t xml:space="preserve">Table S9</w:t>
            </w:r>
            <w:r>
              <w:rPr>
                <w:b/>
                <w:bCs/>
              </w:rPr>
              <w:t xml:space="preserve">.</w:t>
            </w:r>
            <w:r>
              <w:t xml:space="preserve"> </w:t>
            </w:r>
            <w:r>
              <w:t xml:space="preserve">Subject-level FWHM and CR-SNR values for each sequence (Rest, Movie, and Movie–Rest difference). Sub = Subject; Seq = Sequence; R = Rest; M = Movie; Diff = Difference.</w:t>
            </w:r>
          </w:p>
          <w:bookmarkEnd w:id="398"/>
        </w:tc>
      </w:tr>
    </w:tbl>
    <w:p>
      <w:pPr>
        <w:pStyle w:val="TextBody"/>
      </w:pPr>
      <w:r>
        <w:t xml:space="preserve">Plots of individual water FWHM changes between rest and movie-watching conditions for both MEGA-PRESS and sLASER are shown in</w:t>
      </w:r>
      <w:r>
        <w:t xml:space="preserve"> </w:t>
      </w:r>
      <w:hyperlink w:anchor="suppfig-fwhmdriftplot">
        <w:r>
          <w:rPr>
            <w:rStyle w:val="InternetLink"/>
          </w:rPr>
          <w:t xml:space="preserve">Figure S3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2" w:name="suppfig-fwhmdriftplot"/>
          <w:p>
            <w:pPr>
              <w:jc w:val="center"/>
            </w:pPr>
            <w:r>
              <w:drawing>
                <wp:inline>
                  <wp:extent cx="4620126" cy="4620126"/>
                  <wp:effectExtent b="0" l="0" r="0" t="0"/>
                  <wp:docPr descr="" title="" id="400" name="Picture"/>
                  <a:graphic>
                    <a:graphicData uri="http://schemas.openxmlformats.org/drawingml/2006/picture">
                      <pic:pic>
                        <pic:nvPicPr>
                          <pic:cNvPr descr="index_files/figure-docx/unnamed-chunk-19-1.png" id="401" name="Picture"/>
                          <pic:cNvPicPr>
                            <a:picLocks noChangeArrowheads="1" noChangeAspect="1"/>
                          </pic:cNvPicPr>
                        </pic:nvPicPr>
                        <pic:blipFill>
                          <a:blip r:embed="rId399"/>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w:t>
            </w:r>
            <w:r>
              <w:rPr>
                <w:b/>
                <w:bCs/>
              </w:rPr>
              <w:t xml:space="preserve">.</w:t>
            </w:r>
            <w:r>
              <w:t xml:space="preserve"> </w:t>
            </w:r>
            <w:r>
              <w:t xml:space="preserve">Plots of individual water full-width half-maximum changes between rest and movie-watching conditions for both MEGA-PRESS and sLASER</w:t>
            </w:r>
          </w:p>
          <w:bookmarkEnd w:id="402"/>
        </w:tc>
      </w:tr>
    </w:tbl>
    <w:p>
      <w:pPr>
        <w:pStyle w:val="TextBody"/>
      </w:pPr>
      <w:r>
        <w:t xml:space="preserve">Frequency shift between rest and movie are shown in</w:t>
      </w:r>
      <w:r>
        <w:t xml:space="preserve"> </w:t>
      </w:r>
      <w:hyperlink w:anchor="suppfig-frequencyshift">
        <w:r>
          <w:rPr>
            <w:rStyle w:val="InternetLink"/>
          </w:rPr>
          <w:t xml:space="preserve">Figure S4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6" w:name="suppfig-frequencyshift"/>
          <w:p>
            <w:pPr>
              <w:jc w:val="center"/>
            </w:pPr>
            <w:r>
              <w:drawing>
                <wp:inline>
                  <wp:extent cx="4620126" cy="6468176"/>
                  <wp:effectExtent b="0" l="0" r="0" t="0"/>
                  <wp:docPr descr="" title="" id="404" name="Picture"/>
                  <a:graphic>
                    <a:graphicData uri="http://schemas.openxmlformats.org/drawingml/2006/picture">
                      <pic:pic>
                        <pic:nvPicPr>
                          <pic:cNvPr descr="index_files/figure-docx/unnamed-chunk-20-1.png" id="405" name="Picture"/>
                          <pic:cNvPicPr>
                            <a:picLocks noChangeArrowheads="1" noChangeAspect="1"/>
                          </pic:cNvPicPr>
                        </pic:nvPicPr>
                        <pic:blipFill>
                          <a:blip r:embed="rId403"/>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S4</w:t>
            </w:r>
            <w:r>
              <w:rPr>
                <w:b/>
                <w:bCs/>
              </w:rPr>
              <w:t xml:space="preserve">.</w:t>
            </w:r>
            <w:r>
              <w:t xml:space="preserve"> </w:t>
            </w:r>
            <w:r>
              <w:rPr>
                <w:b/>
                <w:bCs/>
              </w:rPr>
              <w:t xml:space="preserve">Frequency shift between rest and movie.</w:t>
            </w:r>
            <w:r>
              <w:t xml:space="preserve"> </w:t>
            </w:r>
            <w:r>
              <w:t xml:space="preserve">Overlay of all participants’ frequency drift (ppm) plots during rest (blue) and movie (red) for A) semi-LASER and B) MEGA-PRESS. Note, the GE semi-LASER sequence averaged all transients (128) into groups of 4, each with 32 transients, before being saved as raw P-file.</w:t>
            </w:r>
          </w:p>
          <w:bookmarkEnd w:id="406"/>
        </w:tc>
      </w:tr>
    </w:tbl>
    <w:bookmarkEnd w:id="407"/>
    <w:bookmarkStart w:id="426" w:name="gannet-results"/>
    <w:p>
      <w:pPr>
        <w:pStyle w:val="Heading2"/>
      </w:pPr>
      <w:r>
        <w:t xml:space="preserve">Gannet Results</w:t>
      </w:r>
    </w:p>
    <w:p>
      <w:pPr>
        <w:pStyle w:val="FirstParagraph"/>
      </w:pPr>
      <w:r>
        <w:t xml:space="preserve">An example fit result from Gannet of a subject at rest is shown in</w:t>
      </w:r>
      <w:r>
        <w:t xml:space="preserve"> </w:t>
      </w:r>
      <w:hyperlink w:anchor="suppfig-gannet">
        <w:r>
          <w:rPr>
            <w:rStyle w:val="InternetLink"/>
          </w:rPr>
          <w:t xml:space="preserve">Figure S5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1" w:name="suppfig-gannet"/>
          <w:p>
            <w:pPr>
              <w:pStyle w:val="Compact"/>
              <w:jc w:val="center"/>
            </w:pPr>
            <w:r>
              <w:drawing>
                <wp:inline>
                  <wp:extent cx="5943600" cy="4592781"/>
                  <wp:effectExtent b="0" l="0" r="0" t="0"/>
                  <wp:docPr descr="" title="" id="409" name="Picture"/>
                  <a:graphic>
                    <a:graphicData uri="http://schemas.openxmlformats.org/drawingml/2006/picture">
                      <pic:pic>
                        <pic:nvPicPr>
                          <pic:cNvPr descr="./Data/megapress/sub-Pilot01/rest_gannet/GannetFit_output/P38912_vox1_fit.png" id="410" name="Picture"/>
                          <pic:cNvPicPr>
                            <a:picLocks noChangeArrowheads="1" noChangeAspect="1"/>
                          </pic:cNvPicPr>
                        </pic:nvPicPr>
                        <pic:blipFill>
                          <a:blip r:embed="rId408"/>
                          <a:stretch>
                            <a:fillRect/>
                          </a:stretch>
                        </pic:blipFill>
                        <pic:spPr bwMode="auto">
                          <a:xfrm>
                            <a:off x="0" y="0"/>
                            <a:ext cx="5943600" cy="45927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S5</w:t>
            </w:r>
            <w:r>
              <w:rPr>
                <w:b/>
                <w:bCs/>
              </w:rPr>
              <w:t xml:space="preserve">.</w:t>
            </w:r>
            <w:r>
              <w:t xml:space="preserve"> </w:t>
            </w:r>
            <w:r>
              <w:rPr>
                <w:b/>
                <w:bCs/>
              </w:rPr>
              <w:t xml:space="preserve">Gannet Fit.</w:t>
            </w:r>
            <w:r>
              <w:t xml:space="preserve"> </w:t>
            </w:r>
            <w:r>
              <w:t xml:space="preserve">Sample Gannet fit result from a subject a rest. Glx (3.75ppm) and GABA (3) data (blue) and model fit (red) are shown top left. Water and creatine reference signals are shown bottom left. Table on right shows GABA+ and Glx values before tissue-correction.</w:t>
            </w:r>
          </w:p>
          <w:bookmarkEnd w:id="411"/>
        </w:tc>
      </w:tr>
    </w:tbl>
    <w:p>
      <w:pPr>
        <w:pStyle w:val="TextBody"/>
      </w:pPr>
      <w:r>
        <w:t xml:space="preserve">To examine the relationship between H and E:I, we ran a linear mixed-effects model.</w:t>
      </w:r>
      <w:r>
        <w:t xml:space="preserve"> </w:t>
      </w:r>
      <w:r>
        <w:t xml:space="preserve">The model’s total explanatory power was substantial (conditional r</w:t>
      </w:r>
      <w:r>
        <w:rPr>
          <w:vertAlign w:val="superscript"/>
        </w:rPr>
        <w:t xml:space="preserve">2</w:t>
      </w:r>
      <w:r>
        <w:t xml:space="preserve"> </w:t>
      </w:r>
      <w:r>
        <w:t xml:space="preserve">= 0.64), with fixed effects (marginal r</w:t>
      </w:r>
      <w:r>
        <w:rPr>
          <w:vertAlign w:val="superscript"/>
        </w:rPr>
        <w:t xml:space="preserve">2</w:t>
      </w:r>
      <w:r>
        <w:t xml:space="preserve">) equal to 0.23. The model’s intercept, corresponding to EI = 0, Condition = Movie, FWHM</w:t>
      </w:r>
      <w:r>
        <w:rPr>
          <w:vertAlign w:val="subscript"/>
        </w:rPr>
        <w:t xml:space="preserve">MEGA-PRESS</w:t>
      </w:r>
      <w:r>
        <w:t xml:space="preserve"> </w:t>
      </w:r>
      <w:r>
        <w:t xml:space="preserve">= 0, FreqShift</w:t>
      </w:r>
      <w:r>
        <w:rPr>
          <w:vertAlign w:val="subscript"/>
        </w:rPr>
        <w:t xml:space="preserve">MEGA-PRESS</w:t>
      </w:r>
      <w:r>
        <w:t xml:space="preserve"> </w:t>
      </w:r>
      <w:r>
        <w:t xml:space="preserve">= 0, and meanFD = 0, was 1.2 (95%</w:t>
      </w:r>
      <w:r>
        <w:t xml:space="preserve"> </w:t>
      </w:r>
      <w:r>
        <w:t xml:space="preserve">CI [0.66, 1.7], t(26) = 4.64, p &lt; 0.01).</w:t>
      </w:r>
      <w:r>
        <w:t xml:space="preserve"> </w:t>
      </w:r>
      <w:r>
        <w:t xml:space="preserve">Within this model, only the effect of Condition [Rest] was statistically significant (beta = -0.08, 95% CI [-0.13, -0.03], t(26) = -3.32, p &lt; 0.01).</w:t>
      </w:r>
      <w:r>
        <w:t xml:space="preserve"> </w:t>
      </w:r>
      <w:r>
        <w:t xml:space="preserve">The effect of E:I was statistically non-significant (beta = -0.07, 95% CI [-0.21, 0.06], t(26) = -1.04, p = 0.31);</w:t>
      </w:r>
      <w:r>
        <w:t xml:space="preserve"> </w:t>
      </w:r>
      <w:r>
        <w:t xml:space="preserve">along with FWHM</w:t>
      </w:r>
      <w:r>
        <w:rPr>
          <w:vertAlign w:val="subscript"/>
        </w:rPr>
        <w:t xml:space="preserve">MEGA-PRESS</w:t>
      </w:r>
      <w:r>
        <w:t xml:space="preserve"> </w:t>
      </w:r>
      <w:r>
        <w:t xml:space="preserve">(beta = 0.03, 95% CI [-0.03, 0.08], t(26) = 0.96, p = 0.35);</w:t>
      </w:r>
      <w:r>
        <w:t xml:space="preserve"> </w:t>
      </w:r>
      <w:r>
        <w:t xml:space="preserve">FreqShift</w:t>
      </w:r>
      <w:r>
        <w:rPr>
          <w:vertAlign w:val="subscript"/>
        </w:rPr>
        <w:t xml:space="preserve">MEGA-PRESS</w:t>
      </w:r>
      <w:r>
        <w:t xml:space="preserve"> </w:t>
      </w:r>
      <w:r>
        <w:t xml:space="preserve">(beta = 0.01, 95% CI [-0.02, 0.05], t(26) = 0.63, p = 0.53);</w:t>
      </w:r>
      <w:r>
        <w:t xml:space="preserve"> </w:t>
      </w:r>
      <w:r>
        <w:t xml:space="preserve">and meanFD (beta = -0.76, 95% CI [-2.34, 0.82], t(26) = -0.95, p = 0.35).</w:t>
      </w:r>
    </w:p>
    <w:p>
      <w:pPr>
        <w:pStyle w:val="TextBody"/>
      </w:pPr>
      <w:r>
        <w:t xml:space="preserve">Mean ± sd of metabolites and E:I when analyzed using Gannet, during rest and movie, are reported in</w:t>
      </w:r>
      <w:r>
        <w:t xml:space="preserve"> </w:t>
      </w:r>
      <w:hyperlink w:anchor="supptbl-gannetresults">
        <w:r>
          <w:rPr>
            <w:rStyle w:val="InternetLink"/>
          </w:rPr>
          <w:t xml:space="preserve">Table S10</w:t>
        </w:r>
      </w:hyperlink>
      <w:r>
        <w:t xml:space="preserve">. Boxplots between rest and movie can be seen in</w:t>
      </w:r>
      <w:r>
        <w:t xml:space="preserve"> </w:t>
      </w:r>
      <w:hyperlink w:anchor="suppfig-gannetresults">
        <w:r>
          <w:rPr>
            <w:rStyle w:val="InternetLink"/>
          </w:rPr>
          <w:t xml:space="preserve">Figure S6</w:t>
        </w:r>
      </w:hyperlink>
      <w:r>
        <w:t xml:space="preserve">. Neither Glx nor GABA+ were different between movie and rest conditions. E:I ratio did not change between conditions either.</w:t>
      </w:r>
    </w:p>
    <w:tbl>
      <w:tblPr>
        <w:tblStyle w:val="Table"/>
        <w:tblW w:type="pct" w:w="5000"/>
        <w:tblLayout w:type="fixed"/>
        <w:tblLook w:firstRow="0" w:lastRow="0" w:firstColumn="0" w:lastColumn="0" w:noHBand="0" w:noVBand="0" w:val="0000"/>
      </w:tblPr>
      <w:tblGrid>
        <w:gridCol w:w="7920"/>
      </w:tblGrid>
      <w:tr>
        <w:tc>
          <w:tcPr/>
          <w:bookmarkStart w:id="412" w:name="supptbl-gannetresults"/>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jc w:val="center"/>
                  </w:pPr>
                  <w:r>
                    <w:t xml:space="preserve">Rest</w:t>
                  </w:r>
                </w:p>
              </w:tc>
              <w:tc>
                <w:tcPr/>
                <w:p>
                  <w:pPr>
                    <w:pStyle w:val="Compact"/>
                    <w:jc w:val="left"/>
                    <w:jc w:val="center"/>
                  </w:pPr>
                  <w:r>
                    <w:t xml:space="preserve">Movie</w:t>
                  </w:r>
                </w:p>
              </w:tc>
              <w:tc>
                <w:tcPr/>
                <w:p>
                  <w:pPr>
                    <w:pStyle w:val="Compact"/>
                    <w:jc w:val="left"/>
                    <w:jc w:val="center"/>
                  </w:pPr>
                  <w:r>
                    <w:t xml:space="preserve">p-value</w:t>
                  </w:r>
                </w:p>
              </w:tc>
            </w:tr>
            <w:tr>
              <w:tc>
                <w:tcPr/>
                <w:p>
                  <w:pPr>
                    <w:pStyle w:val="Compact"/>
                    <w:jc w:val="left"/>
                    <w:jc w:val="center"/>
                  </w:pPr>
                  <w:r>
                    <w:rPr>
                      <w:b/>
                      <w:bCs/>
                    </w:rPr>
                    <w:t xml:space="preserve">Glx</w:t>
                  </w:r>
                </w:p>
              </w:tc>
              <w:tc>
                <w:tcPr/>
                <w:p>
                  <w:pPr>
                    <w:pStyle w:val="Compact"/>
                    <w:jc w:val="left"/>
                    <w:jc w:val="center"/>
                  </w:pPr>
                  <w:r>
                    <w:t xml:space="preserve">10.84 ± 1.06</w:t>
                  </w:r>
                </w:p>
              </w:tc>
              <w:tc>
                <w:tcPr/>
                <w:p>
                  <w:pPr>
                    <w:pStyle w:val="Compact"/>
                    <w:jc w:val="left"/>
                    <w:jc w:val="center"/>
                  </w:pPr>
                  <w:r>
                    <w:t xml:space="preserve">10.72 ± 0.68</w:t>
                  </w:r>
                </w:p>
              </w:tc>
              <w:tc>
                <w:tcPr/>
                <w:p>
                  <w:pPr>
                    <w:pStyle w:val="Compact"/>
                    <w:jc w:val="left"/>
                    <w:jc w:val="center"/>
                  </w:pPr>
                  <w:r>
                    <w:t xml:space="preserve">0.43</w:t>
                  </w:r>
                </w:p>
              </w:tc>
            </w:tr>
            <w:tr>
              <w:tc>
                <w:tcPr/>
                <w:p>
                  <w:pPr>
                    <w:pStyle w:val="Compact"/>
                    <w:jc w:val="left"/>
                    <w:jc w:val="center"/>
                  </w:pPr>
                  <w:r>
                    <w:rPr>
                      <w:b/>
                      <w:bCs/>
                    </w:rPr>
                    <w:t xml:space="preserve">GABA+</w:t>
                  </w:r>
                </w:p>
              </w:tc>
              <w:tc>
                <w:tcPr/>
                <w:p>
                  <w:pPr>
                    <w:pStyle w:val="Compact"/>
                    <w:jc w:val="left"/>
                    <w:jc w:val="center"/>
                  </w:pPr>
                  <w:r>
                    <w:t xml:space="preserve">3.59 ± 0.38</w:t>
                  </w:r>
                </w:p>
              </w:tc>
              <w:tc>
                <w:tcPr/>
                <w:p>
                  <w:pPr>
                    <w:pStyle w:val="Compact"/>
                    <w:jc w:val="left"/>
                    <w:jc w:val="center"/>
                  </w:pPr>
                  <w:r>
                    <w:t xml:space="preserve">3.53 ± 0.36</w:t>
                  </w:r>
                </w:p>
              </w:tc>
              <w:tc>
                <w:tcPr/>
                <w:p>
                  <w:pPr>
                    <w:pStyle w:val="Compact"/>
                    <w:jc w:val="left"/>
                    <w:jc w:val="center"/>
                  </w:pPr>
                  <w:r>
                    <w:t xml:space="preserve">0.33</w:t>
                  </w:r>
                </w:p>
              </w:tc>
            </w:tr>
            <w:tr>
              <w:tc>
                <w:tcPr/>
                <w:p>
                  <w:pPr>
                    <w:pStyle w:val="Compact"/>
                    <w:jc w:val="left"/>
                    <w:jc w:val="center"/>
                  </w:pPr>
                  <w:r>
                    <w:rPr>
                      <w:b/>
                      <w:bCs/>
                    </w:rPr>
                    <w:t xml:space="preserve">E:I Ratio</w:t>
                  </w:r>
                </w:p>
              </w:tc>
              <w:tc>
                <w:tcPr/>
                <w:p>
                  <w:pPr>
                    <w:pStyle w:val="Compact"/>
                    <w:jc w:val="left"/>
                    <w:jc w:val="center"/>
                  </w:pPr>
                  <w:r>
                    <w:t xml:space="preserve">1.82 ± 0.25</w:t>
                  </w:r>
                </w:p>
              </w:tc>
              <w:tc>
                <w:tcPr/>
                <w:p>
                  <w:pPr>
                    <w:pStyle w:val="Compact"/>
                    <w:jc w:val="left"/>
                    <w:jc w:val="center"/>
                  </w:pPr>
                  <w:r>
                    <w:t xml:space="preserve">1.94 ± 0.25</w:t>
                  </w:r>
                </w:p>
              </w:tc>
              <w:tc>
                <w:tcPr/>
                <w:p>
                  <w:pPr>
                    <w:pStyle w:val="Compact"/>
                    <w:jc w:val="left"/>
                    <w:jc w:val="center"/>
                  </w:pPr>
                  <w:r>
                    <w:t xml:space="preserve">0.08</w:t>
                  </w:r>
                </w:p>
              </w:tc>
            </w:tr>
          </w:tbl>
          <w:p>
            <w:pPr>
              <w:jc w:val="center"/>
            </w:pPr>
            <w:pPr>
              <w:jc w:val="start"/>
              <w:spacing w:before="200"/>
              <w:pStyle w:val="ImageCaption"/>
            </w:pPr>
            <w:r>
              <w:t xml:space="preserve">Table S10</w:t>
            </w:r>
            <w:r>
              <w:rPr>
                <w:b/>
                <w:bCs/>
              </w:rPr>
              <w:t xml:space="preserve">.</w:t>
            </w:r>
            <w:r>
              <w:t xml:space="preserve"> </w:t>
            </w:r>
            <w:r>
              <w:rPr>
                <w:b/>
                <w:bCs/>
              </w:rPr>
              <w:t xml:space="preserve">Summary of main metabolite results using Gannet</w:t>
            </w:r>
          </w:p>
          <w:bookmarkEnd w:id="412"/>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416" w:name="suppfig-gannetresults"/>
          <w:p>
            <w:pPr>
              <w:jc w:val="center"/>
            </w:pPr>
            <w:r>
              <w:drawing>
                <wp:inline>
                  <wp:extent cx="5943600" cy="4754880"/>
                  <wp:effectExtent b="0" l="0" r="0" t="0"/>
                  <wp:docPr descr="" title="" id="414" name="Picture"/>
                  <a:graphic>
                    <a:graphicData uri="http://schemas.openxmlformats.org/drawingml/2006/picture">
                      <pic:pic>
                        <pic:nvPicPr>
                          <pic:cNvPr descr="index_files/figure-docx/unnamed-chunk-21-1.png" id="415" name="Picture"/>
                          <pic:cNvPicPr>
                            <a:picLocks noChangeArrowheads="1" noChangeAspect="1"/>
                          </pic:cNvPicPr>
                        </pic:nvPicPr>
                        <pic:blipFill>
                          <a:blip r:embed="rId41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S6</w:t>
            </w:r>
            <w:r>
              <w:rPr>
                <w:b/>
                <w:bCs/>
              </w:rPr>
              <w:t xml:space="preserve">.</w:t>
            </w:r>
            <w:r>
              <w:t xml:space="preserve"> </w:t>
            </w:r>
            <w:r>
              <w:rPr>
                <w:b/>
                <w:bCs/>
              </w:rPr>
              <w:t xml:space="preserve">Paired comparison of metabolite values analyzed using Gannet during rest (green) and movie (orange) conditions.</w:t>
            </w:r>
            <w:r>
              <w:t xml:space="preserve"> </w:t>
            </w:r>
            <w:r>
              <w:t xml:space="preserve">A) Glx (mM); B) GABA+ (mM); and C) E:I. Paired dots represent the same participant across conditions. Mean difference with 95% confidence intervals, and as Cohen’s D are reported at the top of each plot.”</w:t>
            </w:r>
          </w:p>
          <w:bookmarkEnd w:id="416"/>
        </w:tc>
      </w:tr>
    </w:tbl>
    <w:p>
      <w:pPr>
        <w:pStyle w:val="TextBody"/>
      </w:pPr>
      <w:r>
        <w:t xml:space="preserve">H was not found to correlate with Glx (Rest: r = 0, p = 0.99; Movie: r = -0.27, p = 0.28), GABA+ (Rest: r = 0.02, p = 0.93; Movie: r = 0.11, p = 0.67), or E:I (Rest: r = -0.04, p = 0.89; Movie: r = -0.32, p = 0.2) (</w:t>
      </w:r>
      <w:hyperlink w:anchor="suppfig-gannetcorrelations">
        <w:r>
          <w:rPr>
            <w:rStyle w:val="InternetLink"/>
          </w:rPr>
          <w:t xml:space="preserve">Figure S7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0" w:name="suppfig-gannetcorrelations"/>
          <w:p>
            <w:pPr>
              <w:jc w:val="center"/>
            </w:pPr>
            <w:r>
              <w:drawing>
                <wp:inline>
                  <wp:extent cx="5943600" cy="5094514"/>
                  <wp:effectExtent b="0" l="0" r="0" t="0"/>
                  <wp:docPr descr="" title="" id="418" name="Picture"/>
                  <a:graphic>
                    <a:graphicData uri="http://schemas.openxmlformats.org/drawingml/2006/picture">
                      <pic:pic>
                        <pic:nvPicPr>
                          <pic:cNvPr descr="index_files/figure-docx/unnamed-chunk-22-1.png" id="419" name="Picture"/>
                          <pic:cNvPicPr>
                            <a:picLocks noChangeArrowheads="1" noChangeAspect="1"/>
                          </pic:cNvPicPr>
                        </pic:nvPicPr>
                        <pic:blipFill>
                          <a:blip r:embed="rId417"/>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S7</w:t>
            </w:r>
            <w:r>
              <w:rPr>
                <w:b/>
                <w:bCs/>
              </w:rPr>
              <w:t xml:space="preserve">.</w:t>
            </w:r>
            <w:r>
              <w:t xml:space="preserve"> </w:t>
            </w:r>
            <w:r>
              <w:rPr>
                <w:b/>
                <w:bCs/>
              </w:rPr>
              <w:t xml:space="preserve">Scatter plots of H vs. metabolites when analyzed using Gannet.</w:t>
            </w:r>
            <w:r>
              <w:t xml:space="preserve"> </w:t>
            </w:r>
            <w:r>
              <w:t xml:space="preserve">A) Glx (mM); B) GABA+ (mM); and C) E:I. Rest is in green, while movie is in orange. P-values are reported at the top of each plot.</w:t>
            </w:r>
          </w:p>
          <w:bookmarkEnd w:id="420"/>
        </w:tc>
      </w:tr>
    </w:tbl>
    <w:p>
      <w:pPr>
        <w:pStyle w:val="TextBody"/>
      </w:pPr>
      <w:r>
        <w:t xml:space="preserve">Glx estimates were not strongly correlated between sLASER and MEGA-PRESS (Rest</w:t>
      </w:r>
      <w:r>
        <w:t xml:space="preserve"> </w:t>
      </w:r>
      <m:oMath>
        <m:r>
          <m:t>r</m:t>
        </m:r>
        <m:r>
          <m:rPr>
            <m:sty m:val="p"/>
          </m:rPr>
          <m:t>=</m:t>
        </m:r>
        <m:r>
          <m:t>0.06</m:t>
        </m:r>
      </m:oMath>
      <w:r>
        <w:t xml:space="preserve">, Movie</w:t>
      </w:r>
      <w:r>
        <w:t xml:space="preserve"> </w:t>
      </w:r>
      <m:oMath>
        <m:r>
          <m:t>r</m:t>
        </m:r>
        <m:r>
          <m:rPr>
            <m:sty m:val="p"/>
          </m:rPr>
          <m:t>=</m:t>
        </m:r>
        <m:r>
          <m:t>0.25</m:t>
        </m:r>
      </m:oMath>
      <w:r>
        <w:t xml:space="preserve">), while mean absolute differences remained under 1 institutional units.</w:t>
      </w:r>
      <w:r>
        <w:t xml:space="preserve"> </w:t>
      </w:r>
      <w:hyperlink w:anchor="supptbl-glxagreement">
        <w:r>
          <w:rPr>
            <w:rStyle w:val="InternetLink"/>
          </w:rPr>
          <w:t xml:space="preserve">Table S11</w:t>
        </w:r>
      </w:hyperlink>
      <w:r>
        <w:t xml:space="preserve"> </w:t>
      </w:r>
      <w:r>
        <w:t xml:space="preserve">reports the paired summary statistics, and</w:t>
      </w:r>
      <w:r>
        <w:t xml:space="preserve"> </w:t>
      </w:r>
      <w:hyperlink w:anchor="suppfig-glxagreementplot">
        <w:r>
          <w:rPr>
            <w:rStyle w:val="InternetLink"/>
          </w:rPr>
          <w:t xml:space="preserve">Figure S8</w:t>
        </w:r>
      </w:hyperlink>
      <w:r>
        <w:t xml:space="preserve"> </w:t>
      </w:r>
      <w:r>
        <w:t xml:space="preserve">visualises the subject-level agreement.</w:t>
      </w:r>
    </w:p>
    <w:p>
      <w:pPr>
        <w:pStyle w:val="TextBody"/>
      </w:pPr>
      <w:r>
        <w:t xml:space="preserve">This finding is consistent with several studies that have directly compared Glx measured from MEGA-PRESS</w:t>
      </w:r>
      <w:r>
        <w:t xml:space="preserve"> </w:t>
      </w:r>
      <w:r>
        <w:t xml:space="preserve">“</w:t>
      </w:r>
      <w:r>
        <w:t xml:space="preserve">OFF</w:t>
      </w:r>
      <w:r>
        <w:t xml:space="preserve">”</w:t>
      </w:r>
      <w:r>
        <w:t xml:space="preserve"> </w:t>
      </w:r>
      <w:r>
        <w:t xml:space="preserve">spectra, with</w:t>
      </w:r>
      <w:r>
        <w:t xml:space="preserve"> </w:t>
      </w:r>
      <w:r>
        <w:t xml:space="preserve">‘</w:t>
      </w:r>
      <w:r>
        <w:t xml:space="preserve">gold standard</w:t>
      </w:r>
      <w:r>
        <w:t xml:space="preserve">’</w:t>
      </w:r>
      <w:r>
        <w:t xml:space="preserve"> </w:t>
      </w:r>
      <w:r>
        <w:t xml:space="preserve">short-TE sequences (PRESS and sLASER), which have consistently reported poor agreement</w:t>
      </w:r>
      <w:r>
        <w:rPr>
          <w:vertAlign w:val="superscript"/>
        </w:rPr>
        <w:t xml:space="preserve">79,145,146</w:t>
      </w:r>
      <w:r>
        <w:t xml:space="preserve">. Reasons for this include the fact that MEGA-PRESS uses a longer TE time (68 ms compared to sLASER’s 35 ms)</w:t>
      </w:r>
      <w:r>
        <w:rPr>
          <w:vertAlign w:val="superscript"/>
        </w:rPr>
        <w:t xml:space="preserve">147</w:t>
      </w:r>
      <w:r>
        <w:t xml:space="preserve">; chemical shift displacement error differences between the two sequences</w:t>
      </w:r>
      <w:r>
        <w:rPr>
          <w:vertAlign w:val="superscript"/>
        </w:rPr>
        <w:t xml:space="preserve">148</w:t>
      </w:r>
      <w:r>
        <w:t xml:space="preserve">; and scanner drift due to MEGA-PRESS being acquired on average 6.43 ± 1.67 (Rest) and 5.89 ± 0.95 minutes (Movie) after sLASER.</w:t>
      </w:r>
    </w:p>
    <w:tbl>
      <w:tblPr>
        <w:tblStyle w:val="Table"/>
        <w:tblW w:type="pct" w:w="5000"/>
        <w:tblLayout w:type="fixed"/>
        <w:tblLook w:firstRow="0" w:lastRow="0" w:firstColumn="0" w:lastColumn="0" w:noHBand="0" w:noVBand="0" w:val="0000"/>
      </w:tblPr>
      <w:tblGrid>
        <w:gridCol w:w="7920"/>
      </w:tblGrid>
      <w:tr>
        <w:tc>
          <w:tcPr/>
          <w:bookmarkStart w:id="421" w:name="supptbl-glxagreement"/>
          <w:tbl>
            <w:tblPr>
              <w:tblStyle w:val="Table"/>
              <w:tblW w:type="pct" w:w="5000"/>
              <w:tblLayout w:type="fixed"/>
              <w:tblLook w:firstRow="1" w:lastRow="0" w:firstColumn="0" w:lastColumn="0" w:noHBand="0" w:noVBand="0" w:val="0020"/>
            </w:tblPr>
            <w:tblGrid>
              <w:gridCol w:w="625"/>
              <w:gridCol w:w="312"/>
              <w:gridCol w:w="1042"/>
              <w:gridCol w:w="833"/>
              <w:gridCol w:w="833"/>
              <w:gridCol w:w="833"/>
              <w:gridCol w:w="1042"/>
              <w:gridCol w:w="521"/>
              <w:gridCol w:w="521"/>
              <w:gridCol w:w="625"/>
              <w:gridCol w:w="729"/>
            </w:tblGrid>
            <w:tr>
              <w:trPr>
                <w:tblHeader w:val="on"/>
              </w:trPr>
              <w:tc>
                <w:tcPr/>
                <w:p>
                  <w:pPr>
                    <w:pStyle w:val="Compact"/>
                    <w:jc w:val="left"/>
                    <w:jc w:val="center"/>
                  </w:pPr>
                  <w:r>
                    <w:t xml:space="preserve">Cond</w:t>
                  </w:r>
                </w:p>
              </w:tc>
              <w:tc>
                <w:tcPr/>
                <w:p>
                  <w:pPr>
                    <w:pStyle w:val="Compact"/>
                    <w:jc w:val="right"/>
                    <w:jc w:val="center"/>
                  </w:pPr>
                  <w:r>
                    <w:t xml:space="preserve">n</w:t>
                  </w:r>
                </w:p>
              </w:tc>
              <w:tc>
                <w:tcPr/>
                <w:p>
                  <w:pPr>
                    <w:pStyle w:val="Compact"/>
                    <w:jc w:val="right"/>
                    <w:jc w:val="center"/>
                  </w:pPr>
                  <w:r>
                    <w:t xml:space="preserve">m. sLASER</w:t>
                  </w:r>
                </w:p>
              </w:tc>
              <w:tc>
                <w:tcPr/>
                <w:p>
                  <w:pPr>
                    <w:pStyle w:val="Compact"/>
                    <w:jc w:val="right"/>
                    <w:jc w:val="center"/>
                  </w:pPr>
                  <w:r>
                    <w:t xml:space="preserve">m. MEGA</w:t>
                  </w:r>
                </w:p>
              </w:tc>
              <w:tc>
                <w:tcPr/>
                <w:p>
                  <w:pPr>
                    <w:pStyle w:val="Compact"/>
                    <w:jc w:val="right"/>
                    <w:jc w:val="center"/>
                  </w:pPr>
                  <w:r>
                    <w:t xml:space="preserve">m. diff</w:t>
                  </w:r>
                </w:p>
              </w:tc>
              <w:tc>
                <w:tcPr/>
                <w:p>
                  <w:pPr>
                    <w:pStyle w:val="Compact"/>
                    <w:jc w:val="right"/>
                    <w:jc w:val="center"/>
                  </w:pPr>
                  <w:r>
                    <w:t xml:space="preserve">sd diff</w:t>
                  </w:r>
                </w:p>
              </w:tc>
              <w:tc>
                <w:tcPr/>
                <w:p>
                  <w:pPr>
                    <w:pStyle w:val="Compact"/>
                    <w:jc w:val="right"/>
                    <w:jc w:val="center"/>
                  </w:pPr>
                  <w:r>
                    <w:t xml:space="preserve">m.a. diff</w:t>
                  </w:r>
                </w:p>
              </w:tc>
              <w:tc>
                <w:tcPr/>
                <w:p>
                  <w:pPr>
                    <w:pStyle w:val="Compact"/>
                    <w:jc w:val="right"/>
                    <w:jc w:val="center"/>
                  </w:pPr>
                  <w:r>
                    <w:t xml:space="preserve">r</w:t>
                  </w:r>
                </w:p>
              </w:tc>
              <w:tc>
                <w:tcPr/>
                <w:p>
                  <w:pPr>
                    <w:pStyle w:val="Compact"/>
                    <w:jc w:val="right"/>
                    <w:jc w:val="center"/>
                  </w:pPr>
                  <w:r>
                    <w:t xml:space="preserve">p</w:t>
                  </w:r>
                </w:p>
              </w:tc>
              <w:tc>
                <w:tcPr/>
                <w:p>
                  <w:pPr>
                    <w:pStyle w:val="Compact"/>
                    <w:jc w:val="right"/>
                    <w:jc w:val="center"/>
                  </w:pPr>
                  <w:r>
                    <w:t xml:space="preserve">CIlow</w:t>
                  </w:r>
                </w:p>
              </w:tc>
              <w:tc>
                <w:tcPr/>
                <w:p>
                  <w:pPr>
                    <w:pStyle w:val="Compact"/>
                    <w:jc w:val="right"/>
                    <w:jc w:val="center"/>
                  </w:pPr>
                  <w:r>
                    <w:t xml:space="preserve">CIhigh</w:t>
                  </w:r>
                </w:p>
              </w:tc>
            </w:tr>
            <w:tr>
              <w:tc>
                <w:tcPr/>
                <w:p>
                  <w:pPr>
                    <w:pStyle w:val="Compact"/>
                    <w:jc w:val="left"/>
                    <w:jc w:val="center"/>
                  </w:pPr>
                  <w:r>
                    <w:t xml:space="preserve">Movie</w:t>
                  </w:r>
                </w:p>
              </w:tc>
              <w:tc>
                <w:tcPr/>
                <w:p>
                  <w:pPr>
                    <w:pStyle w:val="Compact"/>
                    <w:jc w:val="right"/>
                    <w:jc w:val="center"/>
                  </w:pPr>
                  <w:r>
                    <w:t xml:space="preserve">18</w:t>
                  </w:r>
                </w:p>
              </w:tc>
              <w:tc>
                <w:tcPr/>
                <w:p>
                  <w:pPr>
                    <w:pStyle w:val="Compact"/>
                    <w:jc w:val="right"/>
                    <w:jc w:val="center"/>
                  </w:pPr>
                  <w:r>
                    <w:t xml:space="preserve">10.04</w:t>
                  </w:r>
                </w:p>
              </w:tc>
              <w:tc>
                <w:tcPr/>
                <w:p>
                  <w:pPr>
                    <w:pStyle w:val="Compact"/>
                    <w:jc w:val="right"/>
                    <w:jc w:val="center"/>
                  </w:pPr>
                  <w:r>
                    <w:t xml:space="preserve">10.72</w:t>
                  </w:r>
                </w:p>
              </w:tc>
              <w:tc>
                <w:tcPr/>
                <w:p>
                  <w:pPr>
                    <w:pStyle w:val="Compact"/>
                    <w:jc w:val="right"/>
                    <w:jc w:val="center"/>
                  </w:pPr>
                  <w:r>
                    <w:t xml:space="preserve">-0.67</w:t>
                  </w:r>
                </w:p>
              </w:tc>
              <w:tc>
                <w:tcPr/>
                <w:p>
                  <w:pPr>
                    <w:pStyle w:val="Compact"/>
                    <w:jc w:val="right"/>
                    <w:jc w:val="center"/>
                  </w:pPr>
                  <w:r>
                    <w:t xml:space="preserve">0.90</w:t>
                  </w:r>
                </w:p>
              </w:tc>
              <w:tc>
                <w:tcPr/>
                <w:p>
                  <w:pPr>
                    <w:pStyle w:val="Compact"/>
                    <w:jc w:val="right"/>
                    <w:jc w:val="center"/>
                  </w:pPr>
                  <w:r>
                    <w:t xml:space="preserve">0.91</w:t>
                  </w:r>
                </w:p>
              </w:tc>
              <w:tc>
                <w:tcPr/>
                <w:p>
                  <w:pPr>
                    <w:pStyle w:val="Compact"/>
                    <w:jc w:val="right"/>
                    <w:jc w:val="center"/>
                  </w:pPr>
                  <w:r>
                    <w:t xml:space="preserve">0.25</w:t>
                  </w:r>
                </w:p>
              </w:tc>
              <w:tc>
                <w:tcPr/>
                <w:p>
                  <w:pPr>
                    <w:pStyle w:val="Compact"/>
                    <w:jc w:val="right"/>
                    <w:jc w:val="center"/>
                  </w:pPr>
                  <w:r>
                    <w:t xml:space="preserve">0.31</w:t>
                  </w:r>
                </w:p>
              </w:tc>
              <w:tc>
                <w:tcPr/>
                <w:p>
                  <w:pPr>
                    <w:pStyle w:val="Compact"/>
                    <w:jc w:val="right"/>
                    <w:jc w:val="center"/>
                  </w:pPr>
                  <w:r>
                    <w:t xml:space="preserve">-0.24</w:t>
                  </w:r>
                </w:p>
              </w:tc>
              <w:tc>
                <w:tcPr/>
                <w:p>
                  <w:pPr>
                    <w:pStyle w:val="Compact"/>
                    <w:jc w:val="right"/>
                    <w:jc w:val="center"/>
                  </w:pPr>
                  <w:r>
                    <w:t xml:space="preserve">0.64</w:t>
                  </w:r>
                </w:p>
              </w:tc>
            </w:tr>
            <w:tr>
              <w:tc>
                <w:tcPr/>
                <w:p>
                  <w:pPr>
                    <w:pStyle w:val="Compact"/>
                    <w:jc w:val="left"/>
                    <w:jc w:val="center"/>
                  </w:pPr>
                  <w:r>
                    <w:t xml:space="preserve">Rest</w:t>
                  </w:r>
                </w:p>
              </w:tc>
              <w:tc>
                <w:tcPr/>
                <w:p>
                  <w:pPr>
                    <w:pStyle w:val="Compact"/>
                    <w:jc w:val="right"/>
                    <w:jc w:val="center"/>
                  </w:pPr>
                  <w:r>
                    <w:t xml:space="preserve">18</w:t>
                  </w:r>
                </w:p>
              </w:tc>
              <w:tc>
                <w:tcPr/>
                <w:p>
                  <w:pPr>
                    <w:pStyle w:val="Compact"/>
                    <w:jc w:val="right"/>
                    <w:jc w:val="center"/>
                  </w:pPr>
                  <w:r>
                    <w:t xml:space="preserve">9.84</w:t>
                  </w:r>
                </w:p>
              </w:tc>
              <w:tc>
                <w:tcPr/>
                <w:p>
                  <w:pPr>
                    <w:pStyle w:val="Compact"/>
                    <w:jc w:val="right"/>
                    <w:jc w:val="center"/>
                  </w:pPr>
                  <w:r>
                    <w:t xml:space="preserve">10.84</w:t>
                  </w:r>
                </w:p>
              </w:tc>
              <w:tc>
                <w:tcPr/>
                <w:p>
                  <w:pPr>
                    <w:pStyle w:val="Compact"/>
                    <w:jc w:val="right"/>
                    <w:jc w:val="center"/>
                  </w:pPr>
                  <w:r>
                    <w:t xml:space="preserve">-1.00</w:t>
                  </w:r>
                </w:p>
              </w:tc>
              <w:tc>
                <w:tcPr/>
                <w:p>
                  <w:pPr>
                    <w:pStyle w:val="Compact"/>
                    <w:jc w:val="right"/>
                    <w:jc w:val="center"/>
                  </w:pPr>
                  <w:r>
                    <w:t xml:space="preserve">1.45</w:t>
                  </w:r>
                </w:p>
              </w:tc>
              <w:tc>
                <w:tcPr/>
                <w:p>
                  <w:pPr>
                    <w:pStyle w:val="Compact"/>
                    <w:jc w:val="right"/>
                    <w:jc w:val="center"/>
                  </w:pPr>
                  <w:r>
                    <w:t xml:space="preserve">1.28</w:t>
                  </w:r>
                </w:p>
              </w:tc>
              <w:tc>
                <w:tcPr/>
                <w:p>
                  <w:pPr>
                    <w:pStyle w:val="Compact"/>
                    <w:jc w:val="right"/>
                    <w:jc w:val="center"/>
                  </w:pPr>
                  <w:r>
                    <w:t xml:space="preserve">0.06</w:t>
                  </w:r>
                </w:p>
              </w:tc>
              <w:tc>
                <w:tcPr/>
                <w:p>
                  <w:pPr>
                    <w:pStyle w:val="Compact"/>
                    <w:jc w:val="right"/>
                    <w:jc w:val="center"/>
                  </w:pPr>
                  <w:r>
                    <w:t xml:space="preserve">0.80</w:t>
                  </w:r>
                </w:p>
              </w:tc>
              <w:tc>
                <w:tcPr/>
                <w:p>
                  <w:pPr>
                    <w:pStyle w:val="Compact"/>
                    <w:jc w:val="right"/>
                    <w:jc w:val="center"/>
                  </w:pPr>
                  <w:r>
                    <w:t xml:space="preserve">-0.42</w:t>
                  </w:r>
                </w:p>
              </w:tc>
              <w:tc>
                <w:tcPr/>
                <w:p>
                  <w:pPr>
                    <w:pStyle w:val="Compact"/>
                    <w:jc w:val="right"/>
                    <w:jc w:val="center"/>
                  </w:pPr>
                  <w:r>
                    <w:t xml:space="preserve">0.51</w:t>
                  </w:r>
                </w:p>
              </w:tc>
            </w:tr>
          </w:tbl>
          <w:p>
            <w:pPr>
              <w:jc w:val="center"/>
            </w:pPr>
            <w:pPr>
              <w:jc w:val="start"/>
              <w:spacing w:before="200"/>
              <w:pStyle w:val="ImageCaption"/>
            </w:pPr>
            <w:r>
              <w:t xml:space="preserve">Table S11</w:t>
            </w:r>
            <w:r>
              <w:rPr>
                <w:b/>
                <w:bCs/>
              </w:rPr>
              <w:t xml:space="preserve">.</w:t>
            </w:r>
            <w:r>
              <w:t xml:space="preserve"> </w:t>
            </w:r>
            <w:r>
              <w:t xml:space="preserve">Agreement between sLASER- and MEGA-PRESS-derived Glx within each condition. Cond = condition; n = number of subjects; m. = mean; m.a. = mean absolute; r = Pearson correlation; p = p-value; CIlow = lower confidence interval; CIhigh = higher confidence interval.</w:t>
            </w:r>
          </w:p>
          <w:bookmarkEnd w:id="421"/>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425" w:name="suppfig-glxagreementplot"/>
          <w:p>
            <w:pPr>
              <w:jc w:val="center"/>
            </w:pPr>
            <w:r>
              <w:drawing>
                <wp:inline>
                  <wp:extent cx="4620126" cy="3696101"/>
                  <wp:effectExtent b="0" l="0" r="0" t="0"/>
                  <wp:docPr descr="" title="" id="423" name="Picture"/>
                  <a:graphic>
                    <a:graphicData uri="http://schemas.openxmlformats.org/drawingml/2006/picture">
                      <pic:pic>
                        <pic:nvPicPr>
                          <pic:cNvPr descr="index_files/figure-docx/unnamed-chunk-24-1.png" id="424" name="Picture"/>
                          <pic:cNvPicPr>
                            <a:picLocks noChangeArrowheads="1" noChangeAspect="1"/>
                          </pic:cNvPicPr>
                        </pic:nvPicPr>
                        <pic:blipFill>
                          <a:blip r:embed="rId42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S8</w:t>
            </w:r>
            <w:r>
              <w:rPr>
                <w:b/>
                <w:bCs/>
              </w:rPr>
              <w:t xml:space="preserve">.</w:t>
            </w:r>
            <w:r>
              <w:t xml:space="preserve"> </w:t>
            </w:r>
            <w:r>
              <w:t xml:space="preserve">Glx from MEGA-PRESS plotted against Glx from sLASER, during both rest (green) and movie-watching (orange). Dashed line represents perfect agreement.</w:t>
            </w:r>
          </w:p>
          <w:bookmarkEnd w:id="425"/>
        </w:tc>
      </w:tr>
    </w:tbl>
    <w:bookmarkEnd w:id="426"/>
    <w:bookmarkEnd w:id="427"/>
    <w:sectPr>
      <w:footnotePr>
        <w:numFmt w:val="decimal"/>
      </w:footnotePr>
      <w:type w:val="nextPage"/>
      <w:pgSz w:h="15840" w:w="12240"/>
      <w:pgMar w:bottom="1440" w:footer="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TextBody"/>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themeShade="bf" w:val="000000"/>
      <w:sz w:val="40"/>
      <w:szCs w:val="40"/>
    </w:rPr>
  </w:style>
  <w:style w:styleId="Heading2" w:type="paragraph">
    <w:name w:val="Heading 2"/>
    <w:basedOn w:val="Normal"/>
    <w:next w:val="TextBody"/>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Shade="bf" w:val="000000"/>
      <w:sz w:val="32"/>
      <w:szCs w:val="32"/>
    </w:rPr>
  </w:style>
  <w:style w:styleId="Heading3" w:type="paragraph">
    <w:name w:val="Heading 3"/>
    <w:basedOn w:val="Normal"/>
    <w:next w:val="TextBody"/>
    <w:link w:val="Heading3Char"/>
    <w:uiPriority w:val="9"/>
    <w:semiHidden/>
    <w:unhideWhenUsed/>
    <w:qFormat/>
    <w:rsid w:val="00a10fd9"/>
    <w:pPr>
      <w:keepNext w:val="true"/>
      <w:keepLines/>
      <w:spacing w:after="80" w:before="160"/>
      <w:outlineLvl w:val="2"/>
    </w:pPr>
    <w:rPr>
      <w:rFonts w:cs="" w:cstheme="majorBidi" w:eastAsia="" w:eastAsiaTheme="majorEastAsia"/>
      <w:color w:themeShade="bf" w:val="000000"/>
      <w:sz w:val="28"/>
      <w:szCs w:val="28"/>
    </w:rPr>
  </w:style>
  <w:style w:styleId="Heading4" w:type="paragraph">
    <w:name w:val="Heading 4"/>
    <w:basedOn w:val="Normal"/>
    <w:next w:val="TextBody"/>
    <w:link w:val="Heading4Char"/>
    <w:uiPriority w:val="9"/>
    <w:semiHidden/>
    <w:unhideWhenUsed/>
    <w:qFormat/>
    <w:rsid w:val="00a10fd9"/>
    <w:pPr>
      <w:keepNext w:val="true"/>
      <w:keepLines/>
      <w:spacing w:after="40" w:before="80"/>
      <w:outlineLvl w:val="3"/>
    </w:pPr>
    <w:rPr>
      <w:rFonts w:cs="" w:cstheme="majorBidi" w:eastAsia="" w:eastAsiaTheme="majorEastAsia"/>
      <w:i/>
      <w:iCs/>
      <w:color w:themeShade="bf" w:val="000000"/>
    </w:rPr>
  </w:style>
  <w:style w:styleId="Heading5" w:type="paragraph">
    <w:name w:val="Heading 5"/>
    <w:basedOn w:val="Normal"/>
    <w:next w:val="TextBody"/>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TextBody"/>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TextBody"/>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TextBody"/>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TextBody"/>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Anchor" w:type="character">
    <w:name w:val="Footnote Anchor"/>
    <w:rPr>
      <w:vertAlign w:val="superscript"/>
    </w:rPr>
  </w:style>
  <w:style w:styleId="InternetLink" w:type="character">
    <w:name w:val="Hyperlink"/>
    <w:basedOn w:val="BodyTextChar"/>
    <w:rPr>
      <w:color w:themeColor="accent1" w:val="4F81BD"/>
    </w:rPr>
  </w:style>
  <w:style w:styleId="LineNumbering" w:type="character">
    <w:name w:val="Line Numbering"/>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FreeSans" w:eastAsia="Noto Sans CJK SC" w:hAnsi="Liberation Sans"/>
      <w:sz w:val="28"/>
      <w:szCs w:val="28"/>
    </w:rPr>
  </w:style>
  <w:style w:styleId="TextBody" w:type="paragraph">
    <w:name w:val="Body Text"/>
    <w:basedOn w:val="Normal"/>
    <w:link w:val="BodyTextChar"/>
    <w:qFormat/>
    <w:pPr>
      <w:spacing w:after="180" w:before="180" w:line="480" w:lineRule="auto"/>
      <w:ind w:hanging="0" w:left="0" w:right="0"/>
    </w:pPr>
    <w:rPr/>
  </w:style>
  <w:style w:styleId="List" w:type="paragraph">
    <w:name w:val="List"/>
    <w:basedOn w:val="TextBody"/>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customStyle="1" w:styleId="FirstParagraph" w:type="paragraph">
    <w:name w:val="First Paragraph"/>
    <w:basedOn w:val="TextBody"/>
    <w:next w:val="TextBody"/>
    <w:qFormat/>
    <w:pPr>
      <w:spacing w:line="480" w:lineRule="auto"/>
      <w:ind w:hanging="0" w:left="0" w:right="0"/>
    </w:pPr>
    <w:rPr/>
  </w:style>
  <w:style w:customStyle="1" w:styleId="Compact" w:type="paragraph">
    <w:name w:val="Compact"/>
    <w:basedOn w:val="TextBody"/>
    <w:qFormat/>
    <w:pPr>
      <w:spacing w:after="36" w:before="36"/>
    </w:pPr>
    <w:rPr/>
  </w:style>
  <w:style w:styleId="Title" w:type="paragraph">
    <w:name w:val="Title"/>
    <w:basedOn w:val="Normal"/>
    <w:next w:val="TextBody"/>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Title"/>
    <w:next w:val="TextBody"/>
    <w:link w:val="SubtitleChar"/>
    <w:uiPriority w:val="11"/>
    <w:qFormat/>
    <w:rsid w:val="00a10fd9"/>
    <w:pPr/>
    <w:rPr>
      <w:rFonts w:cs="" w:cstheme="majorBidi" w:eastAsia="" w:eastAsiaTheme="majorEastAsia"/>
      <w:spacing w:val="15"/>
      <w:sz w:val="28"/>
      <w:szCs w:val="28"/>
    </w:rPr>
  </w:style>
  <w:style w:customStyle="1" w:styleId="Author" w:type="paragraph">
    <w:name w:val="Author"/>
    <w:next w:val="TextBody"/>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TextBody"/>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TextBody"/>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styleId="FootnoteBlockText" w:type="paragraph">
    <w:name w:val="Footnote Block Text"/>
    <w:basedOn w:val="Footnote"/>
    <w:next w:val="Footnote"/>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spacing w:line="480" w:lineRule="auto"/>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ContentsHeading" w:type="paragraph">
    <w:name w:val="TOC Heading"/>
    <w:basedOn w:val="Heading1"/>
    <w:next w:val="TextBody"/>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8" Target="media/rId408.png" /><Relationship Type="http://schemas.openxmlformats.org/officeDocument/2006/relationships/image" Id="rId42" Target="media/rId42.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64" Target="media/rId64.png" /><Relationship Type="http://schemas.openxmlformats.org/officeDocument/2006/relationships/image" Id="rId380" Target="media/rId380.png" /><Relationship Type="http://schemas.openxmlformats.org/officeDocument/2006/relationships/image" Id="rId392" Target="media/rId392.png" /><Relationship Type="http://schemas.openxmlformats.org/officeDocument/2006/relationships/image" Id="rId399" Target="media/rId399.png" /><Relationship Type="http://schemas.openxmlformats.org/officeDocument/2006/relationships/image" Id="rId403" Target="media/rId403.png" /><Relationship Type="http://schemas.openxmlformats.org/officeDocument/2006/relationships/image" Id="rId413" Target="media/rId413.png" /><Relationship Type="http://schemas.openxmlformats.org/officeDocument/2006/relationships/image" Id="rId417" Target="media/rId417.png" /><Relationship Type="http://schemas.openxmlformats.org/officeDocument/2006/relationships/image" Id="rId422" Target="media/rId422.png" /><Relationship Type="http://schemas.openxmlformats.org/officeDocument/2006/relationships/hyperlink" Id="rId213" Target="https://arxiv.org/abs/2502.10946" TargetMode="External" /><Relationship Type="http://schemas.openxmlformats.org/officeDocument/2006/relationships/hyperlink" Id="rId231" Target="https://doi.org/10.1002/(sici)1099-1492(199810)11:6&lt;266::aid-nbm530&gt;3.0.co;2-j" TargetMode="External" /><Relationship Type="http://schemas.openxmlformats.org/officeDocument/2006/relationships/hyperlink" Id="rId266" Target="https://doi.org/10.1002/(sici)1522-2594(199907)42:1&lt;87::aid-mrm13&gt;3.0.co;2-o" TargetMode="External" /><Relationship Type="http://schemas.openxmlformats.org/officeDocument/2006/relationships/hyperlink" Id="rId146" Target="https://doi.org/10.1002/hbm.20593" TargetMode="External" /><Relationship Type="http://schemas.openxmlformats.org/officeDocument/2006/relationships/hyperlink" Id="rId301" Target="https://doi.org/10.1002/hbm.20601" TargetMode="External" /><Relationship Type="http://schemas.openxmlformats.org/officeDocument/2006/relationships/hyperlink" Id="rId139" Target="https://doi.org/10.1002/hbm.25801" TargetMode="External" /><Relationship Type="http://schemas.openxmlformats.org/officeDocument/2006/relationships/hyperlink" Id="rId282" Target="https://doi.org/10.1002/jmri.23941" TargetMode="External" /><Relationship Type="http://schemas.openxmlformats.org/officeDocument/2006/relationships/hyperlink" Id="rId299" Target="https://doi.org/10.1002/jmri.24478" TargetMode="External" /><Relationship Type="http://schemas.openxmlformats.org/officeDocument/2006/relationships/hyperlink" Id="rId293" Target="https://doi.org/10.1002/mrm.20901" TargetMode="External" /><Relationship Type="http://schemas.openxmlformats.org/officeDocument/2006/relationships/hyperlink" Id="rId229" Target="https://doi.org/10.1002/mrm.22708" TargetMode="External" /><Relationship Type="http://schemas.openxmlformats.org/officeDocument/2006/relationships/hyperlink" Id="rId286" Target="https://doi.org/10.1002/mrm.25549" TargetMode="External" /><Relationship Type="http://schemas.openxmlformats.org/officeDocument/2006/relationships/hyperlink" Id="rId355" Target="https://doi.org/10.1002/mrm.26022" TargetMode="External" /><Relationship Type="http://schemas.openxmlformats.org/officeDocument/2006/relationships/hyperlink" Id="rId191" Target="https://doi.org/10.1002/mrm.26619" TargetMode="External" /><Relationship Type="http://schemas.openxmlformats.org/officeDocument/2006/relationships/hyperlink" Id="rId236" Target="https://doi.org/10.1002/mrm.27742" TargetMode="External" /><Relationship Type="http://schemas.openxmlformats.org/officeDocument/2006/relationships/hyperlink" Id="rId276" Target="https://doi.org/10.1002/nbm.3045" TargetMode="External" /><Relationship Type="http://schemas.openxmlformats.org/officeDocument/2006/relationships/hyperlink" Id="rId367" Target="https://doi.org/10.1002/nbm.4245" TargetMode="External" /><Relationship Type="http://schemas.openxmlformats.org/officeDocument/2006/relationships/hyperlink" Id="rId297" Target="https://doi.org/10.1002/nbm.4350" TargetMode="External" /><Relationship Type="http://schemas.openxmlformats.org/officeDocument/2006/relationships/hyperlink" Id="rId349" Target="https://doi.org/10.1002/nbm.4411" TargetMode="External" /><Relationship Type="http://schemas.openxmlformats.org/officeDocument/2006/relationships/hyperlink" Id="rId278" Target="https://doi.org/10.1002/nbm.4482" TargetMode="External" /><Relationship Type="http://schemas.openxmlformats.org/officeDocument/2006/relationships/hyperlink" Id="rId351" Target="https://doi.org/10.1002/nbm.4484" TargetMode="External" /><Relationship Type="http://schemas.openxmlformats.org/officeDocument/2006/relationships/hyperlink" Id="rId280" Target="https://doi.org/10.1002/nbm.4618" TargetMode="External" /><Relationship Type="http://schemas.openxmlformats.org/officeDocument/2006/relationships/hyperlink" Id="rId272" Target="https://doi.org/10.1002/nbm.698" TargetMode="External" /><Relationship Type="http://schemas.openxmlformats.org/officeDocument/2006/relationships/hyperlink" Id="rId369" Target="https://doi.org/10.1002/nbm.70171" TargetMode="External" /><Relationship Type="http://schemas.openxmlformats.org/officeDocument/2006/relationships/hyperlink" Id="rId264" Target="https://doi.org/10.1006/cbmr.1996.0014" TargetMode="External" /><Relationship Type="http://schemas.openxmlformats.org/officeDocument/2006/relationships/hyperlink" Id="rId135" Target="https://doi.org/10.1006/nimg.1997.0263" TargetMode="External" /><Relationship Type="http://schemas.openxmlformats.org/officeDocument/2006/relationships/hyperlink" Id="rId256" Target="https://doi.org/10.1006/nimg.1998.0395" TargetMode="External" /><Relationship Type="http://schemas.openxmlformats.org/officeDocument/2006/relationships/hyperlink" Id="rId137" Target="https://doi.org/10.1006/nimg.2001.0955" TargetMode="External" /><Relationship Type="http://schemas.openxmlformats.org/officeDocument/2006/relationships/hyperlink" Id="rId115" Target="https://doi.org/10.1007/978-1-4757-5426-1" TargetMode="External" /><Relationship Type="http://schemas.openxmlformats.org/officeDocument/2006/relationships/hyperlink" Id="rId361" Target="https://doi.org/10.1007/s00330-010-1971-8" TargetMode="External" /><Relationship Type="http://schemas.openxmlformats.org/officeDocument/2006/relationships/hyperlink" Id="rId329" Target="https://doi.org/10.1007/s00330-012-2621-0" TargetMode="External" /><Relationship Type="http://schemas.openxmlformats.org/officeDocument/2006/relationships/hyperlink" Id="rId315" Target="https://doi.org/10.1007/s004249900135" TargetMode="External" /><Relationship Type="http://schemas.openxmlformats.org/officeDocument/2006/relationships/hyperlink" Id="rId161" Target="https://doi.org/10.1007/s10334-012-0312-0" TargetMode="External" /><Relationship Type="http://schemas.openxmlformats.org/officeDocument/2006/relationships/hyperlink" Id="rId341" Target="https://doi.org/10.1007/s11064-012-0848-4" TargetMode="External" /><Relationship Type="http://schemas.openxmlformats.org/officeDocument/2006/relationships/hyperlink" Id="rId133" Target="https://doi.org/10.1016/0013-4694(94)00181-2" TargetMode="External" /><Relationship Type="http://schemas.openxmlformats.org/officeDocument/2006/relationships/hyperlink" Id="rId125" Target="https://doi.org/10.1016/0165-0270(94)00115-W" TargetMode="External" /><Relationship Type="http://schemas.openxmlformats.org/officeDocument/2006/relationships/hyperlink" Id="rId113" Target="https://doi.org/10.1016/0167-2789(90)90064-V" TargetMode="External" /><Relationship Type="http://schemas.openxmlformats.org/officeDocument/2006/relationships/hyperlink" Id="rId193" Target="https://doi.org/10.1016/j.ab.2023.115113" TargetMode="External" /><Relationship Type="http://schemas.openxmlformats.org/officeDocument/2006/relationships/hyperlink" Id="rId165" Target="https://doi.org/10.1016/j.biopsych.2010.06.027" TargetMode="External" /><Relationship Type="http://schemas.openxmlformats.org/officeDocument/2006/relationships/hyperlink" Id="rId131" Target="https://doi.org/10.1016/j.bpj.2008.12.3951" TargetMode="External" /><Relationship Type="http://schemas.openxmlformats.org/officeDocument/2006/relationships/hyperlink" Id="rId167" Target="https://doi.org/10.1016/j.bpsc.2024.09.003" TargetMode="External" /><Relationship Type="http://schemas.openxmlformats.org/officeDocument/2006/relationships/hyperlink" Id="rId185" Target="https://doi.org/10.1016/j.celrep.2019.07.024" TargetMode="External" /><Relationship Type="http://schemas.openxmlformats.org/officeDocument/2006/relationships/hyperlink" Id="rId339" Target="https://doi.org/10.1016/j.cub.2011.01.069" TargetMode="External" /><Relationship Type="http://schemas.openxmlformats.org/officeDocument/2006/relationships/hyperlink" Id="rId219" Target="https://doi.org/10.1016/j.dcn.2018.10.004" TargetMode="External" /><Relationship Type="http://schemas.openxmlformats.org/officeDocument/2006/relationships/hyperlink" Id="rId311" Target="https://doi.org/10.1016/j.jneumeth.2013.10.017" TargetMode="External" /><Relationship Type="http://schemas.openxmlformats.org/officeDocument/2006/relationships/hyperlink" Id="rId240" Target="https://doi.org/10.1016/j.jneumeth.2016.03.001" TargetMode="External" /><Relationship Type="http://schemas.openxmlformats.org/officeDocument/2006/relationships/hyperlink" Id="rId270" Target="https://doi.org/10.1016/j.jneumeth.2020.108827" TargetMode="External" /><Relationship Type="http://schemas.openxmlformats.org/officeDocument/2006/relationships/hyperlink" Id="rId248" Target="https://doi.org/10.1016/j.media.2007.06.004" TargetMode="External" /><Relationship Type="http://schemas.openxmlformats.org/officeDocument/2006/relationships/hyperlink" Id="rId238" Target="https://doi.org/10.1016/j.mri.2017.12.029" TargetMode="External" /><Relationship Type="http://schemas.openxmlformats.org/officeDocument/2006/relationships/hyperlink" Id="rId284" Target="https://doi.org/10.1016/j.mri.2025.110452" TargetMode="External" /><Relationship Type="http://schemas.openxmlformats.org/officeDocument/2006/relationships/hyperlink" Id="rId179" Target="https://doi.org/10.1016/j.nbd.2019.04.010" TargetMode="External" /><Relationship Type="http://schemas.openxmlformats.org/officeDocument/2006/relationships/hyperlink" Id="rId183" Target="https://doi.org/10.1016/j.neubiorev.2019.07.024" TargetMode="External" /><Relationship Type="http://schemas.openxmlformats.org/officeDocument/2006/relationships/hyperlink" Id="rId274" Target="https://doi.org/10.1016/j.neubiorev.2022.104940" TargetMode="External" /><Relationship Type="http://schemas.openxmlformats.org/officeDocument/2006/relationships/hyperlink" Id="rId155" Target="https://doi.org/10.1016/j.neurobiolaging.2005.08.011" TargetMode="External" /><Relationship Type="http://schemas.openxmlformats.org/officeDocument/2006/relationships/hyperlink" Id="rId303" Target="https://doi.org/10.1016/j.neuroimage.2004.07.012" TargetMode="External" /><Relationship Type="http://schemas.openxmlformats.org/officeDocument/2006/relationships/hyperlink" Id="rId254" Target="https://doi.org/10.1016/j.neuroimage.2004.07.051" TargetMode="External" /><Relationship Type="http://schemas.openxmlformats.org/officeDocument/2006/relationships/hyperlink" Id="rId159" Target="https://doi.org/10.1016/j.neuroimage.2004.10.044" TargetMode="External" /><Relationship Type="http://schemas.openxmlformats.org/officeDocument/2006/relationships/hyperlink" Id="rId357" Target="https://doi.org/10.1016/j.neuroimage.2005.02.001" TargetMode="External" /><Relationship Type="http://schemas.openxmlformats.org/officeDocument/2006/relationships/hyperlink" Id="rId359" Target="https://doi.org/10.1016/j.neuroimage.2009.09.007" TargetMode="External" /><Relationship Type="http://schemas.openxmlformats.org/officeDocument/2006/relationships/hyperlink" Id="rId323" Target="https://doi.org/10.1016/j.neuroimage.2012.02.018" TargetMode="External" /><Relationship Type="http://schemas.openxmlformats.org/officeDocument/2006/relationships/hyperlink" Id="rId148" Target="https://doi.org/10.1016/j.neuroimage.2014.03.047" TargetMode="External" /><Relationship Type="http://schemas.openxmlformats.org/officeDocument/2006/relationships/hyperlink" Id="rId337" Target="https://doi.org/10.1016/j.neuroimage.2014.11.032" TargetMode="External" /><Relationship Type="http://schemas.openxmlformats.org/officeDocument/2006/relationships/hyperlink" Id="rId333" Target="https://doi.org/10.1016/j.neuroimage.2015.06.015" TargetMode="External" /><Relationship Type="http://schemas.openxmlformats.org/officeDocument/2006/relationships/hyperlink" Id="rId353" Target="https://doi.org/10.1016/j.neuroimage.2017.03.033" TargetMode="External" /><Relationship Type="http://schemas.openxmlformats.org/officeDocument/2006/relationships/hyperlink" Id="rId234" Target="https://doi.org/10.1016/j.neuroimage.2017.04.030" TargetMode="External" /><Relationship Type="http://schemas.openxmlformats.org/officeDocument/2006/relationships/hyperlink" Id="rId107" Target="https://doi.org/10.1016/j.neuroimage.2017.06.078" TargetMode="External" /><Relationship Type="http://schemas.openxmlformats.org/officeDocument/2006/relationships/hyperlink" Id="rId290" Target="https://doi.org/10.1016/j.neuroimage.2017.07.021" TargetMode="External" /><Relationship Type="http://schemas.openxmlformats.org/officeDocument/2006/relationships/hyperlink" Id="rId288" Target="https://doi.org/10.1016/j.neuroimage.2019.02.059" TargetMode="External" /><Relationship Type="http://schemas.openxmlformats.org/officeDocument/2006/relationships/hyperlink" Id="rId347" Target="https://doi.org/10.1016/j.neuroimage.2020.116532" TargetMode="External" /><Relationship Type="http://schemas.openxmlformats.org/officeDocument/2006/relationships/hyperlink" Id="rId295" Target="https://doi.org/10.1016/j.neuroimage.2021.118191" TargetMode="External" /><Relationship Type="http://schemas.openxmlformats.org/officeDocument/2006/relationships/hyperlink" Id="rId345" Target="https://doi.org/10.1016/j.neuroimage.2021.118430" TargetMode="External" /><Relationship Type="http://schemas.openxmlformats.org/officeDocument/2006/relationships/hyperlink" Id="rId331" Target="https://doi.org/10.1016/j.neuroscience.2017.09.037" TargetMode="External" /><Relationship Type="http://schemas.openxmlformats.org/officeDocument/2006/relationships/hyperlink" Id="rId313" Target="https://doi.org/10.1016/j.physa.2012.08.002" TargetMode="External" /><Relationship Type="http://schemas.openxmlformats.org/officeDocument/2006/relationships/hyperlink" Id="rId187" Target="https://doi.org/10.1016/j.pnpbp.2018.09.010" TargetMode="External" /><Relationship Type="http://schemas.openxmlformats.org/officeDocument/2006/relationships/hyperlink" Id="rId173" Target="https://doi.org/10.1016/j.pscychresns.2013.09.008" TargetMode="External" /><Relationship Type="http://schemas.openxmlformats.org/officeDocument/2006/relationships/hyperlink" Id="rId371" Target="https://doi.org/10.1016/j.pscychresns.2018.07.003" TargetMode="External" /><Relationship Type="http://schemas.openxmlformats.org/officeDocument/2006/relationships/hyperlink" Id="rId327" Target="https://doi.org/10.1016/j.tics.2009.10.011" TargetMode="External" /><Relationship Type="http://schemas.openxmlformats.org/officeDocument/2006/relationships/hyperlink" Id="rId92" Target="https://doi.org/10.1016/j.tics.2011.03.006" TargetMode="External" /><Relationship Type="http://schemas.openxmlformats.org/officeDocument/2006/relationships/hyperlink" Id="rId88" Target="https://doi.org/10.1016/j.tins.2013.03.001" TargetMode="External" /><Relationship Type="http://schemas.openxmlformats.org/officeDocument/2006/relationships/hyperlink" Id="rId205" Target="https://doi.org/10.1016/j.tins.2022.08.007" TargetMode="External" /><Relationship Type="http://schemas.openxmlformats.org/officeDocument/2006/relationships/hyperlink" Id="rId262" Target="https://doi.org/10.1016/s1053-8119(02)91132-8" TargetMode="External" /><Relationship Type="http://schemas.openxmlformats.org/officeDocument/2006/relationships/hyperlink" Id="rId221" Target="https://doi.org/10.1038/jcbfm.2012.33" TargetMode="External" /><Relationship Type="http://schemas.openxmlformats.org/officeDocument/2006/relationships/hyperlink" Id="rId121" Target="https://doi.org/10.1038/s41380-019-0426-0" TargetMode="External" /><Relationship Type="http://schemas.openxmlformats.org/officeDocument/2006/relationships/hyperlink" Id="rId119" Target="https://doi.org/10.1038/s41467-021-22742-8" TargetMode="External" /><Relationship Type="http://schemas.openxmlformats.org/officeDocument/2006/relationships/hyperlink" Id="rId217" Target="https://doi.org/10.1038/s41467-023-41686-9" TargetMode="External" /><Relationship Type="http://schemas.openxmlformats.org/officeDocument/2006/relationships/hyperlink" Id="rId260" Target="https://doi.org/10.1038/s41592-018-0235-4" TargetMode="External" /><Relationship Type="http://schemas.openxmlformats.org/officeDocument/2006/relationships/hyperlink" Id="rId307" Target="https://doi.org/10.1038/s41592-019-0686-2" TargetMode="External" /><Relationship Type="http://schemas.openxmlformats.org/officeDocument/2006/relationships/hyperlink" Id="rId103" Target="https://doi.org/10.1038/s41598-020-65500-4" TargetMode="External" /><Relationship Type="http://schemas.openxmlformats.org/officeDocument/2006/relationships/hyperlink" Id="rId343" Target="https://doi.org/10.1038/s41598-020-76263-3" TargetMode="External" /><Relationship Type="http://schemas.openxmlformats.org/officeDocument/2006/relationships/hyperlink" Id="rId242" Target="https://doi.org/10.1038/sdata.2016.44" TargetMode="External" /><Relationship Type="http://schemas.openxmlformats.org/officeDocument/2006/relationships/hyperlink" Id="rId153" Target="https://doi.org/10.1038/srep30895" TargetMode="External" /><Relationship Type="http://schemas.openxmlformats.org/officeDocument/2006/relationships/hyperlink" Id="rId143" Target="https://doi.org/10.1061/TACEAT.0006518" TargetMode="External" /><Relationship Type="http://schemas.openxmlformats.org/officeDocument/2006/relationships/hyperlink" Id="rId99" Target="https://doi.org/10.1063/1.4979043" TargetMode="External" /><Relationship Type="http://schemas.openxmlformats.org/officeDocument/2006/relationships/hyperlink" Id="rId201" Target="https://doi.org/10.1073/pnas.0800537105" TargetMode="External" /><Relationship Type="http://schemas.openxmlformats.org/officeDocument/2006/relationships/hyperlink" Id="rId141" Target="https://doi.org/10.1088/0967-3334/23/1/201" TargetMode="External" /><Relationship Type="http://schemas.openxmlformats.org/officeDocument/2006/relationships/hyperlink" Id="rId157" Target="https://doi.org/10.1093/cercor/bhae426" TargetMode="External" /><Relationship Type="http://schemas.openxmlformats.org/officeDocument/2006/relationships/hyperlink" Id="rId197" Target="https://doi.org/10.1093/cercor/bhl049" TargetMode="External" /><Relationship Type="http://schemas.openxmlformats.org/officeDocument/2006/relationships/hyperlink" Id="rId169" Target="https://doi.org/10.1101/2022.05.24.22275531" TargetMode="External" /><Relationship Type="http://schemas.openxmlformats.org/officeDocument/2006/relationships/hyperlink" Id="rId215" Target="https://doi.org/10.1101/2024.04.22.590555" TargetMode="External" /><Relationship Type="http://schemas.openxmlformats.org/officeDocument/2006/relationships/hyperlink" Id="rId373" Target="https://doi.org/10.1101/2025.06.07.657685" TargetMode="External" /><Relationship Type="http://schemas.openxmlformats.org/officeDocument/2006/relationships/hyperlink" Id="rId101" Target="https://doi.org/10.1103/PhysRevE.100.010301" TargetMode="External" /><Relationship Type="http://schemas.openxmlformats.org/officeDocument/2006/relationships/hyperlink" Id="rId123" Target="https://doi.org/10.1103/RevModPhys.90.031001" TargetMode="External" /><Relationship Type="http://schemas.openxmlformats.org/officeDocument/2006/relationships/hyperlink" Id="rId252" Target="https://doi.org/10.1109/42.906424" TargetMode="External" /><Relationship Type="http://schemas.openxmlformats.org/officeDocument/2006/relationships/hyperlink" Id="rId305" Target="https://doi.org/10.1109/TAU.1967.1161901" TargetMode="External" /><Relationship Type="http://schemas.openxmlformats.org/officeDocument/2006/relationships/hyperlink" Id="rId246" Target="https://doi.org/10.1109/TMI.2010.2046908" TargetMode="External" /><Relationship Type="http://schemas.openxmlformats.org/officeDocument/2006/relationships/hyperlink" Id="rId195" Target="https://doi.org/10.1111/j.1460-9568.2011.07748.x" TargetMode="External" /><Relationship Type="http://schemas.openxmlformats.org/officeDocument/2006/relationships/hyperlink" Id="rId363" Target="https://doi.org/10.1111/sjop.12411" TargetMode="External" /><Relationship Type="http://schemas.openxmlformats.org/officeDocument/2006/relationships/hyperlink" Id="rId321" Target="https://doi.org/10.1152/jn.00338.2011" TargetMode="External" /><Relationship Type="http://schemas.openxmlformats.org/officeDocument/2006/relationships/hyperlink" Id="rId335" Target="https://doi.org/10.1152/jn.00346.2005" TargetMode="External" /><Relationship Type="http://schemas.openxmlformats.org/officeDocument/2006/relationships/hyperlink" Id="rId109" Target="https://doi.org/10.1162/netn_a_00269" TargetMode="External" /><Relationship Type="http://schemas.openxmlformats.org/officeDocument/2006/relationships/hyperlink" Id="rId223" Target="https://doi.org/10.1177/0271678X18795426" TargetMode="External" /><Relationship Type="http://schemas.openxmlformats.org/officeDocument/2006/relationships/hyperlink" Id="rId95" Target="https://doi.org/10.1177/10738584231221766" TargetMode="External" /><Relationship Type="http://schemas.openxmlformats.org/officeDocument/2006/relationships/hyperlink" Id="rId111" Target="https://doi.org/10.1371/journal.pcbi.1002038" TargetMode="External" /><Relationship Type="http://schemas.openxmlformats.org/officeDocument/2006/relationships/hyperlink" Id="rId258" Target="https://doi.org/10.1371/journal.pcbi.1005350" TargetMode="External" /><Relationship Type="http://schemas.openxmlformats.org/officeDocument/2006/relationships/hyperlink" Id="rId129" Target="https://doi.org/10.1371/journal.pone.0000439" TargetMode="External" /><Relationship Type="http://schemas.openxmlformats.org/officeDocument/2006/relationships/hyperlink" Id="rId325" Target="https://doi.org/10.1371/journal.pone.0006626" TargetMode="External" /><Relationship Type="http://schemas.openxmlformats.org/officeDocument/2006/relationships/hyperlink" Id="rId309" Target="https://doi.org/10.1371/journal.pone.0063448" TargetMode="External" /><Relationship Type="http://schemas.openxmlformats.org/officeDocument/2006/relationships/hyperlink" Id="rId177" Target="https://doi.org/10.1371/journal.pone.0095146" TargetMode="External" /><Relationship Type="http://schemas.openxmlformats.org/officeDocument/2006/relationships/hyperlink" Id="rId171" Target="https://doi.org/10.1371/journal.pone.0169647" TargetMode="External" /><Relationship Type="http://schemas.openxmlformats.org/officeDocument/2006/relationships/hyperlink" Id="rId163" Target="https://doi.org/10.1371/journal.pone.0190081" TargetMode="External" /><Relationship Type="http://schemas.openxmlformats.org/officeDocument/2006/relationships/hyperlink" Id="rId227" Target="https://doi.org/10.1523/JNEUROSCI.1214-18.2018" TargetMode="External" /><Relationship Type="http://schemas.openxmlformats.org/officeDocument/2006/relationships/hyperlink" Id="rId127" Target="https://doi.org/10.1523/JNEUROSCI.17-15-05666.1997" TargetMode="External" /><Relationship Type="http://schemas.openxmlformats.org/officeDocument/2006/relationships/hyperlink" Id="rId150" Target="https://doi.org/10.1523/JNEUROSCI.2111-11.2011" TargetMode="External" /><Relationship Type="http://schemas.openxmlformats.org/officeDocument/2006/relationships/hyperlink" Id="rId199" Target="https://doi.org/10.1523/JNEUROSCI.23-35-11167.2003" TargetMode="External" /><Relationship Type="http://schemas.openxmlformats.org/officeDocument/2006/relationships/hyperlink" Id="rId203" Target="https://doi.org/10.1523/JNEUROSCI.2771-11.2012" TargetMode="External" /><Relationship Type="http://schemas.openxmlformats.org/officeDocument/2006/relationships/hyperlink" Id="rId97" Target="https://doi.org/10.1523/JNEUROSCI.5990-11.2012" TargetMode="External" /><Relationship Type="http://schemas.openxmlformats.org/officeDocument/2006/relationships/hyperlink" Id="rId175" Target="https://doi.org/10.18632/oncotarget.19860" TargetMode="External" /><Relationship Type="http://schemas.openxmlformats.org/officeDocument/2006/relationships/hyperlink" Id="rId268" Target="https://doi.org/10.21105/joss.03669" TargetMode="External" /><Relationship Type="http://schemas.openxmlformats.org/officeDocument/2006/relationships/hyperlink" Id="rId318" Target="https://doi.org/10.2307/2331554" TargetMode="External" /><Relationship Type="http://schemas.openxmlformats.org/officeDocument/2006/relationships/hyperlink" Id="rId181" Target="https://doi.org/10.3109/15622975.2015.1085597" TargetMode="External" /><Relationship Type="http://schemas.openxmlformats.org/officeDocument/2006/relationships/hyperlink" Id="rId365" Target="https://doi.org/10.3389/fnhum.2021.644079" TargetMode="External" /><Relationship Type="http://schemas.openxmlformats.org/officeDocument/2006/relationships/hyperlink" Id="rId211" Target="https://doi.org/10.3389/fphy.2021.619661" TargetMode="External" /><Relationship Type="http://schemas.openxmlformats.org/officeDocument/2006/relationships/hyperlink" Id="rId207" Target="https://doi.org/10.3389/fphy.2021.639389" TargetMode="External" /><Relationship Type="http://schemas.openxmlformats.org/officeDocument/2006/relationships/hyperlink" Id="rId189" Target="https://doi.org/10.3389/fpsyt.2018.00076" TargetMode="External" /><Relationship Type="http://schemas.openxmlformats.org/officeDocument/2006/relationships/hyperlink" Id="rId250" Target="https://doi.org/10.5281/zenodo.50186" TargetMode="External" /><Relationship Type="http://schemas.openxmlformats.org/officeDocument/2006/relationships/hyperlink" Id="rId244" Target="https://doi.org/10.5281/zenodo.8436509" TargetMode="External" /><Relationship Type="http://schemas.openxmlformats.org/officeDocument/2006/relationships/hyperlink" Id="rId209" Target="https://doi.org/10.5463/thesis.144" TargetMode="External" /><Relationship Type="http://schemas.openxmlformats.org/officeDocument/2006/relationships/hyperlink" Id="rId225" Target="https://doi.org/10.58530/2024/1922" TargetMode="External" /><Relationship Type="http://schemas.openxmlformats.org/officeDocument/2006/relationships/hyperlink" Id="rId105" Target="https://doi.org/10.7554/eLife.55684" TargetMode="External" /><Relationship Type="http://schemas.openxmlformats.org/officeDocument/2006/relationships/hyperlink" Id="rId33" Target="https://github.com/WeberLab/EI_Hurst_Analysis" TargetMode="External" /><Relationship Type="http://schemas.openxmlformats.org/officeDocument/2006/relationships/hyperlink" Id="rId83" Target="https://weberlab.github.io/EI_Hurst_Manuscript/" TargetMode="External" /><Relationship Type="http://schemas.openxmlformats.org/officeDocument/2006/relationships/hyperlink" Id="rId117" Target="https://www.ncbi.nlm.nih.gov/pmc/articles/PMC6748642" TargetMode="External" /><Relationship Type="http://schemas.openxmlformats.org/officeDocument/2006/relationships/hyperlink" Id="rId20" Target="mailto:aweber@bcchr.ca" TargetMode="External" /></Relationships>
</file>

<file path=word/_rels/footnotes.xml.rels><?xml version="1.0" encoding="UTF-8"?><Relationships xmlns="http://schemas.openxmlformats.org/package/2006/relationships"><Relationship Type="http://schemas.openxmlformats.org/officeDocument/2006/relationships/hyperlink" Id="rId213" Target="https://arxiv.org/abs/2502.10946" TargetMode="External" /><Relationship Type="http://schemas.openxmlformats.org/officeDocument/2006/relationships/hyperlink" Id="rId231" Target="https://doi.org/10.1002/(sici)1099-1492(199810)11:6&lt;266::aid-nbm530&gt;3.0.co;2-j" TargetMode="External" /><Relationship Type="http://schemas.openxmlformats.org/officeDocument/2006/relationships/hyperlink" Id="rId266" Target="https://doi.org/10.1002/(sici)1522-2594(199907)42:1&lt;87::aid-mrm13&gt;3.0.co;2-o" TargetMode="External" /><Relationship Type="http://schemas.openxmlformats.org/officeDocument/2006/relationships/hyperlink" Id="rId146" Target="https://doi.org/10.1002/hbm.20593" TargetMode="External" /><Relationship Type="http://schemas.openxmlformats.org/officeDocument/2006/relationships/hyperlink" Id="rId301" Target="https://doi.org/10.1002/hbm.20601" TargetMode="External" /><Relationship Type="http://schemas.openxmlformats.org/officeDocument/2006/relationships/hyperlink" Id="rId139" Target="https://doi.org/10.1002/hbm.25801" TargetMode="External" /><Relationship Type="http://schemas.openxmlformats.org/officeDocument/2006/relationships/hyperlink" Id="rId282" Target="https://doi.org/10.1002/jmri.23941" TargetMode="External" /><Relationship Type="http://schemas.openxmlformats.org/officeDocument/2006/relationships/hyperlink" Id="rId299" Target="https://doi.org/10.1002/jmri.24478" TargetMode="External" /><Relationship Type="http://schemas.openxmlformats.org/officeDocument/2006/relationships/hyperlink" Id="rId293" Target="https://doi.org/10.1002/mrm.20901" TargetMode="External" /><Relationship Type="http://schemas.openxmlformats.org/officeDocument/2006/relationships/hyperlink" Id="rId229" Target="https://doi.org/10.1002/mrm.22708" TargetMode="External" /><Relationship Type="http://schemas.openxmlformats.org/officeDocument/2006/relationships/hyperlink" Id="rId286" Target="https://doi.org/10.1002/mrm.25549" TargetMode="External" /><Relationship Type="http://schemas.openxmlformats.org/officeDocument/2006/relationships/hyperlink" Id="rId355" Target="https://doi.org/10.1002/mrm.26022" TargetMode="External" /><Relationship Type="http://schemas.openxmlformats.org/officeDocument/2006/relationships/hyperlink" Id="rId191" Target="https://doi.org/10.1002/mrm.26619" TargetMode="External" /><Relationship Type="http://schemas.openxmlformats.org/officeDocument/2006/relationships/hyperlink" Id="rId236" Target="https://doi.org/10.1002/mrm.27742" TargetMode="External" /><Relationship Type="http://schemas.openxmlformats.org/officeDocument/2006/relationships/hyperlink" Id="rId276" Target="https://doi.org/10.1002/nbm.3045" TargetMode="External" /><Relationship Type="http://schemas.openxmlformats.org/officeDocument/2006/relationships/hyperlink" Id="rId367" Target="https://doi.org/10.1002/nbm.4245" TargetMode="External" /><Relationship Type="http://schemas.openxmlformats.org/officeDocument/2006/relationships/hyperlink" Id="rId297" Target="https://doi.org/10.1002/nbm.4350" TargetMode="External" /><Relationship Type="http://schemas.openxmlformats.org/officeDocument/2006/relationships/hyperlink" Id="rId349" Target="https://doi.org/10.1002/nbm.4411" TargetMode="External" /><Relationship Type="http://schemas.openxmlformats.org/officeDocument/2006/relationships/hyperlink" Id="rId278" Target="https://doi.org/10.1002/nbm.4482" TargetMode="External" /><Relationship Type="http://schemas.openxmlformats.org/officeDocument/2006/relationships/hyperlink" Id="rId351" Target="https://doi.org/10.1002/nbm.4484" TargetMode="External" /><Relationship Type="http://schemas.openxmlformats.org/officeDocument/2006/relationships/hyperlink" Id="rId280" Target="https://doi.org/10.1002/nbm.4618" TargetMode="External" /><Relationship Type="http://schemas.openxmlformats.org/officeDocument/2006/relationships/hyperlink" Id="rId272" Target="https://doi.org/10.1002/nbm.698" TargetMode="External" /><Relationship Type="http://schemas.openxmlformats.org/officeDocument/2006/relationships/hyperlink" Id="rId369" Target="https://doi.org/10.1002/nbm.70171" TargetMode="External" /><Relationship Type="http://schemas.openxmlformats.org/officeDocument/2006/relationships/hyperlink" Id="rId264" Target="https://doi.org/10.1006/cbmr.1996.0014" TargetMode="External" /><Relationship Type="http://schemas.openxmlformats.org/officeDocument/2006/relationships/hyperlink" Id="rId135" Target="https://doi.org/10.1006/nimg.1997.0263" TargetMode="External" /><Relationship Type="http://schemas.openxmlformats.org/officeDocument/2006/relationships/hyperlink" Id="rId256" Target="https://doi.org/10.1006/nimg.1998.0395" TargetMode="External" /><Relationship Type="http://schemas.openxmlformats.org/officeDocument/2006/relationships/hyperlink" Id="rId137" Target="https://doi.org/10.1006/nimg.2001.0955" TargetMode="External" /><Relationship Type="http://schemas.openxmlformats.org/officeDocument/2006/relationships/hyperlink" Id="rId115" Target="https://doi.org/10.1007/978-1-4757-5426-1" TargetMode="External" /><Relationship Type="http://schemas.openxmlformats.org/officeDocument/2006/relationships/hyperlink" Id="rId361" Target="https://doi.org/10.1007/s00330-010-1971-8" TargetMode="External" /><Relationship Type="http://schemas.openxmlformats.org/officeDocument/2006/relationships/hyperlink" Id="rId329" Target="https://doi.org/10.1007/s00330-012-2621-0" TargetMode="External" /><Relationship Type="http://schemas.openxmlformats.org/officeDocument/2006/relationships/hyperlink" Id="rId315" Target="https://doi.org/10.1007/s004249900135" TargetMode="External" /><Relationship Type="http://schemas.openxmlformats.org/officeDocument/2006/relationships/hyperlink" Id="rId161" Target="https://doi.org/10.1007/s10334-012-0312-0" TargetMode="External" /><Relationship Type="http://schemas.openxmlformats.org/officeDocument/2006/relationships/hyperlink" Id="rId341" Target="https://doi.org/10.1007/s11064-012-0848-4" TargetMode="External" /><Relationship Type="http://schemas.openxmlformats.org/officeDocument/2006/relationships/hyperlink" Id="rId133" Target="https://doi.org/10.1016/0013-4694(94)00181-2" TargetMode="External" /><Relationship Type="http://schemas.openxmlformats.org/officeDocument/2006/relationships/hyperlink" Id="rId125" Target="https://doi.org/10.1016/0165-0270(94)00115-W" TargetMode="External" /><Relationship Type="http://schemas.openxmlformats.org/officeDocument/2006/relationships/hyperlink" Id="rId113" Target="https://doi.org/10.1016/0167-2789(90)90064-V" TargetMode="External" /><Relationship Type="http://schemas.openxmlformats.org/officeDocument/2006/relationships/hyperlink" Id="rId193" Target="https://doi.org/10.1016/j.ab.2023.115113" TargetMode="External" /><Relationship Type="http://schemas.openxmlformats.org/officeDocument/2006/relationships/hyperlink" Id="rId165" Target="https://doi.org/10.1016/j.biopsych.2010.06.027" TargetMode="External" /><Relationship Type="http://schemas.openxmlformats.org/officeDocument/2006/relationships/hyperlink" Id="rId131" Target="https://doi.org/10.1016/j.bpj.2008.12.3951" TargetMode="External" /><Relationship Type="http://schemas.openxmlformats.org/officeDocument/2006/relationships/hyperlink" Id="rId167" Target="https://doi.org/10.1016/j.bpsc.2024.09.003" TargetMode="External" /><Relationship Type="http://schemas.openxmlformats.org/officeDocument/2006/relationships/hyperlink" Id="rId185" Target="https://doi.org/10.1016/j.celrep.2019.07.024" TargetMode="External" /><Relationship Type="http://schemas.openxmlformats.org/officeDocument/2006/relationships/hyperlink" Id="rId339" Target="https://doi.org/10.1016/j.cub.2011.01.069" TargetMode="External" /><Relationship Type="http://schemas.openxmlformats.org/officeDocument/2006/relationships/hyperlink" Id="rId219" Target="https://doi.org/10.1016/j.dcn.2018.10.004" TargetMode="External" /><Relationship Type="http://schemas.openxmlformats.org/officeDocument/2006/relationships/hyperlink" Id="rId311" Target="https://doi.org/10.1016/j.jneumeth.2013.10.017" TargetMode="External" /><Relationship Type="http://schemas.openxmlformats.org/officeDocument/2006/relationships/hyperlink" Id="rId240" Target="https://doi.org/10.1016/j.jneumeth.2016.03.001" TargetMode="External" /><Relationship Type="http://schemas.openxmlformats.org/officeDocument/2006/relationships/hyperlink" Id="rId270" Target="https://doi.org/10.1016/j.jneumeth.2020.108827" TargetMode="External" /><Relationship Type="http://schemas.openxmlformats.org/officeDocument/2006/relationships/hyperlink" Id="rId248" Target="https://doi.org/10.1016/j.media.2007.06.004" TargetMode="External" /><Relationship Type="http://schemas.openxmlformats.org/officeDocument/2006/relationships/hyperlink" Id="rId238" Target="https://doi.org/10.1016/j.mri.2017.12.029" TargetMode="External" /><Relationship Type="http://schemas.openxmlformats.org/officeDocument/2006/relationships/hyperlink" Id="rId284" Target="https://doi.org/10.1016/j.mri.2025.110452" TargetMode="External" /><Relationship Type="http://schemas.openxmlformats.org/officeDocument/2006/relationships/hyperlink" Id="rId179" Target="https://doi.org/10.1016/j.nbd.2019.04.010" TargetMode="External" /><Relationship Type="http://schemas.openxmlformats.org/officeDocument/2006/relationships/hyperlink" Id="rId183" Target="https://doi.org/10.1016/j.neubiorev.2019.07.024" TargetMode="External" /><Relationship Type="http://schemas.openxmlformats.org/officeDocument/2006/relationships/hyperlink" Id="rId274" Target="https://doi.org/10.1016/j.neubiorev.2022.104940" TargetMode="External" /><Relationship Type="http://schemas.openxmlformats.org/officeDocument/2006/relationships/hyperlink" Id="rId155" Target="https://doi.org/10.1016/j.neurobiolaging.2005.08.011" TargetMode="External" /><Relationship Type="http://schemas.openxmlformats.org/officeDocument/2006/relationships/hyperlink" Id="rId303" Target="https://doi.org/10.1016/j.neuroimage.2004.07.012" TargetMode="External" /><Relationship Type="http://schemas.openxmlformats.org/officeDocument/2006/relationships/hyperlink" Id="rId254" Target="https://doi.org/10.1016/j.neuroimage.2004.07.051" TargetMode="External" /><Relationship Type="http://schemas.openxmlformats.org/officeDocument/2006/relationships/hyperlink" Id="rId159" Target="https://doi.org/10.1016/j.neuroimage.2004.10.044" TargetMode="External" /><Relationship Type="http://schemas.openxmlformats.org/officeDocument/2006/relationships/hyperlink" Id="rId357" Target="https://doi.org/10.1016/j.neuroimage.2005.02.001" TargetMode="External" /><Relationship Type="http://schemas.openxmlformats.org/officeDocument/2006/relationships/hyperlink" Id="rId359" Target="https://doi.org/10.1016/j.neuroimage.2009.09.007" TargetMode="External" /><Relationship Type="http://schemas.openxmlformats.org/officeDocument/2006/relationships/hyperlink" Id="rId323" Target="https://doi.org/10.1016/j.neuroimage.2012.02.018" TargetMode="External" /><Relationship Type="http://schemas.openxmlformats.org/officeDocument/2006/relationships/hyperlink" Id="rId148" Target="https://doi.org/10.1016/j.neuroimage.2014.03.047" TargetMode="External" /><Relationship Type="http://schemas.openxmlformats.org/officeDocument/2006/relationships/hyperlink" Id="rId337" Target="https://doi.org/10.1016/j.neuroimage.2014.11.032" TargetMode="External" /><Relationship Type="http://schemas.openxmlformats.org/officeDocument/2006/relationships/hyperlink" Id="rId333" Target="https://doi.org/10.1016/j.neuroimage.2015.06.015" TargetMode="External" /><Relationship Type="http://schemas.openxmlformats.org/officeDocument/2006/relationships/hyperlink" Id="rId353" Target="https://doi.org/10.1016/j.neuroimage.2017.03.033" TargetMode="External" /><Relationship Type="http://schemas.openxmlformats.org/officeDocument/2006/relationships/hyperlink" Id="rId234" Target="https://doi.org/10.1016/j.neuroimage.2017.04.030" TargetMode="External" /><Relationship Type="http://schemas.openxmlformats.org/officeDocument/2006/relationships/hyperlink" Id="rId107" Target="https://doi.org/10.1016/j.neuroimage.2017.06.078" TargetMode="External" /><Relationship Type="http://schemas.openxmlformats.org/officeDocument/2006/relationships/hyperlink" Id="rId290" Target="https://doi.org/10.1016/j.neuroimage.2017.07.021" TargetMode="External" /><Relationship Type="http://schemas.openxmlformats.org/officeDocument/2006/relationships/hyperlink" Id="rId288" Target="https://doi.org/10.1016/j.neuroimage.2019.02.059" TargetMode="External" /><Relationship Type="http://schemas.openxmlformats.org/officeDocument/2006/relationships/hyperlink" Id="rId347" Target="https://doi.org/10.1016/j.neuroimage.2020.116532" TargetMode="External" /><Relationship Type="http://schemas.openxmlformats.org/officeDocument/2006/relationships/hyperlink" Id="rId295" Target="https://doi.org/10.1016/j.neuroimage.2021.118191" TargetMode="External" /><Relationship Type="http://schemas.openxmlformats.org/officeDocument/2006/relationships/hyperlink" Id="rId345" Target="https://doi.org/10.1016/j.neuroimage.2021.118430" TargetMode="External" /><Relationship Type="http://schemas.openxmlformats.org/officeDocument/2006/relationships/hyperlink" Id="rId331" Target="https://doi.org/10.1016/j.neuroscience.2017.09.037" TargetMode="External" /><Relationship Type="http://schemas.openxmlformats.org/officeDocument/2006/relationships/hyperlink" Id="rId313" Target="https://doi.org/10.1016/j.physa.2012.08.002" TargetMode="External" /><Relationship Type="http://schemas.openxmlformats.org/officeDocument/2006/relationships/hyperlink" Id="rId187" Target="https://doi.org/10.1016/j.pnpbp.2018.09.010" TargetMode="External" /><Relationship Type="http://schemas.openxmlformats.org/officeDocument/2006/relationships/hyperlink" Id="rId173" Target="https://doi.org/10.1016/j.pscychresns.2013.09.008" TargetMode="External" /><Relationship Type="http://schemas.openxmlformats.org/officeDocument/2006/relationships/hyperlink" Id="rId371" Target="https://doi.org/10.1016/j.pscychresns.2018.07.003" TargetMode="External" /><Relationship Type="http://schemas.openxmlformats.org/officeDocument/2006/relationships/hyperlink" Id="rId327" Target="https://doi.org/10.1016/j.tics.2009.10.011" TargetMode="External" /><Relationship Type="http://schemas.openxmlformats.org/officeDocument/2006/relationships/hyperlink" Id="rId92" Target="https://doi.org/10.1016/j.tics.2011.03.006" TargetMode="External" /><Relationship Type="http://schemas.openxmlformats.org/officeDocument/2006/relationships/hyperlink" Id="rId88" Target="https://doi.org/10.1016/j.tins.2013.03.001" TargetMode="External" /><Relationship Type="http://schemas.openxmlformats.org/officeDocument/2006/relationships/hyperlink" Id="rId205" Target="https://doi.org/10.1016/j.tins.2022.08.007" TargetMode="External" /><Relationship Type="http://schemas.openxmlformats.org/officeDocument/2006/relationships/hyperlink" Id="rId262" Target="https://doi.org/10.1016/s1053-8119(02)91132-8" TargetMode="External" /><Relationship Type="http://schemas.openxmlformats.org/officeDocument/2006/relationships/hyperlink" Id="rId221" Target="https://doi.org/10.1038/jcbfm.2012.33" TargetMode="External" /><Relationship Type="http://schemas.openxmlformats.org/officeDocument/2006/relationships/hyperlink" Id="rId121" Target="https://doi.org/10.1038/s41380-019-0426-0" TargetMode="External" /><Relationship Type="http://schemas.openxmlformats.org/officeDocument/2006/relationships/hyperlink" Id="rId119" Target="https://doi.org/10.1038/s41467-021-22742-8" TargetMode="External" /><Relationship Type="http://schemas.openxmlformats.org/officeDocument/2006/relationships/hyperlink" Id="rId217" Target="https://doi.org/10.1038/s41467-023-41686-9" TargetMode="External" /><Relationship Type="http://schemas.openxmlformats.org/officeDocument/2006/relationships/hyperlink" Id="rId260" Target="https://doi.org/10.1038/s41592-018-0235-4" TargetMode="External" /><Relationship Type="http://schemas.openxmlformats.org/officeDocument/2006/relationships/hyperlink" Id="rId307" Target="https://doi.org/10.1038/s41592-019-0686-2" TargetMode="External" /><Relationship Type="http://schemas.openxmlformats.org/officeDocument/2006/relationships/hyperlink" Id="rId103" Target="https://doi.org/10.1038/s41598-020-65500-4" TargetMode="External" /><Relationship Type="http://schemas.openxmlformats.org/officeDocument/2006/relationships/hyperlink" Id="rId343" Target="https://doi.org/10.1038/s41598-020-76263-3" TargetMode="External" /><Relationship Type="http://schemas.openxmlformats.org/officeDocument/2006/relationships/hyperlink" Id="rId242" Target="https://doi.org/10.1038/sdata.2016.44" TargetMode="External" /><Relationship Type="http://schemas.openxmlformats.org/officeDocument/2006/relationships/hyperlink" Id="rId153" Target="https://doi.org/10.1038/srep30895" TargetMode="External" /><Relationship Type="http://schemas.openxmlformats.org/officeDocument/2006/relationships/hyperlink" Id="rId143" Target="https://doi.org/10.1061/TACEAT.0006518" TargetMode="External" /><Relationship Type="http://schemas.openxmlformats.org/officeDocument/2006/relationships/hyperlink" Id="rId99" Target="https://doi.org/10.1063/1.4979043" TargetMode="External" /><Relationship Type="http://schemas.openxmlformats.org/officeDocument/2006/relationships/hyperlink" Id="rId201" Target="https://doi.org/10.1073/pnas.0800537105" TargetMode="External" /><Relationship Type="http://schemas.openxmlformats.org/officeDocument/2006/relationships/hyperlink" Id="rId141" Target="https://doi.org/10.1088/0967-3334/23/1/201" TargetMode="External" /><Relationship Type="http://schemas.openxmlformats.org/officeDocument/2006/relationships/hyperlink" Id="rId157" Target="https://doi.org/10.1093/cercor/bhae426" TargetMode="External" /><Relationship Type="http://schemas.openxmlformats.org/officeDocument/2006/relationships/hyperlink" Id="rId197" Target="https://doi.org/10.1093/cercor/bhl049" TargetMode="External" /><Relationship Type="http://schemas.openxmlformats.org/officeDocument/2006/relationships/hyperlink" Id="rId169" Target="https://doi.org/10.1101/2022.05.24.22275531" TargetMode="External" /><Relationship Type="http://schemas.openxmlformats.org/officeDocument/2006/relationships/hyperlink" Id="rId215" Target="https://doi.org/10.1101/2024.04.22.590555" TargetMode="External" /><Relationship Type="http://schemas.openxmlformats.org/officeDocument/2006/relationships/hyperlink" Id="rId373" Target="https://doi.org/10.1101/2025.06.07.657685" TargetMode="External" /><Relationship Type="http://schemas.openxmlformats.org/officeDocument/2006/relationships/hyperlink" Id="rId101" Target="https://doi.org/10.1103/PhysRevE.100.010301" TargetMode="External" /><Relationship Type="http://schemas.openxmlformats.org/officeDocument/2006/relationships/hyperlink" Id="rId123" Target="https://doi.org/10.1103/RevModPhys.90.031001" TargetMode="External" /><Relationship Type="http://schemas.openxmlformats.org/officeDocument/2006/relationships/hyperlink" Id="rId252" Target="https://doi.org/10.1109/42.906424" TargetMode="External" /><Relationship Type="http://schemas.openxmlformats.org/officeDocument/2006/relationships/hyperlink" Id="rId305" Target="https://doi.org/10.1109/TAU.1967.1161901" TargetMode="External" /><Relationship Type="http://schemas.openxmlformats.org/officeDocument/2006/relationships/hyperlink" Id="rId246" Target="https://doi.org/10.1109/TMI.2010.2046908" TargetMode="External" /><Relationship Type="http://schemas.openxmlformats.org/officeDocument/2006/relationships/hyperlink" Id="rId195" Target="https://doi.org/10.1111/j.1460-9568.2011.07748.x" TargetMode="External" /><Relationship Type="http://schemas.openxmlformats.org/officeDocument/2006/relationships/hyperlink" Id="rId363" Target="https://doi.org/10.1111/sjop.12411" TargetMode="External" /><Relationship Type="http://schemas.openxmlformats.org/officeDocument/2006/relationships/hyperlink" Id="rId321" Target="https://doi.org/10.1152/jn.00338.2011" TargetMode="External" /><Relationship Type="http://schemas.openxmlformats.org/officeDocument/2006/relationships/hyperlink" Id="rId335" Target="https://doi.org/10.1152/jn.00346.2005" TargetMode="External" /><Relationship Type="http://schemas.openxmlformats.org/officeDocument/2006/relationships/hyperlink" Id="rId109" Target="https://doi.org/10.1162/netn_a_00269" TargetMode="External" /><Relationship Type="http://schemas.openxmlformats.org/officeDocument/2006/relationships/hyperlink" Id="rId223" Target="https://doi.org/10.1177/0271678X18795426" TargetMode="External" /><Relationship Type="http://schemas.openxmlformats.org/officeDocument/2006/relationships/hyperlink" Id="rId95" Target="https://doi.org/10.1177/10738584231221766" TargetMode="External" /><Relationship Type="http://schemas.openxmlformats.org/officeDocument/2006/relationships/hyperlink" Id="rId111" Target="https://doi.org/10.1371/journal.pcbi.1002038" TargetMode="External" /><Relationship Type="http://schemas.openxmlformats.org/officeDocument/2006/relationships/hyperlink" Id="rId258" Target="https://doi.org/10.1371/journal.pcbi.1005350" TargetMode="External" /><Relationship Type="http://schemas.openxmlformats.org/officeDocument/2006/relationships/hyperlink" Id="rId129" Target="https://doi.org/10.1371/journal.pone.0000439" TargetMode="External" /><Relationship Type="http://schemas.openxmlformats.org/officeDocument/2006/relationships/hyperlink" Id="rId325" Target="https://doi.org/10.1371/journal.pone.0006626" TargetMode="External" /><Relationship Type="http://schemas.openxmlformats.org/officeDocument/2006/relationships/hyperlink" Id="rId309" Target="https://doi.org/10.1371/journal.pone.0063448" TargetMode="External" /><Relationship Type="http://schemas.openxmlformats.org/officeDocument/2006/relationships/hyperlink" Id="rId177" Target="https://doi.org/10.1371/journal.pone.0095146" TargetMode="External" /><Relationship Type="http://schemas.openxmlformats.org/officeDocument/2006/relationships/hyperlink" Id="rId171" Target="https://doi.org/10.1371/journal.pone.0169647" TargetMode="External" /><Relationship Type="http://schemas.openxmlformats.org/officeDocument/2006/relationships/hyperlink" Id="rId163" Target="https://doi.org/10.1371/journal.pone.0190081" TargetMode="External" /><Relationship Type="http://schemas.openxmlformats.org/officeDocument/2006/relationships/hyperlink" Id="rId227" Target="https://doi.org/10.1523/JNEUROSCI.1214-18.2018" TargetMode="External" /><Relationship Type="http://schemas.openxmlformats.org/officeDocument/2006/relationships/hyperlink" Id="rId127" Target="https://doi.org/10.1523/JNEUROSCI.17-15-05666.1997" TargetMode="External" /><Relationship Type="http://schemas.openxmlformats.org/officeDocument/2006/relationships/hyperlink" Id="rId150" Target="https://doi.org/10.1523/JNEUROSCI.2111-11.2011" TargetMode="External" /><Relationship Type="http://schemas.openxmlformats.org/officeDocument/2006/relationships/hyperlink" Id="rId199" Target="https://doi.org/10.1523/JNEUROSCI.23-35-11167.2003" TargetMode="External" /><Relationship Type="http://schemas.openxmlformats.org/officeDocument/2006/relationships/hyperlink" Id="rId203" Target="https://doi.org/10.1523/JNEUROSCI.2771-11.2012" TargetMode="External" /><Relationship Type="http://schemas.openxmlformats.org/officeDocument/2006/relationships/hyperlink" Id="rId97" Target="https://doi.org/10.1523/JNEUROSCI.5990-11.2012" TargetMode="External" /><Relationship Type="http://schemas.openxmlformats.org/officeDocument/2006/relationships/hyperlink" Id="rId175" Target="https://doi.org/10.18632/oncotarget.19860" TargetMode="External" /><Relationship Type="http://schemas.openxmlformats.org/officeDocument/2006/relationships/hyperlink" Id="rId268" Target="https://doi.org/10.21105/joss.03669" TargetMode="External" /><Relationship Type="http://schemas.openxmlformats.org/officeDocument/2006/relationships/hyperlink" Id="rId318" Target="https://doi.org/10.2307/2331554" TargetMode="External" /><Relationship Type="http://schemas.openxmlformats.org/officeDocument/2006/relationships/hyperlink" Id="rId181" Target="https://doi.org/10.3109/15622975.2015.1085597" TargetMode="External" /><Relationship Type="http://schemas.openxmlformats.org/officeDocument/2006/relationships/hyperlink" Id="rId365" Target="https://doi.org/10.3389/fnhum.2021.644079" TargetMode="External" /><Relationship Type="http://schemas.openxmlformats.org/officeDocument/2006/relationships/hyperlink" Id="rId211" Target="https://doi.org/10.3389/fphy.2021.619661" TargetMode="External" /><Relationship Type="http://schemas.openxmlformats.org/officeDocument/2006/relationships/hyperlink" Id="rId207" Target="https://doi.org/10.3389/fphy.2021.639389" TargetMode="External" /><Relationship Type="http://schemas.openxmlformats.org/officeDocument/2006/relationships/hyperlink" Id="rId189" Target="https://doi.org/10.3389/fpsyt.2018.00076" TargetMode="External" /><Relationship Type="http://schemas.openxmlformats.org/officeDocument/2006/relationships/hyperlink" Id="rId250" Target="https://doi.org/10.5281/zenodo.50186" TargetMode="External" /><Relationship Type="http://schemas.openxmlformats.org/officeDocument/2006/relationships/hyperlink" Id="rId244" Target="https://doi.org/10.5281/zenodo.8436509" TargetMode="External" /><Relationship Type="http://schemas.openxmlformats.org/officeDocument/2006/relationships/hyperlink" Id="rId209" Target="https://doi.org/10.5463/thesis.144" TargetMode="External" /><Relationship Type="http://schemas.openxmlformats.org/officeDocument/2006/relationships/hyperlink" Id="rId225" Target="https://doi.org/10.58530/2024/1922" TargetMode="External" /><Relationship Type="http://schemas.openxmlformats.org/officeDocument/2006/relationships/hyperlink" Id="rId105" Target="https://doi.org/10.7554/eLife.55684" TargetMode="External" /><Relationship Type="http://schemas.openxmlformats.org/officeDocument/2006/relationships/hyperlink" Id="rId33" Target="https://github.com/WeberLab/EI_Hurst_Analysis" TargetMode="External" /><Relationship Type="http://schemas.openxmlformats.org/officeDocument/2006/relationships/hyperlink" Id="rId83" Target="https://weberlab.github.io/EI_Hurst_Manuscript/" TargetMode="External" /><Relationship Type="http://schemas.openxmlformats.org/officeDocument/2006/relationships/hyperlink" Id="rId117" Target="https://www.ncbi.nlm.nih.gov/pmc/articles/PMC6748642" TargetMode="External" /><Relationship Type="http://schemas.openxmlformats.org/officeDocument/2006/relationships/hyperlink" Id="rId20" Target="mailto:aweber@bcchr.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LibreOffice/7.3.7.2$Linux_X86_64 LibreOffice_project/30$Build-2</Application>
  <AppVersion>15.0000</AppVersion>
  <Pages>1</Pages>
  <Words>53</Words>
  <Characters>281</Characters>
  <CharactersWithSpaces>370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Brain’s E:I Balance Really Shape Long-Range Temporal Correlations? Lessons Learned from 3T MRI</dc:title>
  <dc:creator>Lydia Sochan1, Jessica Archibald4, and Alexander Mark Weber1,2,3,✉</dc:creator>
  <cp:keywords>Hurst exponent, long range temporal correlation, excitatory / inhibitory balance, criticality, complex systems, visual task, functional magnetic resnonance imaging, magnetic resonance spectroscopy, functional magnetic resonance spectroscopy</cp:keywords>
  <dcterms:created xsi:type="dcterms:W3CDTF">2026-04-22T00:05:50Z</dcterms:created>
  <dcterms:modified xsi:type="dcterms:W3CDTF">2026-04-22T00:05:50Z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style">
    <vt:lpwstr>none</vt:lpwstr>
  </property>
  <property fmtid="{D5CDD505-2E9C-101B-9397-08002B2CF9AE}" pid="3" name="authors">
    <vt:lpwstr/>
  </property>
  <property fmtid="{D5CDD505-2E9C-101B-9397-08002B2CF9AE}" pid="4" name="biblio-config">
    <vt:lpwstr>True</vt:lpwstr>
  </property>
  <property fmtid="{D5CDD505-2E9C-101B-9397-08002B2CF9AE}" pid="5" name="bibliography">
    <vt:lpwstr>EIHurst.bib</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ode-links">
    <vt:lpwstr/>
  </property>
  <property fmtid="{D5CDD505-2E9C-101B-9397-08002B2CF9AE}" pid="11" name="crossref">
    <vt:lpwstr/>
  </property>
  <property fmtid="{D5CDD505-2E9C-101B-9397-08002B2CF9AE}" pid="12" name="csl">
    <vt:lpwstr>nature.csl</vt:lpwstr>
  </property>
  <property fmtid="{D5CDD505-2E9C-101B-9397-08002B2CF9AE}" pid="13" name="date">
    <vt:lpwstr>2026-04-10</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line-numbers">
    <vt:lpwstr>False</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bl-cap-location">
    <vt:lpwstr>bottom</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itlerunning">
    <vt:lpwstr/>
  </property>
  <property fmtid="{D5CDD505-2E9C-101B-9397-08002B2CF9AE}" pid="30" name="toc-title">
    <vt:lpwstr>Table of contents</vt:lpwstr>
  </property>
  <property fmtid="{D5CDD505-2E9C-101B-9397-08002B2CF9AE}" pid="31" name="unroll-markdown-cells">
    <vt:lpwstr>True</vt:lpwstr>
  </property>
</Properties>
</file>