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8.png" ContentType="image/png"/>
  <Override PartName="/word/media/rId42.png" ContentType="image/png"/>
  <Override PartName="/word/media/rId57.png" ContentType="image/png"/>
  <Override PartName="/word/media/rId69.png" ContentType="image/png"/>
  <Override PartName="/word/media/rId52.png" ContentType="image/png"/>
  <Override PartName="/word/media/rId25.png" ContentType="image/png"/>
  <Override PartName="/word/media/rId47.png" ContentType="image/png"/>
  <Override PartName="/word/media/rId64.png" ContentType="image/png"/>
  <Override PartName="/word/media/rId380.png" ContentType="image/png"/>
  <Override PartName="/word/media/rId392.png" ContentType="image/png"/>
  <Override PartName="/word/media/rId399.png" ContentType="image/png"/>
  <Override PartName="/word/media/rId403.png" ContentType="image/png"/>
  <Override PartName="/word/media/rId413.png" ContentType="image/png"/>
  <Override PartName="/word/media/rId417.png" ContentType="image/png"/>
  <Override PartName="/word/media/rId4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the</w:t>
      </w:r>
      <w:r>
        <w:t xml:space="preserve"> </w:t>
      </w:r>
      <w:r>
        <w:t xml:space="preserve">Brain’s</w:t>
      </w:r>
      <w:r>
        <w:t xml:space="preserve"> </w:t>
      </w:r>
      <w:r>
        <w:t xml:space="preserve">E:I</w:t>
      </w:r>
      <w:r>
        <w:t xml:space="preserve"> </w:t>
      </w:r>
      <w:r>
        <w:t xml:space="preserve">Balance</w:t>
      </w:r>
      <w:r>
        <w:t xml:space="preserve"> </w:t>
      </w:r>
      <w:r>
        <w:t xml:space="preserve">Really</w:t>
      </w:r>
      <w:r>
        <w:t xml:space="preserve"> </w:t>
      </w:r>
      <w:r>
        <w:t xml:space="preserve">Shape</w:t>
      </w:r>
      <w:r>
        <w:t xml:space="preserve"> </w:t>
      </w:r>
      <w:r>
        <w:t xml:space="preserve">Long-Range</w:t>
      </w:r>
      <w:r>
        <w:t xml:space="preserve"> </w:t>
      </w:r>
      <w:r>
        <w:t xml:space="preserve">Temporal</w:t>
      </w:r>
      <w:r>
        <w:t xml:space="preserve"> </w:t>
      </w:r>
      <w:r>
        <w:t xml:space="preserve">Correlations?</w:t>
      </w:r>
      <w:r>
        <w:t xml:space="preserve"> </w:t>
      </w:r>
      <w:r>
        <w:t xml:space="preserve">Lessons</w:t>
      </w:r>
      <w:r>
        <w:t xml:space="preserve"> </w:t>
      </w:r>
      <w:r>
        <w:t xml:space="preserve">Learned</w:t>
      </w:r>
      <w:r>
        <w:t xml:space="preserve"> </w:t>
      </w:r>
      <w:r>
        <w:t xml:space="preserve">from</w:t>
      </w:r>
      <w:r>
        <w:t xml:space="preserve"> </w:t>
      </w:r>
      <w:r>
        <w:t xml:space="preserve">3T</w:t>
      </w:r>
      <w:r>
        <w:t xml:space="preserve"> </w:t>
      </w:r>
      <w:r>
        <w:t xml:space="preserve">MRI</w:t>
      </w:r>
    </w:p>
    <w:p>
      <w:pPr>
        <w:pStyle w:val="Author"/>
      </w:pPr>
      <w:r>
        <w:t xml:space="preserve">Lydia</w:t>
      </w:r>
      <w:r>
        <w:t xml:space="preserve"> </w:t>
      </w:r>
      <w:r>
        <w:t xml:space="preserve">Sochan</w:t>
      </w:r>
      <w:r>
        <w:rPr>
          <w:vertAlign w:val="superscript"/>
        </w:rPr>
        <w:t xml:space="preserve">1</w:t>
      </w:r>
      <w:r>
        <w:t xml:space="preserve">,</w:t>
      </w:r>
      <w:r>
        <w:t xml:space="preserve"> </w:t>
      </w:r>
      <w:r>
        <w:t xml:space="preserve">Jessica</w:t>
      </w:r>
      <w:r>
        <w:t xml:space="preserve"> </w:t>
      </w:r>
      <w:r>
        <w:t xml:space="preserve">Archibald</w:t>
      </w:r>
      <w:r>
        <w:rPr>
          <w:vertAlign w:val="superscript"/>
        </w:rPr>
        <w:t xml:space="preserve">4</w:t>
      </w:r>
      <w:r>
        <w:t xml:space="preserve">,</w:t>
      </w:r>
      <w:r>
        <w:t xml:space="preserve"> </w:t>
      </w:r>
      <w:r>
        <w:t xml:space="preserve">and</w:t>
      </w:r>
      <w:r>
        <w:t xml:space="preserve"> </w:t>
      </w:r>
      <w:r>
        <w:t xml:space="preserve">Alexander</w:t>
      </w:r>
      <w:r>
        <w:t xml:space="preserve"> </w:t>
      </w:r>
      <w:r>
        <w:t xml:space="preserve">Mark</w:t>
      </w:r>
      <w:r>
        <w:t xml:space="preserve"> </w:t>
      </w:r>
      <w:r>
        <w:t xml:space="preserve">Weber</w:t>
      </w:r>
      <w:r>
        <w:rPr>
          <w:vertAlign w:val="superscript"/>
        </w:rPr>
        <w:t xml:space="preserve">1</w:t>
      </w:r>
      <w:r>
        <w:rPr>
          <w:vertAlign w:val="superscript"/>
        </w:rPr>
        <w:t xml:space="preserve">,</w:t>
      </w:r>
      <w:r>
        <w:rPr>
          <w:vertAlign w:val="superscript"/>
        </w:rPr>
        <w:t xml:space="preserve">2</w:t>
      </w:r>
      <w:r>
        <w:rPr>
          <w:vertAlign w:val="superscript"/>
        </w:rPr>
        <w:t xml:space="preserve">,</w:t>
      </w:r>
      <w:r>
        <w:rPr>
          <w:vertAlign w:val="superscript"/>
        </w:rPr>
        <w:t xml:space="preserve">3</w:t>
      </w:r>
      <w:r>
        <w:rPr>
          <w:vertAlign w:val="superscript"/>
        </w:rPr>
        <w:t xml:space="preserve">,</w:t>
      </w:r>
      <w:r>
        <w:rPr>
          <w:vertAlign w:val="superscript"/>
        </w:rPr>
        <w:t xml:space="preserve">✉</w:t>
      </w:r>
    </w:p>
    <w:p>
      <w:pPr>
        <w:pStyle w:val="Date"/>
      </w:pPr>
      <w:r>
        <w:t xml:space="preserve">2026-04-10</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w:t>
      </w:r>
      <w:r>
        <w:t xml:space="preserve">critical point</w:t>
      </w:r>
      <w:r>
        <w:t xml:space="preserve">’</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w:t>
      </w:r>
      <w:r>
        <w:t xml:space="preserve">control parameter</w:t>
      </w:r>
      <w:r>
        <w:t xml:space="preserve">’</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65,66</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43,44,67,68</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35,69</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70–73</w:t>
      </w:r>
      <w:r>
        <w:t xml:space="preserve">. We hypothesized that H and Glu would increase during movie-watching</w:t>
      </w:r>
      <w:r>
        <w:rPr>
          <w:vertAlign w:val="superscript"/>
        </w:rPr>
        <w:t xml:space="preserve">35,70,71</w:t>
      </w:r>
      <w:r>
        <w:t xml:space="preserve">, that GABA would decrease</w:t>
      </w:r>
      <w:r>
        <w:rPr>
          <w:vertAlign w:val="superscript"/>
        </w:rPr>
        <w:t xml:space="preserve">72,73</w:t>
      </w:r>
      <w:r>
        <w:t xml:space="preserve">, and that H would be positively correlated with E:I in both conditions</w:t>
      </w:r>
      <w:r>
        <w:rPr>
          <w:vertAlign w:val="superscript"/>
        </w:rPr>
        <w:t xml:space="preserve">12</w:t>
      </w:r>
      <w:r>
        <w:t xml:space="preserve">.</w:t>
      </w:r>
    </w:p>
    <w:bookmarkEnd w:id="22"/>
    <w:bookmarkStart w:id="41"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30"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74</w:t>
      </w:r>
      <w:r>
        <w:t xml:space="preserve">, and single-voxel MEscher-Garwood Point-REsolved SpectroScopy (MEGA-PRESS)</w:t>
      </w:r>
      <w:r>
        <w:rPr>
          <w:vertAlign w:val="superscript"/>
        </w:rPr>
        <w:t xml:space="preserve">75</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w:t>
      </w:r>
      <w:r>
        <w:t xml:space="preserve">Jungles</w:t>
      </w:r>
      <w:r>
        <w:t xml:space="preserve">”</w:t>
      </w:r>
      <w:r>
        <w:rPr>
          <w:vertAlign w:val="superscript"/>
        </w:rPr>
        <w:t xml:space="preserve">76</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29" w:name="cell-fig-method"/>
    <w:tbl>
      <w:tblPr>
        <w:tblStyle w:val="Table"/>
        <w:tblW w:type="pct" w:w="5000"/>
        <w:tblLayout w:type="fixed"/>
        <w:tblLook w:firstRow="0" w:lastRow="0" w:firstColumn="0" w:lastColumn="0" w:noHBand="0" w:noVBand="0" w:val="0000"/>
      </w:tblPr>
      <w:tblGrid>
        <w:gridCol w:w="7920"/>
      </w:tblGrid>
      <w:tr>
        <w:tc>
          <w:tcPr/>
          <w:bookmarkStart w:id="28" w:name="fig-method"/>
          <w:p>
            <w:pPr>
              <w:pStyle w:val="Compact"/>
              <w:jc w:val="center"/>
            </w:pPr>
            <w:r>
              <w:drawing>
                <wp:inline>
                  <wp:extent cx="4620126" cy="3696101"/>
                  <wp:effectExtent b="0" l="0" r="0" t="0"/>
                  <wp:docPr descr="" title="" id="26" name="Picture"/>
                  <a:graphic>
                    <a:graphicData uri="http://schemas.openxmlformats.org/drawingml/2006/picture">
                      <pic:pic>
                        <pic:nvPicPr>
                          <pic:cNvPr descr="index_files/figure-docx/fig-method-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77</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End w:id="30"/>
    <w:bookmarkStart w:id="32"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left"/>
                    <w:jc w:val="center"/>
                  </w:pPr>
                  <w:r>
                    <w:t xml:space="preserve">Sequence</w:t>
                  </w:r>
                </w:p>
              </w:tc>
              <w:tc>
                <w:tcPr/>
                <w:p>
                  <w:pPr>
                    <w:pStyle w:val="Compact"/>
                    <w:jc w:val="left"/>
                    <w:jc w:val="center"/>
                  </w:pPr>
                  <w:r>
                    <w:t xml:space="preserve">TE (ms)</w:t>
                  </w:r>
                </w:p>
              </w:tc>
              <w:tc>
                <w:tcPr/>
                <w:p>
                  <w:pPr>
                    <w:pStyle w:val="Compact"/>
                    <w:jc w:val="left"/>
                    <w:jc w:val="center"/>
                  </w:pPr>
                  <w:r>
                    <w:t xml:space="preserve">TR (ms)</w:t>
                  </w:r>
                </w:p>
              </w:tc>
              <w:tc>
                <w:tcPr/>
                <w:p>
                  <w:pPr>
                    <w:pStyle w:val="Compact"/>
                    <w:jc w:val="left"/>
                    <w:jc w:val="center"/>
                  </w:pPr>
                  <w:r>
                    <w:t xml:space="preserve">Flip Angle</w:t>
                  </w:r>
                </w:p>
              </w:tc>
              <w:tc>
                <w:tcPr/>
                <w:p>
                  <w:pPr>
                    <w:pStyle w:val="Compact"/>
                    <w:jc w:val="left"/>
                    <w:jc w:val="center"/>
                  </w:pPr>
                  <w:r>
                    <w:t xml:space="preserve">FOV</w:t>
                  </w:r>
                </w:p>
              </w:tc>
              <w:tc>
                <w:tcPr/>
                <w:p>
                  <w:pPr>
                    <w:pStyle w:val="Compact"/>
                    <w:jc w:val="left"/>
                    <w:jc w:val="center"/>
                  </w:pPr>
                  <w:r>
                    <w:t xml:space="preserve">Slice Thickness (mm)</w:t>
                  </w:r>
                </w:p>
              </w:tc>
              <w:tc>
                <w:tcPr/>
                <w:p>
                  <w:pPr>
                    <w:pStyle w:val="Compact"/>
                    <w:jc w:val="left"/>
                    <w:jc w:val="center"/>
                  </w:pPr>
                  <w:r>
                    <w:t xml:space="preserve">In-Plane Resolution (mm²)</w:t>
                  </w:r>
                </w:p>
              </w:tc>
              <w:tc>
                <w:tcPr/>
                <w:p>
                  <w:pPr>
                    <w:pStyle w:val="Compact"/>
                    <w:jc w:val="left"/>
                    <w:jc w:val="center"/>
                  </w:pPr>
                  <w:r>
                    <w:t xml:space="preserve">Other Parameters</w:t>
                  </w:r>
                </w:p>
              </w:tc>
              <w:tc>
                <w:tcPr/>
                <w:p>
                  <w:pPr>
                    <w:pStyle w:val="Compact"/>
                    <w:jc w:val="left"/>
                    <w:jc w:val="center"/>
                  </w:pPr>
                  <w:r>
                    <w:t xml:space="preserve">Time (mins)</w:t>
                  </w:r>
                </w:p>
              </w:tc>
            </w:tr>
            <w:tr>
              <w:tc>
                <w:tcPr/>
                <w:p>
                  <w:pPr>
                    <w:pStyle w:val="Compact"/>
                    <w:jc w:val="left"/>
                    <w:jc w:val="center"/>
                  </w:pPr>
                  <w:r>
                    <w:t xml:space="preserve">3D T1-weighted FSPGR</w:t>
                  </w:r>
                </w:p>
              </w:tc>
              <w:tc>
                <w:tcPr/>
                <w:p>
                  <w:pPr>
                    <w:pStyle w:val="Compact"/>
                    <w:jc w:val="left"/>
                    <w:jc w:val="center"/>
                  </w:pPr>
                  <w:r>
                    <w:t xml:space="preserve">2.176</w:t>
                  </w:r>
                </w:p>
              </w:tc>
              <w:tc>
                <w:tcPr/>
                <w:p>
                  <w:pPr>
                    <w:pStyle w:val="Compact"/>
                    <w:jc w:val="left"/>
                    <w:jc w:val="center"/>
                  </w:pPr>
                  <w:r>
                    <w:t xml:space="preserve">7.216</w:t>
                  </w:r>
                </w:p>
              </w:tc>
              <w:tc>
                <w:tcPr/>
                <w:p>
                  <w:pPr>
                    <w:pStyle w:val="Compact"/>
                    <w:jc w:val="left"/>
                    <w:jc w:val="center"/>
                  </w:pPr>
                  <w:r>
                    <w:t xml:space="preserve">12</w:t>
                  </w:r>
                </w:p>
              </w:tc>
              <w:tc>
                <w:tcPr/>
                <w:p>
                  <w:pPr>
                    <w:pStyle w:val="Compact"/>
                    <w:jc w:val="left"/>
                    <w:jc w:val="center"/>
                  </w:pPr>
                  <w:r>
                    <w:t xml:space="preserve">256 ×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5</w:t>
                  </w:r>
                </w:p>
              </w:tc>
            </w:tr>
            <w:tr>
              <w:tc>
                <w:tcPr/>
                <w:p>
                  <w:pPr>
                    <w:pStyle w:val="Compact"/>
                    <w:jc w:val="left"/>
                    <w:jc w:val="center"/>
                  </w:pPr>
                  <w:r>
                    <w:t xml:space="preserve">3D T2-weighted CUBE</w:t>
                  </w:r>
                </w:p>
              </w:tc>
              <w:tc>
                <w:tcPr/>
                <w:p>
                  <w:pPr>
                    <w:pStyle w:val="Compact"/>
                    <w:jc w:val="left"/>
                    <w:jc w:val="center"/>
                  </w:pPr>
                  <w:r>
                    <w:t xml:space="preserve">75.242</w:t>
                  </w:r>
                </w:p>
              </w:tc>
              <w:tc>
                <w:tcPr/>
                <w:p>
                  <w:pPr>
                    <w:pStyle w:val="Compact"/>
                    <w:jc w:val="left"/>
                    <w:jc w:val="center"/>
                  </w:pPr>
                  <w:r>
                    <w:t xml:space="preserve">2,504.0</w:t>
                  </w:r>
                </w:p>
              </w:tc>
              <w:tc>
                <w:tcPr/>
                <w:p>
                  <w:pPr>
                    <w:pStyle w:val="Compact"/>
                    <w:jc w:val="left"/>
                    <w:jc w:val="center"/>
                  </w:pPr>
                  <w:r>
                    <w:t xml:space="preserve">90</w:t>
                  </w:r>
                </w:p>
              </w:tc>
              <w:tc>
                <w:tcPr/>
                <w:p>
                  <w:pPr>
                    <w:pStyle w:val="Compact"/>
                    <w:jc w:val="left"/>
                    <w:jc w:val="center"/>
                  </w:pPr>
                  <w:r>
                    <w:t xml:space="preserve">256 x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4</w:t>
                  </w:r>
                </w:p>
              </w:tc>
            </w:tr>
            <w:tr>
              <w:tc>
                <w:tcPr/>
                <w:p>
                  <w:pPr>
                    <w:pStyle w:val="Compact"/>
                    <w:jc w:val="left"/>
                    <w:jc w:val="center"/>
                  </w:pPr>
                  <w:r>
                    <w:t xml:space="preserve">2D EPI Multi-Echo fMRI</w:t>
                  </w:r>
                </w:p>
              </w:tc>
              <w:tc>
                <w:tcPr/>
                <w:p>
                  <w:pPr>
                    <w:pStyle w:val="Compact"/>
                    <w:jc w:val="left"/>
                    <w:jc w:val="center"/>
                  </w:pPr>
                  <w:r>
                    <w:t xml:space="preserve">12.2, 35.352, 58.504</w:t>
                  </w:r>
                </w:p>
              </w:tc>
              <w:tc>
                <w:tcPr/>
                <w:p>
                  <w:pPr>
                    <w:pStyle w:val="Compact"/>
                    <w:jc w:val="left"/>
                    <w:jc w:val="center"/>
                  </w:pPr>
                  <w:r>
                    <w:t xml:space="preserve">1,500</w:t>
                  </w:r>
                </w:p>
              </w:tc>
              <w:tc>
                <w:tcPr/>
                <w:p>
                  <w:pPr>
                    <w:pStyle w:val="Compact"/>
                    <w:jc w:val="left"/>
                    <w:jc w:val="center"/>
                  </w:pPr>
                  <w:r>
                    <w:t xml:space="preserve">52</w:t>
                  </w:r>
                </w:p>
              </w:tc>
              <w:tc>
                <w:tcPr/>
                <w:p>
                  <w:pPr>
                    <w:pStyle w:val="Compact"/>
                    <w:jc w:val="left"/>
                    <w:jc w:val="center"/>
                  </w:pPr>
                  <w:r>
                    <w:t xml:space="preserve">64 x 64</w:t>
                  </w:r>
                </w:p>
              </w:tc>
              <w:tc>
                <w:tcPr/>
                <w:p>
                  <w:pPr>
                    <w:pStyle w:val="Compact"/>
                    <w:jc w:val="left"/>
                    <w:jc w:val="center"/>
                  </w:pPr>
                  <w:r>
                    <w:t xml:space="preserve">3.6</w:t>
                  </w:r>
                </w:p>
              </w:tc>
              <w:tc>
                <w:tcPr/>
                <w:p>
                  <w:pPr>
                    <w:pStyle w:val="Compact"/>
                    <w:jc w:val="left"/>
                    <w:jc w:val="center"/>
                  </w:pPr>
                  <w:r>
                    <w:t xml:space="preserve">3.5938 × 3.5938</w:t>
                  </w:r>
                </w:p>
              </w:tc>
              <w:tc>
                <w:tcPr/>
                <w:p>
                  <w:pPr>
                    <w:pStyle w:val="Compact"/>
                    <w:jc w:val="left"/>
                    <w:jc w:val="center"/>
                  </w:pPr>
                  <w:r>
                    <w:t xml:space="preserve">Acceleration factor = 6</w:t>
                  </w:r>
                </w:p>
              </w:tc>
              <w:tc>
                <w:tcPr/>
                <w:p>
                  <w:pPr>
                    <w:pStyle w:val="Compact"/>
                    <w:jc w:val="left"/>
                    <w:jc w:val="center"/>
                  </w:pPr>
                  <w:r>
                    <w:t xml:space="preserve">12</w:t>
                  </w:r>
                </w:p>
              </w:tc>
            </w:tr>
            <w:tr>
              <w:tc>
                <w:tcPr/>
                <w:p>
                  <w:pPr>
                    <w:pStyle w:val="Compact"/>
                    <w:jc w:val="left"/>
                    <w:jc w:val="center"/>
                  </w:pPr>
                  <w:r>
                    <w:t xml:space="preserve">sLASER</w:t>
                  </w:r>
                </w:p>
              </w:tc>
              <w:tc>
                <w:tcPr/>
                <w:p>
                  <w:pPr>
                    <w:pStyle w:val="Compact"/>
                    <w:jc w:val="left"/>
                    <w:jc w:val="center"/>
                  </w:pPr>
                  <w:r>
                    <w:t xml:space="preserve">35</w:t>
                  </w:r>
                </w:p>
              </w:tc>
              <w:tc>
                <w:tcPr/>
                <w:p>
                  <w:pPr>
                    <w:pStyle w:val="Compact"/>
                    <w:jc w:val="left"/>
                    <w:jc w:val="center"/>
                  </w:pPr>
                  <w:r>
                    <w:t xml:space="preserve">2,000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Spectral width = 5,000 Hz; Data points = 4,096</w:t>
                  </w:r>
                </w:p>
              </w:tc>
              <w:tc>
                <w:tcPr/>
                <w:p>
                  <w:pPr>
                    <w:pStyle w:val="Compact"/>
                    <w:jc w:val="left"/>
                    <w:jc w:val="center"/>
                  </w:pPr>
                  <w:r>
                    <w:t xml:space="preserve">4</w:t>
                  </w:r>
                </w:p>
              </w:tc>
            </w:tr>
            <w:tr>
              <w:tc>
                <w:tcPr/>
                <w:p>
                  <w:pPr>
                    <w:pStyle w:val="Compact"/>
                    <w:jc w:val="left"/>
                    <w:jc w:val="center"/>
                  </w:pPr>
                  <w:r>
                    <w:t xml:space="preserve">MEGA-PRESS</w:t>
                  </w:r>
                </w:p>
              </w:tc>
              <w:tc>
                <w:tcPr/>
                <w:p>
                  <w:pPr>
                    <w:pStyle w:val="Compact"/>
                    <w:jc w:val="left"/>
                    <w:jc w:val="center"/>
                  </w:pPr>
                  <w:r>
                    <w:t xml:space="preserve">68</w:t>
                  </w:r>
                </w:p>
              </w:tc>
              <w:tc>
                <w:tcPr/>
                <w:p>
                  <w:pPr>
                    <w:pStyle w:val="Compact"/>
                    <w:jc w:val="left"/>
                    <w:jc w:val="center"/>
                  </w:pPr>
                  <w:r>
                    <w:t xml:space="preserve">1,800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ON, 128 OFF; Spectral width = 5,000 Hz; Data points = 4,096</w:t>
                  </w:r>
                </w:p>
              </w:tc>
              <w:tc>
                <w:tcPr/>
                <w:p>
                  <w:pPr>
                    <w:pStyle w:val="Compact"/>
                    <w:jc w:val="left"/>
                    <w:jc w:val="center"/>
                  </w:pPr>
                  <w:r>
                    <w:t xml:space="preserve">8</w:t>
                  </w:r>
                </w:p>
              </w:tc>
            </w:tr>
          </w:tbl>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31"/>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78</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79</w:t>
      </w:r>
      <w:r>
        <w:t xml:space="preserve">. Finally, blip-up and blip-down spin-echo versions of the fMRI sequence were acquired at the end to estimate the B0 non-uniformity map for fMRI phase distortion correction.</w:t>
      </w:r>
    </w:p>
    <w:bookmarkEnd w:id="32"/>
    <w:bookmarkStart w:id="36"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3">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80</w:t>
      </w:r>
      <w:r>
        <w:t xml:space="preserve"> </w:t>
      </w:r>
      <w:r>
        <w:t xml:space="preserve">(v1.0.20211006) and then to Brain Imaging Data Structure (BIDS)</w:t>
      </w:r>
      <w:r>
        <w:rPr>
          <w:vertAlign w:val="superscript"/>
        </w:rPr>
        <w:t xml:space="preserve">81</w:t>
      </w:r>
      <w:r>
        <w:t xml:space="preserve"> </w:t>
      </w:r>
      <w:r>
        <w:t xml:space="preserve">format using</w:t>
      </w:r>
      <w:r>
        <w:t xml:space="preserve"> </w:t>
      </w:r>
      <w:r>
        <w:rPr>
          <w:rStyle w:val="VerbatimChar"/>
        </w:rPr>
        <w:t xml:space="preserve">dcm2bids</w:t>
      </w:r>
      <w:r>
        <w:rPr>
          <w:vertAlign w:val="superscript"/>
        </w:rPr>
        <w:t xml:space="preserve">82</w:t>
      </w:r>
      <w:r>
        <w:t xml:space="preserve"> </w:t>
      </w:r>
      <w:r>
        <w:t xml:space="preserve">(v2.1.6). MRS files were downloaded as raw P files.</w:t>
      </w:r>
    </w:p>
    <w:bookmarkStart w:id="34"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83</w:t>
      </w:r>
      <w:r>
        <w:t xml:space="preserve"> </w:t>
      </w:r>
      <w:r>
        <w:t xml:space="preserve">(</w:t>
      </w:r>
      <w:r>
        <w:rPr>
          <w:rStyle w:val="VerbatimChar"/>
        </w:rPr>
        <w:t xml:space="preserve">ANTs</w:t>
      </w:r>
      <w:r>
        <w:rPr>
          <w:vertAlign w:val="superscript"/>
        </w:rPr>
        <w:t xml:space="preserve">84</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85</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86</w:t>
      </w:r>
      <w:r>
        <w:t xml:space="preserve"> </w:t>
      </w:r>
      <w:r>
        <w:t xml:space="preserve">(</w:t>
      </w:r>
      <w:r>
        <w:rPr>
          <w:rStyle w:val="VerbatimChar"/>
        </w:rPr>
        <w:t xml:space="preserve">FSL</w:t>
      </w:r>
      <w:r>
        <w:rPr>
          <w:vertAlign w:val="superscript"/>
        </w:rPr>
        <w:t xml:space="preserve">87</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88</w:t>
      </w:r>
      <w:r>
        <w:t xml:space="preserve"> </w:t>
      </w:r>
      <w:r>
        <w:t xml:space="preserve">(</w:t>
      </w:r>
      <w:r>
        <w:rPr>
          <w:rStyle w:val="VerbatimChar"/>
        </w:rPr>
        <w:t xml:space="preserve">FreeSurfer</w:t>
      </w:r>
      <w:r>
        <w:rPr>
          <w:vertAlign w:val="superscript"/>
        </w:rPr>
        <w:t xml:space="preserve">88</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89</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84</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4"/>
    <w:bookmarkStart w:id="35"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90</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91</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92</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93</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88</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94</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5"/>
    <w:bookmarkEnd w:id="36"/>
    <w:bookmarkStart w:id="38"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95</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96</w:t>
      </w:r>
      <w:r>
        <w:t xml:space="preserve">.</w:t>
      </w:r>
      <w:r>
        <w:t xml:space="preserve"> </w:t>
      </w:r>
      <w:r>
        <w:t xml:space="preserve">Because of substantial overlap among Glu and Gln resonances</w:t>
      </w:r>
      <w:r>
        <w:rPr>
          <w:vertAlign w:val="superscript"/>
        </w:rPr>
        <w:t xml:space="preserve">97,98</w:t>
      </w:r>
      <w:r>
        <w:t xml:space="preserve">, in order to avoid errors in spectral assignment — especially since it is controversial whether Glu can reliably be separated from Gln at 3T</w:t>
      </w:r>
      <w:r>
        <w:rPr>
          <w:vertAlign w:val="superscript"/>
        </w:rPr>
        <w:t xml:space="preserve">99,100</w:t>
      </w:r>
      <w:r>
        <w:t xml:space="preserve"> </w:t>
      </w:r>
      <w:r>
        <w:t xml:space="preserve">— we report Glx (Glu+ Glu) as the primary outcome measure. Individual Glu estimates are provided in Supplementary Materials</w:t>
      </w:r>
      <w:r>
        <w:t xml:space="preserve"> </w:t>
      </w:r>
      <w:hyperlink w:anchor="supptbl-metabolites">
        <w:r>
          <w:rPr>
            <w:rStyle w:val="InternetLink"/>
          </w:rPr>
          <w:t xml:space="preserve">Table S5</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101,102</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103</w:t>
      </w:r>
      <w:r>
        <w:t xml:space="preserve">. As a result, we report GABA+, a measure which co-reports GABA with macromolecules. Macromolecules (MM) are expected to account for approximately 45% of the GABA+ signal</w:t>
      </w:r>
      <w:r>
        <w:rPr>
          <w:vertAlign w:val="superscript"/>
        </w:rPr>
        <w:t xml:space="preserve">103</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104</w:t>
      </w:r>
      <w:r>
        <w:t xml:space="preserve">. Moreover, GABA+ shows greater reliability for both creatine-referenced and water-suppressed estimates</w:t>
      </w:r>
      <w:r>
        <w:rPr>
          <w:vertAlign w:val="superscript"/>
        </w:rPr>
        <w:t xml:space="preserve">104,105</w:t>
      </w:r>
      <w:r>
        <w:t xml:space="preserve">. MM-suppressed GABA and GABA+ estimates are also correlated, albeit weakly- to moderately-so</w:t>
      </w:r>
      <w:r>
        <w:rPr>
          <w:vertAlign w:val="superscript"/>
        </w:rPr>
        <w:t xml:space="preserve">103–105</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supptbl-megapressmetabs">
        <w:r>
          <w:rPr>
            <w:rStyle w:val="InternetLink"/>
          </w:rPr>
          <w:t xml:space="preserve">Table S6</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106</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107</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108</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109</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37"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110</w:t>
      </w:r>
      <w:r>
        <w:t xml:space="preserve"> </w:t>
      </w:r>
      <w:r>
        <w:t xml:space="preserve">(v3.3.0).</w:t>
      </w:r>
    </w:p>
    <w:bookmarkEnd w:id="37"/>
    <w:bookmarkEnd w:id="38"/>
    <w:bookmarkStart w:id="39"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w:t>
      </w:r>
      <w:r>
        <w:t xml:space="preserve">power</w:t>
      </w:r>
      <w:r>
        <w:t xml:space="preserve">’</w:t>
      </w:r>
      <w:r>
        <w:t xml:space="preserve">) across frequencies. Complex signals are classified into two categories: fractional Gaussian noise (fGn) and fractional Brownian motion (fBm)</w:t>
      </w:r>
      <w:r>
        <w:rPr>
          <w:vertAlign w:val="superscript"/>
        </w:rPr>
        <w:t xml:space="preserve">29,111</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112</w:t>
      </w:r>
      <w:r>
        <w:t xml:space="preserve">. fBm and fGn require distinct H calculation methods</w:t>
      </w:r>
      <w:r>
        <w:rPr>
          <w:vertAlign w:val="superscript"/>
        </w:rPr>
        <w:t xml:space="preserve">29</w:t>
      </w:r>
      <w:r>
        <w:t xml:space="preserve">. PSD was estimated using Welch’s method</w:t>
      </w:r>
      <w:r>
        <w:rPr>
          <w:vertAlign w:val="superscript"/>
        </w:rPr>
        <w:t xml:space="preserve">113</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114</w:t>
      </w:r>
      <w:r>
        <w:t xml:space="preserve">. Data were divided into 8 windows of 50% overlap and averaged within each window, as is standard</w:t>
      </w:r>
      <w:r>
        <w:rPr>
          <w:vertAlign w:val="superscript"/>
        </w:rPr>
        <w:t xml:space="preserve">115</w:t>
      </w:r>
      <w:r>
        <w:t xml:space="preserve">. Welch’s method was selected based on prior comparisons with other Hurst exponent algorithms, which found it to perform best across all evaluation criteria</w:t>
      </w:r>
      <w:r>
        <w:rPr>
          <w:vertAlign w:val="superscript"/>
        </w:rPr>
        <w:t xml:space="preserve">115</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29,116</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w:t>
      </w:r>
      <w:r>
        <w:t xml:space="preserve">extended Hurst</w:t>
      </w:r>
      <w:r>
        <w:t xml:space="preserve">’</w:t>
      </w:r>
      <w:r>
        <w:t xml:space="preserve"> </w:t>
      </w:r>
      <w:r>
        <w:t xml:space="preserve">(H’) concept in this study: for 0 &lt; H &lt; 1, the signal is understood as fGn, while for 1 &lt; H &lt; 2, the signal is understood to be fBm</w:t>
      </w:r>
      <w:r>
        <w:rPr>
          <w:vertAlign w:val="superscript"/>
        </w:rPr>
        <w:t xml:space="preserve">35,117,118</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9"/>
    <w:bookmarkStart w:id="40"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119</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m>
            <m:mPr>
              <m:baseJc m:val="center"/>
              <m:plcHide m:val="on"/>
              <m:mcs>
                <m:mc>
                  <m:mcPr>
                    <m:mcJc m:val="right"/>
                    <m:count m:val="1"/>
                  </m:mcPr>
                </m:mc>
                <m:mc>
                  <m:mcPr>
                    <m:mcJc m:val="left"/>
                    <m:count m:val="1"/>
                  </m:mcPr>
                </m:mc>
              </m:mcs>
            </m:mPr>
            <m:mr>
              <m:e>
                <m:r>
                  <m:rPr>
                    <m:sty m:val="p"/>
                  </m:rPr>
                  <m:t>H</m:t>
                </m:r>
                <m:r>
                  <m:rPr>
                    <m:sty m:val="p"/>
                  </m:rPr>
                  <m:t>∼</m:t>
                </m:r>
                <m:r>
                  <m:t> </m:t>
                </m:r>
              </m:e>
              <m:e>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mr>
            <m:mr>
              <m:e/>
              <m:e>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e>
            </m:mr>
          </m:m>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120</w:t>
      </w:r>
      <w:r>
        <w:t xml:space="preserve">. Correlations between H and Glx, GABA+ and E:I were calculated using Pearson’s method</w:t>
      </w:r>
      <w:r>
        <w:rPr>
          <w:vertAlign w:val="superscript"/>
        </w:rPr>
        <w:t xml:space="preserve">121</w:t>
      </w:r>
      <w:r>
        <w:t xml:space="preserve">.</w:t>
      </w:r>
    </w:p>
    <w:bookmarkEnd w:id="40"/>
    <w:bookmarkEnd w:id="41"/>
    <w:bookmarkStart w:id="77" w:name="results"/>
    <w:p>
      <w:pPr>
        <w:pStyle w:val="Heading1"/>
      </w:pPr>
      <w:r>
        <w:t xml:space="preserve">3. Results</w:t>
      </w:r>
    </w:p>
    <w:bookmarkStart w:id="46"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artflow"/>
          <w:p>
            <w:pPr>
              <w:pStyle w:val="Compact"/>
              <w:jc w:val="center"/>
            </w:pPr>
            <w:r>
              <w:drawing>
                <wp:inline>
                  <wp:extent cx="5943600" cy="2547257"/>
                  <wp:effectExtent b="0" l="0" r="0" t="0"/>
                  <wp:docPr descr="" title="" id="43" name="Picture"/>
                  <a:graphic>
                    <a:graphicData uri="http://schemas.openxmlformats.org/drawingml/2006/picture">
                      <pic:pic>
                        <pic:nvPicPr>
                          <pic:cNvPr descr="./images/ParticipantFlow.png" id="44" name="Picture"/>
                          <pic:cNvPicPr>
                            <a:picLocks noChangeArrowheads="1" noChangeAspect="1"/>
                          </pic:cNvPicPr>
                        </pic:nvPicPr>
                        <pic:blipFill>
                          <a:blip r:embed="rId42"/>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45"/>
        </w:tc>
      </w:tr>
    </w:tbl>
    <w:p>
      <w:pPr>
        <w:pStyle w:val="TextBody"/>
      </w:pPr>
      <w:r>
        <w:t xml:space="preserve">The final study sample included 8 males and 10 females between ages 21.3 and 53.4, with a mean age and standard deviation of 29.6 ± 8.7 years.</w:t>
      </w:r>
    </w:p>
    <w:bookmarkEnd w:id="46"/>
    <w:bookmarkStart w:id="61"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51" w:name="cell-fig-mrsquality"/>
    <w:tbl>
      <w:tblPr>
        <w:tblStyle w:val="Table"/>
        <w:tblW w:type="pct" w:w="5000"/>
        <w:tblLayout w:type="fixed"/>
        <w:tblLook w:firstRow="0" w:lastRow="0" w:firstColumn="0" w:lastColumn="0" w:noHBand="0" w:noVBand="0" w:val="0000"/>
      </w:tblPr>
      <w:tblGrid>
        <w:gridCol w:w="7920"/>
      </w:tblGrid>
      <w:tr>
        <w:tc>
          <w:tcPr/>
          <w:bookmarkStart w:id="50" w:name="fig-mrsquality"/>
          <w:p>
            <w:pPr>
              <w:pStyle w:val="Compact"/>
              <w:jc w:val="center"/>
            </w:pPr>
            <w:r>
              <w:drawing>
                <wp:inline>
                  <wp:extent cx="5544151" cy="4620126"/>
                  <wp:effectExtent b="0" l="0" r="0" t="0"/>
                  <wp:docPr descr="" title="" id="48" name="Picture"/>
                  <a:graphic>
                    <a:graphicData uri="http://schemas.openxmlformats.org/drawingml/2006/picture">
                      <pic:pic>
                        <pic:nvPicPr>
                          <pic:cNvPr descr="index_files/figure-docx/fig-mrsquality-1.png" id="49" name="Picture"/>
                          <pic:cNvPicPr>
                            <a:picLocks noChangeArrowheads="1" noChangeAspect="1"/>
                          </pic:cNvPicPr>
                        </pic:nvPicPr>
                        <pic:blipFill>
                          <a:blip r:embed="rId47"/>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50"/>
        </w:tc>
      </w:tr>
    </w:tbl>
    <w:bookmarkEnd w:id="51"/>
    <w:p>
      <w:pPr>
        <w:pStyle w:val="TextBody"/>
      </w:pPr>
      <w:r>
        <w:t xml:space="preserve">Average water FWHM, creatine SNR, and frequency shift are reported in Supplementary Material</w:t>
      </w:r>
      <w:r>
        <w:t xml:space="preserve"> </w:t>
      </w:r>
      <w:hyperlink w:anchor="supptbl-quality">
        <w:r>
          <w:rPr>
            <w:rStyle w:val="InternetLink"/>
          </w:rPr>
          <w:t xml:space="preserve">Table S1</w:t>
        </w:r>
      </w:hyperlink>
      <w:r>
        <w:t xml:space="preserve">.</w:t>
      </w:r>
    </w:p>
    <w:p>
      <w:pPr>
        <w:pStyle w:val="TextBody"/>
      </w:pPr>
      <w:r>
        <w:t xml:space="preserve">Average voxel rotation along the x-axis, along with average tissue fractions are reported in Supplementary Material</w:t>
      </w:r>
      <w:r>
        <w:t xml:space="preserve"> </w:t>
      </w:r>
      <w:hyperlink w:anchor="supptbl-singlevoxel">
        <w:r>
          <w:rPr>
            <w:rStyle w:val="InternetLink"/>
          </w:rPr>
          <w:t xml:space="preserve">Table S2</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56" w:name="cell-fig-hurstsamp"/>
    <w:tbl>
      <w:tblPr>
        <w:tblStyle w:val="Table"/>
        <w:tblW w:type="pct" w:w="5000"/>
        <w:tblLayout w:type="fixed"/>
        <w:tblLook w:firstRow="0" w:lastRow="0" w:firstColumn="0" w:lastColumn="0" w:noHBand="0" w:noVBand="0" w:val="0000"/>
      </w:tblPr>
      <w:tblGrid>
        <w:gridCol w:w="7920"/>
      </w:tblGrid>
      <w:tr>
        <w:tc>
          <w:tcPr/>
          <w:bookmarkStart w:id="55" w:name="fig-hurstsamp"/>
          <w:p>
            <w:pPr>
              <w:pStyle w:val="Compact"/>
              <w:jc w:val="center"/>
            </w:pPr>
            <w:r>
              <w:drawing>
                <wp:inline>
                  <wp:extent cx="5544151" cy="5544151"/>
                  <wp:effectExtent b="0" l="0" r="0" t="0"/>
                  <wp:docPr descr="" title="" id="53" name="Picture"/>
                  <a:graphic>
                    <a:graphicData uri="http://schemas.openxmlformats.org/drawingml/2006/picture">
                      <pic:pic>
                        <pic:nvPicPr>
                          <pic:cNvPr descr="index_files/figure-docx/fig-hurstsamp-1.png" id="54" name="Picture"/>
                          <pic:cNvPicPr>
                            <a:picLocks noChangeArrowheads="1" noChangeAspect="1"/>
                          </pic:cNvPicPr>
                        </pic:nvPicPr>
                        <pic:blipFill>
                          <a:blip r:embed="rId52"/>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55"/>
        </w:tc>
      </w:tr>
    </w:tbl>
    <w:bookmarkEnd w:id="56"/>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60" w:name="fig-averagehurst"/>
          <w:p>
            <w:pPr>
              <w:pStyle w:val="Compact"/>
              <w:jc w:val="center"/>
            </w:pPr>
            <w:r>
              <w:drawing>
                <wp:inline>
                  <wp:extent cx="4754880" cy="3572639"/>
                  <wp:effectExtent b="0" l="0" r="0" t="0"/>
                  <wp:docPr descr="" title="" id="58" name="Picture"/>
                  <a:graphic>
                    <a:graphicData uri="http://schemas.openxmlformats.org/drawingml/2006/picture">
                      <pic:pic>
                        <pic:nvPicPr>
                          <pic:cNvPr descr="./images/RestMovieHurstAverage.png" id="59" name="Picture"/>
                          <pic:cNvPicPr>
                            <a:picLocks noChangeArrowheads="1" noChangeAspect="1"/>
                          </pic:cNvPicPr>
                        </pic:nvPicPr>
                        <pic:blipFill>
                          <a:blip r:embed="rId57"/>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60"/>
        </w:tc>
      </w:tr>
    </w:tbl>
    <w:bookmarkEnd w:id="61"/>
    <w:bookmarkStart w:id="62"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62"/>
    <w:bookmarkStart w:id="75" w:name="post-hoc-analyses"/>
    <w:p>
      <w:pPr>
        <w:pStyle w:val="Heading2"/>
      </w:pPr>
      <w:r>
        <w:t xml:space="preserve">3.4 Post-hoc analyses</w:t>
      </w:r>
    </w:p>
    <w:p>
      <w:pPr>
        <w:pStyle w:val="FirstParagraph"/>
      </w:pPr>
      <w:r>
        <w:t xml:space="preserve">Diagnostics of our linear-mixed effects model can be found in the Supplementary Materials (</w:t>
      </w:r>
      <w:hyperlink w:anchor="suppfig-lmemdiag">
        <w:r>
          <w:rPr>
            <w:rStyle w:val="InternetLink"/>
          </w:rPr>
          <w:t xml:space="preserve">Figure S1</w:t>
        </w:r>
      </w:hyperlink>
      <w:r>
        <w:t xml:space="preserve">;</w:t>
      </w:r>
      <w:r>
        <w:t xml:space="preserve"> </w:t>
      </w:r>
      <w:hyperlink w:anchor="supptbl-spearmanresults">
        <w:r>
          <w:rPr>
            <w:rStyle w:val="InternetLink"/>
          </w:rPr>
          <w:t xml:space="preserve">Table S3</w:t>
        </w:r>
      </w:hyperlink>
      <w:r>
        <w:t xml:space="preserve">; and</w:t>
      </w:r>
      <w:r>
        <w:t xml:space="preserve"> </w:t>
      </w:r>
      <w:hyperlink w:anchor="supptbl-robusteffects">
        <w:r>
          <w:rPr>
            <w:rStyle w:val="InternetLink"/>
          </w:rPr>
          <w:t xml:space="preserve">Table S4</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25.7%, 64.2%, and 93%,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63"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9.84 ± 1.06</w:t>
                  </w:r>
                </w:p>
              </w:tc>
              <w:tc>
                <w:tcPr/>
                <w:p>
                  <w:pPr>
                    <w:pStyle w:val="Compact"/>
                    <w:jc w:val="left"/>
                    <w:jc w:val="center"/>
                  </w:pPr>
                  <w:r>
                    <w:t xml:space="preserve">10.04 ± 0.79</w:t>
                  </w:r>
                </w:p>
              </w:tc>
              <w:tc>
                <w:tcPr/>
                <w:p>
                  <w:pPr>
                    <w:pStyle w:val="Compact"/>
                    <w:jc w:val="left"/>
                    <w:jc w:val="center"/>
                  </w:pPr>
                  <w:r>
                    <w:t xml:space="preserve">0.26</w:t>
                  </w:r>
                </w:p>
              </w:tc>
            </w:tr>
            <w:tr>
              <w:tc>
                <w:tcPr/>
                <w:p>
                  <w:pPr>
                    <w:pStyle w:val="Compact"/>
                    <w:jc w:val="left"/>
                    <w:jc w:val="center"/>
                  </w:pPr>
                  <w:r>
                    <w:rPr>
                      <w:b/>
                      <w:bCs/>
                    </w:rPr>
                    <w:t xml:space="preserve">GABA+</w:t>
                  </w:r>
                </w:p>
              </w:tc>
              <w:tc>
                <w:tcPr/>
                <w:p>
                  <w:pPr>
                    <w:pStyle w:val="Compact"/>
                    <w:jc w:val="left"/>
                    <w:jc w:val="center"/>
                  </w:pPr>
                  <w:r>
                    <w:t xml:space="preserve">5.48 ± 0.77</w:t>
                  </w:r>
                </w:p>
              </w:tc>
              <w:tc>
                <w:tcPr/>
                <w:p>
                  <w:pPr>
                    <w:pStyle w:val="Compact"/>
                    <w:jc w:val="left"/>
                    <w:jc w:val="center"/>
                  </w:pPr>
                  <w:r>
                    <w:t xml:space="preserve">5.23 ± 0.71</w:t>
                  </w:r>
                </w:p>
              </w:tc>
              <w:tc>
                <w:tcPr/>
                <w:p>
                  <w:pPr>
                    <w:pStyle w:val="Compact"/>
                    <w:jc w:val="left"/>
                    <w:jc w:val="center"/>
                  </w:pPr>
                  <w:r>
                    <w:t xml:space="preserve">0.17</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r>
              <w:tc>
                <w:tcPr/>
                <w:p>
                  <w:pPr>
                    <w:pStyle w:val="Compact"/>
                    <w:jc w:val="left"/>
                    <w:jc w:val="center"/>
                  </w:pPr>
                  <w:r>
                    <w:rPr>
                      <w:b/>
                      <w:bCs/>
                    </w:rPr>
                    <w:t xml:space="preserve">H</w:t>
                  </w:r>
                </w:p>
              </w:tc>
              <w:tc>
                <w:tcPr/>
                <w:p>
                  <w:pPr>
                    <w:pStyle w:val="Compact"/>
                    <w:jc w:val="left"/>
                    <w:jc w:val="center"/>
                  </w:pPr>
                  <w:r>
                    <w:t xml:space="preserve">0.98 ± 0.98</w:t>
                  </w:r>
                </w:p>
              </w:tc>
              <w:tc>
                <w:tcPr/>
                <w:p>
                  <w:pPr>
                    <w:pStyle w:val="Compact"/>
                    <w:jc w:val="left"/>
                    <w:jc w:val="center"/>
                  </w:pPr>
                  <w:r>
                    <w:t xml:space="preserve">1.05 ± 1.05</w:t>
                  </w:r>
                </w:p>
              </w:tc>
              <w:tc>
                <w:tcPr/>
                <w:p>
                  <w:pPr>
                    <w:pStyle w:val="Compact"/>
                    <w:jc w:val="left"/>
                    <w:jc w:val="center"/>
                  </w:pPr>
                  <w:r>
                    <w:t xml:space="preserve">&lt; 0.01</w:t>
                  </w:r>
                </w:p>
              </w:tc>
            </w:tr>
          </w:tbl>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63"/>
        </w:tc>
      </w:tr>
    </w:tbl>
    <w:bookmarkStart w:id="68" w:name="cell-fig-results"/>
    <w:tbl>
      <w:tblPr>
        <w:tblStyle w:val="Table"/>
        <w:tblW w:type="pct" w:w="5000"/>
        <w:tblLayout w:type="fixed"/>
        <w:tblLook w:firstRow="0" w:lastRow="0" w:firstColumn="0" w:lastColumn="0" w:noHBand="0" w:noVBand="0" w:val="0000"/>
      </w:tblPr>
      <w:tblGrid>
        <w:gridCol w:w="7920"/>
      </w:tblGrid>
      <w:tr>
        <w:tc>
          <w:tcPr/>
          <w:bookmarkStart w:id="67" w:name="fig-results"/>
          <w:p>
            <w:pPr>
              <w:pStyle w:val="Compact"/>
              <w:jc w:val="center"/>
            </w:pPr>
            <w:r>
              <w:drawing>
                <wp:inline>
                  <wp:extent cx="5943600" cy="4754880"/>
                  <wp:effectExtent b="0" l="0" r="0" t="0"/>
                  <wp:docPr descr="" title="" id="65" name="Picture"/>
                  <a:graphic>
                    <a:graphicData uri="http://schemas.openxmlformats.org/drawingml/2006/picture">
                      <pic:pic>
                        <pic:nvPicPr>
                          <pic:cNvPr descr="index_files/figure-docx/fig-results-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67"/>
        </w:tc>
      </w:tr>
    </w:tbl>
    <w:bookmarkEnd w:id="68"/>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73" w:name="cell-fig-correlations"/>
    <w:tbl>
      <w:tblPr>
        <w:tblStyle w:val="Table"/>
        <w:tblW w:type="pct" w:w="5000"/>
        <w:tblLayout w:type="fixed"/>
        <w:tblLook w:firstRow="0" w:lastRow="0" w:firstColumn="0" w:lastColumn="0" w:noHBand="0" w:noVBand="0" w:val="0000"/>
      </w:tblPr>
      <w:tblGrid>
        <w:gridCol w:w="7920"/>
      </w:tblGrid>
      <w:tr>
        <w:tc>
          <w:tcPr/>
          <w:bookmarkStart w:id="72" w:name="fig-correlations"/>
          <w:p>
            <w:pPr>
              <w:pStyle w:val="Compact"/>
              <w:jc w:val="center"/>
            </w:pPr>
            <w:r>
              <w:drawing>
                <wp:inline>
                  <wp:extent cx="5943600" cy="5094514"/>
                  <wp:effectExtent b="0" l="0" r="0" t="0"/>
                  <wp:docPr descr="" title="" id="70" name="Picture"/>
                  <a:graphic>
                    <a:graphicData uri="http://schemas.openxmlformats.org/drawingml/2006/picture">
                      <pic:pic>
                        <pic:nvPicPr>
                          <pic:cNvPr descr="index_files/figure-docx/fig-correlations-1.png" id="71" name="Picture"/>
                          <pic:cNvPicPr>
                            <a:picLocks noChangeArrowheads="1" noChangeAspect="1"/>
                          </pic:cNvPicPr>
                        </pic:nvPicPr>
                        <pic:blipFill>
                          <a:blip r:embed="rId6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72"/>
        </w:tc>
      </w:tr>
    </w:tbl>
    <w:bookmarkEnd w:id="73"/>
    <w:bookmarkStart w:id="74"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suppfig-dataquality">
        <w:r>
          <w:rPr>
            <w:rStyle w:val="InternetLink"/>
          </w:rPr>
          <w:t xml:space="preserve">Figure S2</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D and E).</w:t>
      </w:r>
    </w:p>
    <w:p>
      <w:pPr>
        <w:pStyle w:val="TextBody"/>
      </w:pPr>
      <w:r>
        <w:t xml:space="preserve">Water FWHM and creatine SNR (CR-SNR) for both sLASER and MEGA-PRESS were analyzed pre- vs. post-fMRI. Supplementary</w:t>
      </w:r>
      <w:r>
        <w:t xml:space="preserve"> </w:t>
      </w:r>
      <w:hyperlink w:anchor="supptbl-FWHMprepost">
        <w:r>
          <w:rPr>
            <w:rStyle w:val="InternetLink"/>
          </w:rPr>
          <w:t xml:space="preserve">Table S7</w:t>
        </w:r>
      </w:hyperlink>
      <w:r>
        <w:t xml:space="preserve">,</w:t>
      </w:r>
      <w:r>
        <w:t xml:space="preserve"> </w:t>
      </w:r>
      <w:hyperlink w:anchor="supptbl-CRSNR">
        <w:r>
          <w:rPr>
            <w:rStyle w:val="InternetLink"/>
          </w:rPr>
          <w:t xml:space="preserve">Table S8</w:t>
        </w:r>
      </w:hyperlink>
      <w:r>
        <w:t xml:space="preserve">, and</w:t>
      </w:r>
      <w:r>
        <w:t xml:space="preserve"> </w:t>
      </w:r>
      <w:hyperlink w:anchor="supptbl-FWHMCRSNR">
        <w:r>
          <w:rPr>
            <w:rStyle w:val="InternetLink"/>
          </w:rPr>
          <w:t xml:space="preserve">Table S9</w:t>
        </w:r>
      </w:hyperlink>
      <w:r>
        <w:t xml:space="preserve"> </w:t>
      </w:r>
      <w:r>
        <w:t xml:space="preserve">present the paired t-tests and subject-level rest/movie values, while Supplementary</w:t>
      </w:r>
      <w:r>
        <w:t xml:space="preserve"> </w:t>
      </w:r>
      <w:hyperlink w:anchor="suppfig-fwhmdriftplot">
        <w:r>
          <w:rPr>
            <w:rStyle w:val="InternetLink"/>
          </w:rPr>
          <w:t xml:space="preserve">Figure S3</w:t>
        </w:r>
      </w:hyperlink>
      <w:r>
        <w:t xml:space="preserve"> </w:t>
      </w:r>
      <w:r>
        <w:t xml:space="preserve">show the individual trajectories. No systematic drifts were detected (all p &gt; 0.2 for FWHM; p &gt; 0.3 for SNR).</w:t>
      </w:r>
      <w:r>
        <w:t xml:space="preserve"> </w:t>
      </w:r>
      <w:r>
        <w:t xml:space="preserve"> </w:t>
      </w:r>
      <w:r>
        <w:t xml:space="preserve">Furthermore, a group averaged plot of the frequency shift between rest and movie can be found in the Supplementary Materials (</w:t>
      </w:r>
      <w:hyperlink w:anchor="suppfig-frequencyshift">
        <w:r>
          <w:rPr>
            <w:rStyle w:val="InternetLink"/>
          </w:rPr>
          <w:t xml:space="preserve">Figure S4</w:t>
        </w:r>
      </w:hyperlink>
      <w:r>
        <w:t xml:space="preserve">).</w:t>
      </w:r>
    </w:p>
    <w:bookmarkEnd w:id="74"/>
    <w:bookmarkEnd w:id="75"/>
    <w:bookmarkStart w:id="76"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76"/>
    <w:bookmarkEnd w:id="77"/>
    <w:bookmarkStart w:id="81"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122</w:t>
      </w:r>
      <w:r>
        <w:t xml:space="preserve">) during movie-watching using data from the Human Connectome Project</w:t>
      </w:r>
      <w:r>
        <w:rPr>
          <w:vertAlign w:val="superscript"/>
        </w:rPr>
        <w:t xml:space="preserve">123</w:t>
      </w:r>
      <w:r>
        <w:t xml:space="preserve">. While this increase in H is consistent with our prior findings, other studies have reported decreases in H during active tasks</w:t>
      </w:r>
      <w:r>
        <w:rPr>
          <w:vertAlign w:val="superscript"/>
        </w:rPr>
        <w:t xml:space="preserve">33,34,36,124</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35,125</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97</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126–128</w:t>
      </w:r>
      <w:r>
        <w:t xml:space="preserve">. Regarding our GABA+ findings, the same meta-analysis</w:t>
      </w:r>
      <w:r>
        <w:rPr>
          <w:vertAlign w:val="superscript"/>
        </w:rPr>
        <w:t xml:space="preserve">97</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97</w:t>
      </w:r>
      <w:r>
        <w:t xml:space="preserve">. Although, several studies have successfully reported changes in GABA at 3T using different paradigms and/or regions of interest</w:t>
      </w:r>
      <w:r>
        <w:rPr>
          <w:vertAlign w:val="superscript"/>
        </w:rPr>
        <w:t xml:space="preserve">129–131</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128,132</w:t>
      </w:r>
      <w:r>
        <w:t xml:space="preserve">. Indeed, Pasanta et al. (2023)</w:t>
      </w:r>
      <w:r>
        <w:rPr>
          <w:vertAlign w:val="superscript"/>
        </w:rPr>
        <w:t xml:space="preserve">97</w:t>
      </w:r>
      <w:r>
        <w:t xml:space="preserve"> </w:t>
      </w:r>
      <w:r>
        <w:t xml:space="preserve">and Archibald et al. (2020)</w:t>
      </w:r>
      <w:r>
        <w:rPr>
          <w:vertAlign w:val="superscript"/>
        </w:rPr>
        <w:t xml:space="preserve">133</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78"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left"/>
                    <w:jc w:val="center"/>
                  </w:pPr>
                  <w:r>
                    <w:t xml:space="preserve">Citation</w:t>
                  </w:r>
                </w:p>
              </w:tc>
              <w:tc>
                <w:tcPr/>
                <w:p>
                  <w:pPr>
                    <w:pStyle w:val="Compact"/>
                    <w:jc w:val="left"/>
                    <w:jc w:val="center"/>
                  </w:pPr>
                  <w:r>
                    <w:t xml:space="preserve">Study Type</w:t>
                  </w:r>
                </w:p>
              </w:tc>
              <w:tc>
                <w:tcPr/>
                <w:p>
                  <w:pPr>
                    <w:pStyle w:val="Compact"/>
                    <w:jc w:val="left"/>
                    <w:jc w:val="center"/>
                  </w:pPr>
                  <w:r>
                    <w:t xml:space="preserve">H Data Type</w:t>
                  </w:r>
                </w:p>
              </w:tc>
              <w:tc>
                <w:tcPr/>
                <w:p>
                  <w:pPr>
                    <w:pStyle w:val="Compact"/>
                    <w:jc w:val="left"/>
                    <w:jc w:val="center"/>
                  </w:pPr>
                  <w:r>
                    <w:t xml:space="preserve">H Calculation Method</w:t>
                  </w:r>
                </w:p>
              </w:tc>
              <w:tc>
                <w:tcPr/>
                <w:p>
                  <w:pPr>
                    <w:pStyle w:val="Compact"/>
                    <w:jc w:val="left"/>
                    <w:jc w:val="center"/>
                  </w:pPr>
                  <w:r>
                    <w:t xml:space="preserve">E:I Type</w:t>
                  </w:r>
                </w:p>
              </w:tc>
              <w:tc>
                <w:tcPr/>
                <w:p>
                  <w:pPr>
                    <w:pStyle w:val="Compact"/>
                    <w:jc w:val="left"/>
                    <w:jc w:val="center"/>
                  </w:pPr>
                  <w:r>
                    <w:t xml:space="preserve">E:I-Hurst Relationship</w:t>
                  </w:r>
                </w:p>
              </w:tc>
            </w:tr>
            <w:tr>
              <w:tc>
                <w:tcPr/>
                <w:p>
                  <w:pPr>
                    <w:pStyle w:val="Compact"/>
                    <w:jc w:val="left"/>
                    <w:jc w:val="center"/>
                  </w:pPr>
                  <w:r>
                    <w:t xml:space="preserve">Poil et al. (2012)</w:t>
                  </w:r>
                  <w:r>
                    <w:rPr>
                      <w:vertAlign w:val="superscript"/>
                    </w:rPr>
                    <w:t xml:space="preserve">7</w:t>
                  </w:r>
                </w:p>
              </w:tc>
              <w:tc>
                <w:tcPr/>
                <w:p>
                  <w:pPr>
                    <w:pStyle w:val="Compact"/>
                    <w:jc w:val="left"/>
                    <w:jc w:val="center"/>
                  </w:pPr>
                  <w:r>
                    <w:t xml:space="preserve">Computational with in-house simulated model</w:t>
                  </w:r>
                </w:p>
              </w:tc>
              <w:tc>
                <w:tcPr/>
                <w:p>
                  <w:pPr>
                    <w:pStyle w:val="Compact"/>
                    <w:jc w:val="left"/>
                    <w:jc w:val="center"/>
                  </w:pPr>
                  <w:r>
                    <w:t xml:space="preserve">Neuronal avalanche size</w:t>
                  </w:r>
                </w:p>
              </w:tc>
              <w:tc>
                <w:tcPr/>
                <w:p>
                  <w:pPr>
                    <w:pStyle w:val="Compact"/>
                    <w:jc w:val="left"/>
                    <w:jc w:val="center"/>
                  </w:pPr>
                  <w:r>
                    <w:t xml:space="preserve">Detrendend fluctuation analysis (DFA)</w:t>
                  </w:r>
                </w:p>
              </w:tc>
              <w:tc>
                <w:tcPr/>
                <w:p>
                  <w:pPr>
                    <w:pStyle w:val="Compact"/>
                    <w:jc w:val="left"/>
                    <w:jc w:val="center"/>
                  </w:pPr>
                  <w:r>
                    <w:t xml:space="preserve">Structural: number of E-to-I neurons</w:t>
                  </w:r>
                </w:p>
              </w:tc>
              <w:tc>
                <w:tcPr/>
                <w:p>
                  <w:pPr>
                    <w:pStyle w:val="Compact"/>
                    <w:jc w:val="left"/>
                    <w:jc w:val="center"/>
                  </w:pPr>
                  <w:r>
                    <w:t xml:space="preserve">Inverse U</w:t>
                  </w:r>
                </w:p>
              </w:tc>
            </w:tr>
            <w:tr>
              <w:tc>
                <w:tcPr/>
                <w:p>
                  <w:pPr>
                    <w:pStyle w:val="Compact"/>
                    <w:jc w:val="left"/>
                    <w:jc w:val="center"/>
                  </w:pPr>
                  <w:r>
                    <w:t xml:space="preserve">Bruining et al. (2020)</w:t>
                  </w:r>
                  <w:r>
                    <w:rPr>
                      <w:vertAlign w:val="superscript"/>
                    </w:rPr>
                    <w:t xml:space="preserve">10</w:t>
                  </w:r>
                </w:p>
              </w:tc>
              <w:tc>
                <w:tcPr/>
                <w:p>
                  <w:pPr>
                    <w:pStyle w:val="Compact"/>
                    <w:jc w:val="left"/>
                    <w:jc w:val="center"/>
                  </w:pPr>
                  <w:r>
                    <w:t xml:space="preserve">Computational with model by Poil et al. (2012); modified in-house</w:t>
                  </w:r>
                </w:p>
              </w:tc>
              <w:tc>
                <w:tcPr/>
                <w:p>
                  <w:pPr>
                    <w:pStyle w:val="Compact"/>
                    <w:jc w:val="left"/>
                    <w:jc w:val="center"/>
                  </w:pPr>
                  <w:r>
                    <w:t xml:space="preserve">Neuronal oscillation amplitude</w:t>
                  </w:r>
                </w:p>
              </w:tc>
              <w:tc>
                <w:tcPr/>
                <w:p>
                  <w:pPr>
                    <w:pStyle w:val="Compact"/>
                    <w:jc w:val="left"/>
                    <w:jc w:val="center"/>
                  </w:pPr>
                  <w:r>
                    <w:t xml:space="preserve">DFA</w:t>
                  </w:r>
                </w:p>
              </w:tc>
              <w:tc>
                <w:tcPr/>
                <w:p>
                  <w:pPr>
                    <w:pStyle w:val="Compact"/>
                    <w:jc w:val="left"/>
                    <w:jc w:val="center"/>
                  </w:pPr>
                  <w:r>
                    <w:t xml:space="preserve">Structural: number of E-to-I synapses</w:t>
                  </w:r>
                </w:p>
              </w:tc>
              <w:tc>
                <w:tcPr/>
                <w:p>
                  <w:pPr>
                    <w:pStyle w:val="Compact"/>
                    <w:jc w:val="left"/>
                    <w:jc w:val="center"/>
                  </w:pPr>
                  <w:r>
                    <w:t xml:space="preserve">Inverse U</w:t>
                  </w:r>
                </w:p>
              </w:tc>
            </w:tr>
            <w:tr>
              <w:tc>
                <w:tcPr/>
                <w:p>
                  <w:pPr>
                    <w:pStyle w:val="Compact"/>
                    <w:jc w:val="left"/>
                    <w:jc w:val="center"/>
                  </w:pPr>
                  <w:r>
                    <w:t xml:space="preserve">Gao et al. (2017)</w:t>
                  </w:r>
                  <w:r>
                    <w:rPr>
                      <w:vertAlign w:val="superscript"/>
                    </w:rPr>
                    <w:t xml:space="preserve">12</w:t>
                  </w:r>
                </w:p>
              </w:tc>
              <w:tc>
                <w:tcPr/>
                <w:p>
                  <w:pPr>
                    <w:pStyle w:val="Compact"/>
                    <w:jc w:val="left"/>
                    <w:jc w:val="center"/>
                  </w:pPr>
                  <w:r>
                    <w:t xml:space="preserve">Computational; in vivo in rats and macaques</w:t>
                  </w:r>
                </w:p>
              </w:tc>
              <w:tc>
                <w:tcPr/>
                <w:p>
                  <w:pPr>
                    <w:pStyle w:val="Compact"/>
                    <w:jc w:val="left"/>
                    <w:jc w:val="center"/>
                  </w:pPr>
                  <w:r>
                    <w:t xml:space="preserve">Local field potential (LFP)</w:t>
                  </w:r>
                </w:p>
              </w:tc>
              <w:tc>
                <w:tcPr/>
                <w:p>
                  <w:pPr>
                    <w:pStyle w:val="Compact"/>
                    <w:jc w:val="left"/>
                    <w:jc w:val="center"/>
                  </w:pPr>
                  <w:r>
                    <w:t xml:space="preserve">PSD</w:t>
                  </w:r>
                </w:p>
              </w:tc>
              <w:tc>
                <w:tcPr/>
                <w:p>
                  <w:pPr>
                    <w:pStyle w:val="Compact"/>
                    <w:jc w:val="left"/>
                    <w:jc w:val="center"/>
                  </w:pPr>
                  <w:r>
                    <w:t xml:space="preserve">Estimated from LFP</w:t>
                  </w:r>
                </w:p>
              </w:tc>
              <w:tc>
                <w:tcPr/>
                <w:p>
                  <w:pPr>
                    <w:pStyle w:val="Compact"/>
                    <w:jc w:val="left"/>
                    <w:jc w:val="center"/>
                  </w:pPr>
                  <w:r>
                    <w:t xml:space="preserve">Positive linear</w:t>
                  </w:r>
                </w:p>
              </w:tc>
            </w:tr>
            <w:tr>
              <w:tc>
                <w:tcPr/>
                <w:p>
                  <w:pPr>
                    <w:pStyle w:val="Compact"/>
                    <w:jc w:val="left"/>
                    <w:jc w:val="center"/>
                  </w:pPr>
                  <w:r>
                    <w:t xml:space="preserve">Lombardi et al. (2017)</w:t>
                  </w:r>
                  <w:r>
                    <w:rPr>
                      <w:vertAlign w:val="superscript"/>
                    </w:rPr>
                    <w:t xml:space="preserve">8</w:t>
                  </w:r>
                </w:p>
              </w:tc>
              <w:tc>
                <w:tcPr/>
                <w:p>
                  <w:pPr>
                    <w:pStyle w:val="Compact"/>
                    <w:jc w:val="left"/>
                    <w:jc w:val="center"/>
                  </w:pPr>
                  <w:r>
                    <w:t xml:space="preserve">Computational with in-house model</w:t>
                  </w:r>
                </w:p>
              </w:tc>
              <w:tc>
                <w:tcPr/>
                <w:p>
                  <w:pPr>
                    <w:pStyle w:val="Compact"/>
                    <w:jc w:val="left"/>
                    <w:jc w:val="center"/>
                  </w:pPr>
                  <w:r>
                    <w:t xml:space="preserve">Neuronal avalanche size</w:t>
                  </w:r>
                </w:p>
              </w:tc>
              <w:tc>
                <w:tcPr/>
                <w:p>
                  <w:pPr>
                    <w:pStyle w:val="Compact"/>
                    <w:jc w:val="left"/>
                    <w:jc w:val="center"/>
                  </w:pPr>
                  <w:r>
                    <w:t xml:space="preserve">PSD</w:t>
                  </w:r>
                </w:p>
              </w:tc>
              <w:tc>
                <w:tcPr/>
                <w:p>
                  <w:pPr>
                    <w:pStyle w:val="Compact"/>
                    <w:jc w:val="left"/>
                    <w:jc w:val="center"/>
                  </w:pPr>
                  <w:r>
                    <w:t xml:space="preserve">Structural: number of E-to-I neurons</w:t>
                  </w:r>
                </w:p>
              </w:tc>
              <w:tc>
                <w:tcPr/>
                <w:p>
                  <w:pPr>
                    <w:pStyle w:val="Compact"/>
                    <w:jc w:val="left"/>
                    <w:jc w:val="center"/>
                  </w:pPr>
                  <w:r>
                    <w:t xml:space="preserve">Negative linear</w:t>
                  </w:r>
                </w:p>
              </w:tc>
            </w:tr>
            <w:tr>
              <w:tc>
                <w:tcPr/>
                <w:p>
                  <w:pPr>
                    <w:pStyle w:val="Compact"/>
                    <w:jc w:val="left"/>
                    <w:jc w:val="center"/>
                  </w:pPr>
                  <w:r>
                    <w:t xml:space="preserve">Trakoshis et al. (2020)</w:t>
                  </w:r>
                  <w:r>
                    <w:rPr>
                      <w:vertAlign w:val="superscript"/>
                    </w:rPr>
                    <w:t xml:space="preserve">11</w:t>
                  </w:r>
                </w:p>
              </w:tc>
              <w:tc>
                <w:tcPr/>
                <w:p>
                  <w:pPr>
                    <w:pStyle w:val="Compact"/>
                    <w:jc w:val="left"/>
                    <w:jc w:val="center"/>
                  </w:pPr>
                  <w:r>
                    <w:t xml:space="preserve">Computational with simulated data; in vivo in mice</w:t>
                  </w:r>
                </w:p>
              </w:tc>
              <w:tc>
                <w:tcPr/>
                <w:p>
                  <w:pPr>
                    <w:pStyle w:val="Compact"/>
                    <w:jc w:val="left"/>
                    <w:jc w:val="center"/>
                  </w:pPr>
                  <w:r>
                    <w:t xml:space="preserve">fMRI BOLD signal</w:t>
                  </w:r>
                </w:p>
              </w:tc>
              <w:tc>
                <w:tcPr/>
                <w:p>
                  <w:pPr>
                    <w:pStyle w:val="Compact"/>
                    <w:jc w:val="left"/>
                    <w:jc w:val="center"/>
                  </w:pPr>
                  <w:r>
                    <w:t xml:space="preserve">Wavelet-based maximum likelihood method</w:t>
                  </w:r>
                </w:p>
              </w:tc>
              <w:tc>
                <w:tcPr/>
                <w:p>
                  <w:pPr>
                    <w:pStyle w:val="Compact"/>
                    <w:jc w:val="left"/>
                    <w:jc w:val="center"/>
                  </w:pPr>
                  <w:r>
                    <w:t xml:space="preserve">E-to-I synaptic conductance</w:t>
                  </w:r>
                </w:p>
              </w:tc>
              <w:tc>
                <w:tcPr/>
                <w:p>
                  <w:pPr>
                    <w:pStyle w:val="Compact"/>
                    <w:jc w:val="left"/>
                    <w:jc w:val="center"/>
                  </w:pPr>
                  <w:r>
                    <w:t xml:space="preserve">Negative linear</w:t>
                  </w:r>
                </w:p>
              </w:tc>
            </w:tr>
          </w:tbl>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8"/>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97</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79"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This</w:t>
      </w:r>
      <w:r>
        <w:t xml:space="preserve"> </w:t>
      </w:r>
      <w:r>
        <w:t xml:space="preserve">‘</w:t>
      </w:r>
      <w:r>
        <w:t xml:space="preserve">cloning</w:t>
      </w:r>
      <w:r>
        <w:t xml:space="preserve">’</w:t>
      </w:r>
      <w:r>
        <w:t xml:space="preserve"> </w:t>
      </w:r>
      <w:r>
        <w:t xml:space="preserve">assumes nominal stability and does not capture any potential effective sampling differences due to head motion or shim-related changes.</w:t>
      </w:r>
      <w:r>
        <w:t xml:space="preserve"> </w:t>
      </w:r>
      <w:r>
        <w:t xml:space="preserve">Future studies may also wish to acquire high resolution anatomical scans before each MRS run in order to re-align the MRS voxel and to quantify: intra-subject voxel movement; voxel dice coefficient: overlap of runs (ideally &gt;0.90); center-of-mass distance: Euclidean shift (mm) between runs (e.g. threshold &gt;5mm outlier).</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134</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 For future research, we highly recommend prospective drift corrections to address these issues.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78</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135–137</w:t>
      </w:r>
      <w:r>
        <w:t xml:space="preserve">; measuring H within the same region as our single-voxel MRS; and using multi-echo fMRI for improved motion artifact regression</w:t>
      </w:r>
      <w:r>
        <w:rPr>
          <w:vertAlign w:val="superscript"/>
        </w:rPr>
        <w:t xml:space="preserve">138</w:t>
      </w:r>
      <w:r>
        <w:t xml:space="preserve">.</w:t>
      </w:r>
    </w:p>
    <w:bookmarkEnd w:id="79"/>
    <w:bookmarkStart w:id="80"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r>
        <w:rPr>
          <w:vertAlign w:val="superscript"/>
        </w:rPr>
        <w:t xml:space="preserve">139</w:t>
      </w:r>
      <w:r>
        <w:t xml:space="preserve">;</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126,127,133</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133,140–142</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143</w:t>
      </w:r>
      <w:r>
        <w:t xml:space="preserve">. However, see Pasanta et al. (2023)</w:t>
      </w:r>
      <w:r>
        <w:rPr>
          <w:vertAlign w:val="superscript"/>
        </w:rPr>
        <w:t xml:space="preserve">97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77,144</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80"/>
    <w:bookmarkEnd w:id="81"/>
    <w:bookmarkStart w:id="82"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w:t>
      </w:r>
      <w:r>
        <w:rPr>
          <w:vertAlign w:val="superscript"/>
        </w:rPr>
        <w:t xml:space="preserve">139</w:t>
      </w:r>
      <w:r>
        <w:t xml:space="preserve">. Therefore, higher-field (7T) or multi-voxel fMRS studies would be needed to confirm.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82"/>
    <w:bookmarkStart w:id="84"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3">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w:t>
      </w:r>
      <w:r>
        <w:t xml:space="preserve">reproducible manner</w:t>
      </w:r>
      <w:r>
        <w:t xml:space="preserve">’</w:t>
      </w:r>
      <w:r>
        <w:t xml:space="preserve">: the entire manuscript, including statistics reported, figures, and tables, can be reproduced here:</w:t>
      </w:r>
      <w:r>
        <w:t xml:space="preserve"> </w:t>
      </w:r>
      <w:hyperlink r:id="rId83">
        <w:r>
          <w:rPr>
            <w:rStyle w:val="InternetLink"/>
          </w:rPr>
          <w:t xml:space="preserve">weberlab.github.io/EI_Hurst_Manuscript/</w:t>
        </w:r>
      </w:hyperlink>
    </w:p>
    <w:bookmarkEnd w:id="84"/>
    <w:bookmarkStart w:id="85" w:name="competing-interests"/>
    <w:p>
      <w:pPr>
        <w:pStyle w:val="Heading1"/>
      </w:pPr>
      <w:r>
        <w:t xml:space="preserve">Competing interests</w:t>
      </w:r>
    </w:p>
    <w:p>
      <w:pPr>
        <w:pStyle w:val="FirstParagraph"/>
      </w:pPr>
      <w:r>
        <w:t xml:space="preserve">The authors declare they have no known competing interests.</w:t>
      </w:r>
    </w:p>
    <w:bookmarkEnd w:id="85"/>
    <w:bookmarkStart w:id="86"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86"/>
    <w:bookmarkStart w:id="87"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87"/>
    <w:bookmarkStart w:id="376" w:name="references"/>
    <w:p>
      <w:pPr>
        <w:pStyle w:val="Heading1"/>
      </w:pPr>
      <w:r>
        <w:t xml:space="preserve">References</w:t>
      </w:r>
    </w:p>
    <w:bookmarkStart w:id="375" w:name="refs"/>
    <w:bookmarkStart w:id="89" w:name="ref-decoRestingBrainsNever2013"/>
    <w:p>
      <w:pPr>
        <w:pStyle w:val="Bibliography"/>
      </w:pPr>
      <w:r>
        <w:t xml:space="preserve">1.</w:t>
      </w:r>
      <w:r>
        <w:t xml:space="preserve"> </w:t>
      </w:r>
      <w:r>
        <w:t xml:space="preserve">	</w:t>
      </w:r>
      <w:r>
        <w:t xml:space="preserve">Deco, G., Jirsa, V. K. &amp; McIntosh, A. R.</w:t>
      </w:r>
      <w:r>
        <w:t xml:space="preserve"> </w:t>
      </w:r>
      <w:hyperlink r:id="rId88">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89"/>
    <w:bookmarkStart w:id="90"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0"/>
    <w:bookmarkStart w:id="91"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91"/>
    <w:bookmarkStart w:id="93" w:name="X3987a7f9f2843d143a6b08774176d9ab9bc4f8d"/>
    <w:p>
      <w:pPr>
        <w:pStyle w:val="Bibliography"/>
      </w:pPr>
      <w:r>
        <w:t xml:space="preserve">4.</w:t>
      </w:r>
      <w:r>
        <w:t xml:space="preserve"> </w:t>
      </w:r>
      <w:r>
        <w:t xml:space="preserve">	</w:t>
      </w:r>
      <w:r>
        <w:t xml:space="preserve">Bassett, D. S. &amp; Gazzaniga, M. S.</w:t>
      </w:r>
      <w:r>
        <w:t xml:space="preserve"> </w:t>
      </w:r>
      <w:hyperlink r:id="rId92">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93"/>
    <w:bookmarkStart w:id="94"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94"/>
    <w:bookmarkStart w:id="96"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95">
        <w:r>
          <w:rPr>
            <w:rStyle w:val="InternetLink"/>
          </w:rPr>
          <w:t xml:space="preserve">10.1177/10738584231221766</w:t>
        </w:r>
      </w:hyperlink>
      <w:r>
        <w:t xml:space="preserve">.</w:t>
      </w:r>
    </w:p>
    <w:bookmarkEnd w:id="96"/>
    <w:bookmarkStart w:id="98"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97">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98"/>
    <w:bookmarkStart w:id="100"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99">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0"/>
    <w:bookmarkStart w:id="102" w:name="Xfe4345fc4d266d969d4559abe9321e337b060ba"/>
    <w:p>
      <w:pPr>
        <w:pStyle w:val="Bibliography"/>
      </w:pPr>
      <w:r>
        <w:t xml:space="preserve">9.</w:t>
      </w:r>
      <w:r>
        <w:t xml:space="preserve"> </w:t>
      </w:r>
      <w:r>
        <w:t xml:space="preserve">	</w:t>
      </w:r>
      <w:r>
        <w:t xml:space="preserve">Baumgarten, L. &amp; Bornholdt, S.</w:t>
      </w:r>
      <w:r>
        <w:t xml:space="preserve"> </w:t>
      </w:r>
      <w:hyperlink r:id="rId101">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02"/>
    <w:bookmarkStart w:id="104"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03">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04"/>
    <w:bookmarkStart w:id="106"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05">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 (2020).</w:t>
      </w:r>
    </w:p>
    <w:bookmarkEnd w:id="106"/>
    <w:bookmarkStart w:id="108" w:name="ref-gaoInferringSynapticExcitation2017"/>
    <w:p>
      <w:pPr>
        <w:pStyle w:val="Bibliography"/>
      </w:pPr>
      <w:r>
        <w:t xml:space="preserve">12.</w:t>
      </w:r>
      <w:r>
        <w:t xml:space="preserve"> </w:t>
      </w:r>
      <w:r>
        <w:t xml:space="preserve">	</w:t>
      </w:r>
      <w:r>
        <w:t xml:space="preserve">Gao, R., Peterson, E. J. &amp; Voytek, B.</w:t>
      </w:r>
      <w:r>
        <w:t xml:space="preserve"> </w:t>
      </w:r>
      <w:hyperlink r:id="rId107">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08"/>
    <w:bookmarkStart w:id="110"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09">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0"/>
    <w:bookmarkStart w:id="112"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11">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12"/>
    <w:bookmarkStart w:id="114" w:name="ref-langtonComputationEdgeChaos1990"/>
    <w:p>
      <w:pPr>
        <w:pStyle w:val="Bibliography"/>
      </w:pPr>
      <w:r>
        <w:t xml:space="preserve">15.</w:t>
      </w:r>
      <w:r>
        <w:t xml:space="preserve"> </w:t>
      </w:r>
      <w:r>
        <w:t xml:space="preserve">	</w:t>
      </w:r>
      <w:r>
        <w:t xml:space="preserve">Langton, C. G.</w:t>
      </w:r>
      <w:r>
        <w:t xml:space="preserve"> </w:t>
      </w:r>
      <w:hyperlink r:id="rId113">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14"/>
    <w:bookmarkStart w:id="116"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15">
        <w:r>
          <w:rPr>
            <w:rStyle w:val="InternetLink"/>
          </w:rPr>
          <w:t xml:space="preserve">10.1007/978-1-4757-5426-1</w:t>
        </w:r>
      </w:hyperlink>
      <w:r>
        <w:t xml:space="preserve">.</w:t>
      </w:r>
    </w:p>
    <w:bookmarkEnd w:id="116"/>
    <w:bookmarkStart w:id="118" w:name="ref-rubensteinModelAutismIncreased2003"/>
    <w:p>
      <w:pPr>
        <w:pStyle w:val="Bibliography"/>
      </w:pPr>
      <w:r>
        <w:t xml:space="preserve">17.</w:t>
      </w:r>
      <w:r>
        <w:t xml:space="preserve"> </w:t>
      </w:r>
      <w:r>
        <w:t xml:space="preserve">	</w:t>
      </w:r>
      <w:r>
        <w:t xml:space="preserve">Rubenstein, J. L. R. &amp; Merzenich, M. M.</w:t>
      </w:r>
      <w:r>
        <w:t xml:space="preserve"> </w:t>
      </w:r>
      <w:hyperlink r:id="rId117">
        <w:r>
          <w:rPr>
            <w:rStyle w:val="InternetLink"/>
          </w:rPr>
          <w:t xml:space="preserve">Model of autism: Increased ratio of excitation/inhibition in key neural systems</w:t>
        </w:r>
      </w:hyperlink>
      <w:r>
        <w:t xml:space="preserve">.</w:t>
      </w:r>
      <w:r>
        <w:t xml:space="preserve"> </w:t>
      </w:r>
      <w:r>
        <w:rPr>
          <w:i/>
          <w:iCs/>
        </w:rPr>
        <w:t xml:space="preserve">Genes, brain, and behavior</w:t>
      </w:r>
      <w:r>
        <w:t xml:space="preserve"> </w:t>
      </w:r>
      <w:r>
        <w:rPr>
          <w:b/>
          <w:bCs/>
        </w:rPr>
        <w:t xml:space="preserve">2</w:t>
      </w:r>
      <w:r>
        <w:t xml:space="preserve">, 255–267 (2003).</w:t>
      </w:r>
    </w:p>
    <w:bookmarkEnd w:id="118"/>
    <w:bookmarkStart w:id="120"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19">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20"/>
    <w:bookmarkStart w:id="122" w:name="X64994448b976e637152e47fbc640fd4797f44ad"/>
    <w:p>
      <w:pPr>
        <w:pStyle w:val="Bibliography"/>
      </w:pPr>
      <w:r>
        <w:t xml:space="preserve">19.</w:t>
      </w:r>
      <w:r>
        <w:t xml:space="preserve"> </w:t>
      </w:r>
      <w:r>
        <w:t xml:space="preserve">	</w:t>
      </w:r>
      <w:r>
        <w:t xml:space="preserve">Sohal, V. S. &amp; Rubenstein, J. L. R.</w:t>
      </w:r>
      <w:r>
        <w:t xml:space="preserve"> </w:t>
      </w:r>
      <w:hyperlink r:id="rId121">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22"/>
    <w:bookmarkStart w:id="124" w:name="X15522e51d4999d4481434cec6c8927ac1afe02d"/>
    <w:p>
      <w:pPr>
        <w:pStyle w:val="Bibliography"/>
      </w:pPr>
      <w:r>
        <w:t xml:space="preserve">20.</w:t>
      </w:r>
      <w:r>
        <w:t xml:space="preserve"> </w:t>
      </w:r>
      <w:r>
        <w:t xml:space="preserve">	</w:t>
      </w:r>
      <w:r>
        <w:t xml:space="preserve">Muñoz, M. A.</w:t>
      </w:r>
      <w:r>
        <w:t xml:space="preserve"> </w:t>
      </w:r>
      <w:hyperlink r:id="rId123">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4"/>
    <w:bookmarkStart w:id="126"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25">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6"/>
    <w:bookmarkStart w:id="128"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27">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8"/>
    <w:bookmarkStart w:id="130"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29">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30"/>
    <w:bookmarkStart w:id="132" w:name="ref-bedardMacroscopicModelsLocal2009"/>
    <w:p>
      <w:pPr>
        <w:pStyle w:val="Bibliography"/>
      </w:pPr>
      <w:r>
        <w:t xml:space="preserve">24.</w:t>
      </w:r>
      <w:r>
        <w:t xml:space="preserve"> </w:t>
      </w:r>
      <w:r>
        <w:t xml:space="preserve">	</w:t>
      </w:r>
      <w:r>
        <w:t xml:space="preserve">Bédard, C. &amp; Destexhe, A.</w:t>
      </w:r>
      <w:r>
        <w:t xml:space="preserve"> </w:t>
      </w:r>
      <w:hyperlink r:id="rId131">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2"/>
    <w:bookmarkStart w:id="134"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33">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4"/>
    <w:bookmarkStart w:id="136" w:name="ref-zarahnEmpiricalAnalysesBOLD1997"/>
    <w:p>
      <w:pPr>
        <w:pStyle w:val="Bibliography"/>
      </w:pPr>
      <w:r>
        <w:t xml:space="preserve">26.</w:t>
      </w:r>
      <w:r>
        <w:t xml:space="preserve"> </w:t>
      </w:r>
      <w:r>
        <w:t xml:space="preserve">	</w:t>
      </w:r>
      <w:r>
        <w:t xml:space="preserve">Zarahn, E., Aguirre, G. K. &amp; D’Esposito, M.</w:t>
      </w:r>
      <w:r>
        <w:t xml:space="preserve"> </w:t>
      </w:r>
      <w:hyperlink r:id="rId135">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6"/>
    <w:bookmarkStart w:id="138" w:name="Xd7b015f33a1488d89f221ec12f970e1003b9efe"/>
    <w:p>
      <w:pPr>
        <w:pStyle w:val="Bibliography"/>
      </w:pPr>
      <w:r>
        <w:t xml:space="preserve">27.</w:t>
      </w:r>
      <w:r>
        <w:t xml:space="preserve"> </w:t>
      </w:r>
      <w:r>
        <w:t xml:space="preserve">	</w:t>
      </w:r>
      <w:r>
        <w:t xml:space="preserve">Fadili, M. J. &amp; Bullmore, E. T.</w:t>
      </w:r>
      <w:r>
        <w:t xml:space="preserve"> </w:t>
      </w:r>
      <w:hyperlink r:id="rId137">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8"/>
    <w:bookmarkStart w:id="140" w:name="X790fe44bee6d974469e7b4e816b8211f69a1fdd"/>
    <w:p>
      <w:pPr>
        <w:pStyle w:val="Bibliography"/>
      </w:pPr>
      <w:r>
        <w:t xml:space="preserve">28.</w:t>
      </w:r>
      <w:r>
        <w:t xml:space="preserve"> </w:t>
      </w:r>
      <w:r>
        <w:t xml:space="preserve">	</w:t>
      </w:r>
      <w:r>
        <w:t xml:space="preserve">Campbell, O. L. &amp; Weber, A. M.</w:t>
      </w:r>
      <w:r>
        <w:t xml:space="preserve"> </w:t>
      </w:r>
      <w:hyperlink r:id="rId139">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40"/>
    <w:bookmarkStart w:id="142"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41">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2"/>
    <w:bookmarkStart w:id="144" w:name="ref-hurstLongTermStorageCapacity1951"/>
    <w:p>
      <w:pPr>
        <w:pStyle w:val="Bibliography"/>
      </w:pPr>
      <w:r>
        <w:t xml:space="preserve">30.</w:t>
      </w:r>
      <w:r>
        <w:t xml:space="preserve"> </w:t>
      </w:r>
      <w:r>
        <w:t xml:space="preserve">	</w:t>
      </w:r>
      <w:r>
        <w:t xml:space="preserve">Hurst, H. E.</w:t>
      </w:r>
      <w:r>
        <w:t xml:space="preserve"> </w:t>
      </w:r>
      <w:hyperlink r:id="rId143">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4"/>
    <w:bookmarkStart w:id="145"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5"/>
    <w:bookmarkStart w:id="147"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46">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7"/>
    <w:bookmarkStart w:id="149" w:name="X67f88f309fcd2f4a1598267ccaa3cd1cbb49c50"/>
    <w:p>
      <w:pPr>
        <w:pStyle w:val="Bibliography"/>
      </w:pPr>
      <w:r>
        <w:t xml:space="preserve">33.</w:t>
      </w:r>
      <w:r>
        <w:t xml:space="preserve"> </w:t>
      </w:r>
      <w:r>
        <w:t xml:space="preserve">	</w:t>
      </w:r>
      <w:r>
        <w:t xml:space="preserve">Ciuciu, P., Abry, P. &amp; He, B. J.</w:t>
      </w:r>
      <w:r>
        <w:t xml:space="preserve"> </w:t>
      </w:r>
      <w:hyperlink r:id="rId148">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9"/>
    <w:bookmarkStart w:id="151" w:name="ref-heScaleFreePropertiesFunctional2011"/>
    <w:p>
      <w:pPr>
        <w:pStyle w:val="Bibliography"/>
      </w:pPr>
      <w:r>
        <w:t xml:space="preserve">34.</w:t>
      </w:r>
      <w:r>
        <w:t xml:space="preserve"> </w:t>
      </w:r>
      <w:r>
        <w:t xml:space="preserve">	</w:t>
      </w:r>
      <w:r>
        <w:t xml:space="preserve">He, B. J.</w:t>
      </w:r>
      <w:r>
        <w:t xml:space="preserve"> </w:t>
      </w:r>
      <w:hyperlink r:id="rId150">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1"/>
    <w:bookmarkStart w:id="152"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2"/>
    <w:bookmarkStart w:id="154"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53">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4"/>
    <w:bookmarkStart w:id="156"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55">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6"/>
    <w:bookmarkStart w:id="158"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57">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8"/>
    <w:bookmarkStart w:id="160"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59">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60"/>
    <w:bookmarkStart w:id="162" w:name="ref-warsiCorrelatingBrainBlood2012"/>
    <w:p>
      <w:pPr>
        <w:pStyle w:val="Bibliography"/>
      </w:pPr>
      <w:r>
        <w:t xml:space="preserve">40.</w:t>
      </w:r>
      <w:r>
        <w:t xml:space="preserve"> </w:t>
      </w:r>
      <w:r>
        <w:t xml:space="preserve">	</w:t>
      </w:r>
      <w:r>
        <w:t xml:space="preserve">Warsi, M. A., Molloy, W. &amp; Noseworthy, M. D.</w:t>
      </w:r>
      <w:r>
        <w:t xml:space="preserve"> </w:t>
      </w:r>
      <w:hyperlink r:id="rId161">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2"/>
    <w:bookmarkStart w:id="164" w:name="ref-donaTemporalFractalAnalysis2017"/>
    <w:p>
      <w:pPr>
        <w:pStyle w:val="Bibliography"/>
      </w:pPr>
      <w:r>
        <w:t xml:space="preserve">41.</w:t>
      </w:r>
      <w:r>
        <w:t xml:space="preserve"> </w:t>
      </w:r>
      <w:r>
        <w:t xml:space="preserve">	</w:t>
      </w:r>
      <w:r>
        <w:t xml:space="preserve">Dona, O., Hall, G. B. &amp; Noseworthy, M. D.</w:t>
      </w:r>
      <w:r>
        <w:t xml:space="preserve"> </w:t>
      </w:r>
      <w:hyperlink r:id="rId163">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4"/>
    <w:bookmarkStart w:id="166"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65">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6"/>
    <w:bookmarkStart w:id="168"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7">
        <w:r>
          <w:rPr>
            <w:rStyle w:val="InternetLink"/>
          </w:rPr>
          <w:t xml:space="preserve">10.1016/j.bpsc.2024.09.003</w:t>
        </w:r>
      </w:hyperlink>
      <w:r>
        <w:t xml:space="preserve">.</w:t>
      </w:r>
    </w:p>
    <w:bookmarkEnd w:id="168"/>
    <w:bookmarkStart w:id="170"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9">
        <w:r>
          <w:rPr>
            <w:rStyle w:val="InternetLink"/>
          </w:rPr>
          <w:t xml:space="preserve">10.1101/2022.05.24.22275531</w:t>
        </w:r>
      </w:hyperlink>
      <w:r>
        <w:t xml:space="preserve">.</w:t>
      </w:r>
    </w:p>
    <w:bookmarkEnd w:id="170"/>
    <w:bookmarkStart w:id="172"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71">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2"/>
    <w:bookmarkStart w:id="174"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73">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4"/>
    <w:bookmarkStart w:id="176"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75">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6"/>
    <w:bookmarkStart w:id="178"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77">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8"/>
    <w:bookmarkStart w:id="180"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79">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0"/>
    <w:bookmarkStart w:id="182"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81">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2"/>
    <w:bookmarkStart w:id="184" w:name="X195a6a133ec6fab0acbef6fbf212c03ad0ed323"/>
    <w:p>
      <w:pPr>
        <w:pStyle w:val="Bibliography"/>
      </w:pPr>
      <w:r>
        <w:t xml:space="preserve">51.</w:t>
      </w:r>
      <w:r>
        <w:t xml:space="preserve"> </w:t>
      </w:r>
      <w:r>
        <w:t xml:space="preserve">	</w:t>
      </w:r>
      <w:r>
        <w:t xml:space="preserve">Page, C. E. &amp; Coutellier, L.</w:t>
      </w:r>
      <w:r>
        <w:t xml:space="preserve"> </w:t>
      </w:r>
      <w:hyperlink r:id="rId183">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4"/>
    <w:bookmarkStart w:id="186"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85">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6"/>
    <w:bookmarkStart w:id="188"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87">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88"/>
    <w:bookmarkStart w:id="190" w:name="X33af55f10e3529ea3b703273ed55b97973a9c47"/>
    <w:p>
      <w:pPr>
        <w:pStyle w:val="Bibliography"/>
      </w:pPr>
      <w:r>
        <w:t xml:space="preserve">54.</w:t>
      </w:r>
      <w:r>
        <w:t xml:space="preserve"> </w:t>
      </w:r>
      <w:r>
        <w:t xml:space="preserve">	</w:t>
      </w:r>
      <w:r>
        <w:t xml:space="preserve">Stanley, J. A. &amp; Raz, N.</w:t>
      </w:r>
      <w:r>
        <w:t xml:space="preserve"> </w:t>
      </w:r>
      <w:hyperlink r:id="rId189">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0"/>
    <w:bookmarkStart w:id="192" w:name="ref-harrisEdited1Magnetic2017"/>
    <w:p>
      <w:pPr>
        <w:pStyle w:val="Bibliography"/>
      </w:pPr>
      <w:r>
        <w:t xml:space="preserve">55.</w:t>
      </w:r>
      <w:r>
        <w:t xml:space="preserve"> </w:t>
      </w:r>
      <w:r>
        <w:t xml:space="preserve">	</w:t>
      </w:r>
      <w:r>
        <w:t xml:space="preserve">Harris, A. D., Saleh, M. G. &amp; Edden, R. A. E.</w:t>
      </w:r>
      <w:r>
        <w:t xml:space="preserve"> </w:t>
      </w:r>
      <w:hyperlink r:id="rId191">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2"/>
    <w:bookmarkStart w:id="194"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93">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4"/>
    <w:bookmarkStart w:id="196"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95">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96"/>
    <w:bookmarkStart w:id="198"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97">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98"/>
    <w:bookmarkStart w:id="200" w:name="X57bd0e2605c22795c5bd8ffc8a5c4acda84f88f"/>
    <w:p>
      <w:pPr>
        <w:pStyle w:val="Bibliography"/>
      </w:pPr>
      <w:r>
        <w:t xml:space="preserve">59.</w:t>
      </w:r>
      <w:r>
        <w:t xml:space="preserve"> </w:t>
      </w:r>
      <w:r>
        <w:t xml:space="preserve">	</w:t>
      </w:r>
      <w:r>
        <w:t xml:space="preserve">Beggs, J. M. &amp; Plenz, D.</w:t>
      </w:r>
      <w:r>
        <w:t xml:space="preserve"> </w:t>
      </w:r>
      <w:hyperlink r:id="rId199">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200"/>
    <w:bookmarkStart w:id="202" w:name="Xdb649a1852d5606ef37cf9435a5ad42696389d3"/>
    <w:p>
      <w:pPr>
        <w:pStyle w:val="Bibliography"/>
      </w:pPr>
      <w:r>
        <w:t xml:space="preserve">60.</w:t>
      </w:r>
      <w:r>
        <w:t xml:space="preserve"> </w:t>
      </w:r>
      <w:r>
        <w:t xml:space="preserve">	</w:t>
      </w:r>
      <w:r>
        <w:t xml:space="preserve">Gireesh, E. D. &amp; Plenz, D.</w:t>
      </w:r>
      <w:r>
        <w:t xml:space="preserve"> </w:t>
      </w:r>
      <w:hyperlink r:id="rId201">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202"/>
    <w:bookmarkStart w:id="204" w:name="ref-yangMaximalVariabilityPhase2012"/>
    <w:p>
      <w:pPr>
        <w:pStyle w:val="Bibliography"/>
      </w:pPr>
      <w:r>
        <w:t xml:space="preserve">61.</w:t>
      </w:r>
      <w:r>
        <w:t xml:space="preserve"> </w:t>
      </w:r>
      <w:r>
        <w:t xml:space="preserve">	</w:t>
      </w:r>
      <w:r>
        <w:t xml:space="preserve">Yang, H., Shew, W. L., Roy, R. &amp; Plenz, D.</w:t>
      </w:r>
      <w:r>
        <w:t xml:space="preserve"> </w:t>
      </w:r>
      <w:hyperlink r:id="rId203">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204"/>
    <w:bookmarkStart w:id="206" w:name="ref-obyrneHowCriticalBrain2022"/>
    <w:p>
      <w:pPr>
        <w:pStyle w:val="Bibliography"/>
      </w:pPr>
      <w:r>
        <w:t xml:space="preserve">62.</w:t>
      </w:r>
      <w:r>
        <w:t xml:space="preserve"> </w:t>
      </w:r>
      <w:r>
        <w:t xml:space="preserve">	</w:t>
      </w:r>
      <w:r>
        <w:t xml:space="preserve">O’Byrne, J. &amp; Jerbi, K.</w:t>
      </w:r>
      <w:r>
        <w:t xml:space="preserve"> </w:t>
      </w:r>
      <w:hyperlink r:id="rId205">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206"/>
    <w:bookmarkStart w:id="208"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207">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208"/>
    <w:bookmarkStart w:id="210"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209">
        <w:r>
          <w:rPr>
            <w:rStyle w:val="InternetLink"/>
          </w:rPr>
          <w:t xml:space="preserve">10.5463/thesis.144</w:t>
        </w:r>
      </w:hyperlink>
      <w:r>
        <w:t xml:space="preserve">.</w:t>
      </w:r>
    </w:p>
    <w:bookmarkEnd w:id="210"/>
    <w:bookmarkStart w:id="212"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211">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12"/>
    <w:bookmarkStart w:id="214" w:name="X53ee3219835bedd3e8024e256fb42bd968bf7fb"/>
    <w:p>
      <w:pPr>
        <w:pStyle w:val="Bibliography"/>
      </w:pPr>
      <w:r>
        <w:t xml:space="preserve">66.</w:t>
      </w:r>
      <w:r>
        <w:t xml:space="preserve"> </w:t>
      </w:r>
      <w:r>
        <w:t xml:space="preserve">	</w:t>
      </w:r>
      <w:r>
        <w:t xml:space="preserve">Ikeda, N., Akita, D. &amp; Takahashi, H.</w:t>
      </w:r>
      <w:r>
        <w:t xml:space="preserve"> </w:t>
      </w:r>
      <w:hyperlink r:id="rId213">
        <w:r>
          <w:rPr>
            <w:rStyle w:val="InternetLink"/>
          </w:rPr>
          <w:t xml:space="preserve">Emergent functions of noise-driven spontaneous activity:</w:t>
        </w:r>
        <w:r>
          <w:rPr>
            <w:rStyle w:val="InternetLink"/>
          </w:rPr>
          <w:t xml:space="preserve"> </w:t>
        </w:r>
        <w:r>
          <w:rPr>
            <w:rStyle w:val="InternetLink"/>
          </w:rPr>
          <w:t xml:space="preserve">Homeostatic</w:t>
        </w:r>
        <w:r>
          <w:rPr>
            <w:rStyle w:val="InternetLink"/>
          </w:rPr>
          <w:t xml:space="preserve"> </w:t>
        </w:r>
        <w:r>
          <w:rPr>
            <w:rStyle w:val="InternetLink"/>
          </w:rPr>
          <w:t xml:space="preserve">maintenance of criticality and memory consolidation</w:t>
        </w:r>
      </w:hyperlink>
      <w:r>
        <w:t xml:space="preserve">. (2025).</w:t>
      </w:r>
    </w:p>
    <w:bookmarkEnd w:id="214"/>
    <w:bookmarkStart w:id="216" w:name="ref-xiePharmacoresistantTemporalLobe2024"/>
    <w:p>
      <w:pPr>
        <w:pStyle w:val="Bibliography"/>
      </w:pPr>
      <w:r>
        <w:t xml:space="preserve">67.</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15">
        <w:r>
          <w:rPr>
            <w:rStyle w:val="InternetLink"/>
          </w:rPr>
          <w:t xml:space="preserve">10.1101/2024.04.22.590555</w:t>
        </w:r>
      </w:hyperlink>
      <w:r>
        <w:t xml:space="preserve">.</w:t>
      </w:r>
    </w:p>
    <w:bookmarkEnd w:id="216"/>
    <w:bookmarkStart w:id="218" w:name="X66840f2e535e017a7b65cdb14133cdb34347199"/>
    <w:p>
      <w:pPr>
        <w:pStyle w:val="Bibliography"/>
      </w:pPr>
      <w:r>
        <w:t xml:space="preserve">68.</w:t>
      </w:r>
      <w:r>
        <w:t xml:space="preserve"> </w:t>
      </w:r>
      <w:r>
        <w:t xml:space="preserve">	</w:t>
      </w:r>
      <w:r>
        <w:t xml:space="preserve">Fotiadis, P.</w:t>
      </w:r>
      <w:r>
        <w:t xml:space="preserve"> </w:t>
      </w:r>
      <w:r>
        <w:rPr>
          <w:i/>
          <w:iCs/>
        </w:rPr>
        <w:t xml:space="preserve">et al.</w:t>
      </w:r>
      <w:r>
        <w:t xml:space="preserve"> </w:t>
      </w:r>
      <w:hyperlink r:id="rId217">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18"/>
    <w:bookmarkStart w:id="220" w:name="X64d5c77c0dd95405f1207ce5d2d112cdcadb366"/>
    <w:p>
      <w:pPr>
        <w:pStyle w:val="Bibliography"/>
      </w:pPr>
      <w:r>
        <w:t xml:space="preserve">69.</w:t>
      </w:r>
      <w:r>
        <w:t xml:space="preserve"> </w:t>
      </w:r>
      <w:r>
        <w:t xml:space="preserve">	</w:t>
      </w:r>
      <w:r>
        <w:t xml:space="preserve">Vanderwal, T., Eilbott, J. &amp; Castellanos, F. X.</w:t>
      </w:r>
      <w:r>
        <w:t xml:space="preserve"> </w:t>
      </w:r>
      <w:hyperlink r:id="rId219">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20"/>
    <w:bookmarkStart w:id="222" w:name="ref-linInvestigatingMetabolicChanges2012"/>
    <w:p>
      <w:pPr>
        <w:pStyle w:val="Bibliography"/>
      </w:pPr>
      <w:r>
        <w:t xml:space="preserve">70.</w:t>
      </w:r>
      <w:r>
        <w:t xml:space="preserve"> </w:t>
      </w:r>
      <w:r>
        <w:t xml:space="preserve">	</w:t>
      </w:r>
      <w:r>
        <w:t xml:space="preserve">Lin, Y., Stephenson, M. C., Xin, L., Napolitano, A. &amp; Morris, P. G.</w:t>
      </w:r>
      <w:r>
        <w:t xml:space="preserve"> </w:t>
      </w:r>
      <w:hyperlink r:id="rId221">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22"/>
    <w:bookmarkStart w:id="224" w:name="X3c88d9f185b840e7d37383eacc851b1a1df9e52"/>
    <w:p>
      <w:pPr>
        <w:pStyle w:val="Bibliography"/>
      </w:pPr>
      <w:r>
        <w:t xml:space="preserve">71.</w:t>
      </w:r>
      <w:r>
        <w:t xml:space="preserve"> </w:t>
      </w:r>
      <w:r>
        <w:t xml:space="preserve">	</w:t>
      </w:r>
      <w:r>
        <w:t xml:space="preserve">Martínez-Maestro, M., Labadie, C. &amp; Möller, H. E.</w:t>
      </w:r>
      <w:r>
        <w:t xml:space="preserve"> </w:t>
      </w:r>
      <w:hyperlink r:id="rId223">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24"/>
    <w:bookmarkStart w:id="226" w:name="ref-saucedoChangesGABAGlutamate"/>
    <w:p>
      <w:pPr>
        <w:pStyle w:val="Bibliography"/>
      </w:pPr>
      <w:r>
        <w:t xml:space="preserve">72.</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25">
        <w:r>
          <w:rPr>
            <w:rStyle w:val="InternetLink"/>
          </w:rPr>
          <w:t xml:space="preserve">10.58530/2024/1922</w:t>
        </w:r>
      </w:hyperlink>
      <w:r>
        <w:t xml:space="preserve">.</w:t>
      </w:r>
    </w:p>
    <w:bookmarkEnd w:id="226"/>
    <w:bookmarkStart w:id="228" w:name="ref-kurcyusOppositeDynamicsGABA2018"/>
    <w:p>
      <w:pPr>
        <w:pStyle w:val="Bibliography"/>
      </w:pPr>
      <w:r>
        <w:t xml:space="preserve">73.</w:t>
      </w:r>
      <w:r>
        <w:t xml:space="preserve"> </w:t>
      </w:r>
      <w:r>
        <w:t xml:space="preserve">	</w:t>
      </w:r>
      <w:r>
        <w:t xml:space="preserve">Kurcyus, K.</w:t>
      </w:r>
      <w:r>
        <w:t xml:space="preserve"> </w:t>
      </w:r>
      <w:r>
        <w:rPr>
          <w:i/>
          <w:iCs/>
        </w:rPr>
        <w:t xml:space="preserve">et al.</w:t>
      </w:r>
      <w:r>
        <w:t xml:space="preserve"> </w:t>
      </w:r>
      <w:hyperlink r:id="rId227">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28"/>
    <w:bookmarkStart w:id="230" w:name="X2deb2be2adb62c9f33832d8596f4171cb63eb82"/>
    <w:p>
      <w:pPr>
        <w:pStyle w:val="Bibliography"/>
      </w:pPr>
      <w:r>
        <w:t xml:space="preserve">74.</w:t>
      </w:r>
      <w:r>
        <w:t xml:space="preserve"> </w:t>
      </w:r>
      <w:r>
        <w:t xml:space="preserve">	</w:t>
      </w:r>
      <w:r>
        <w:t xml:space="preserve">Oz, G. &amp; Tkáč, I.</w:t>
      </w:r>
      <w:r>
        <w:t xml:space="preserve"> </w:t>
      </w:r>
      <w:hyperlink r:id="rId229">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30"/>
    <w:bookmarkStart w:id="232" w:name="ref-mescherSimultaneousVivoSpectral1998"/>
    <w:p>
      <w:pPr>
        <w:pStyle w:val="Bibliography"/>
      </w:pPr>
      <w:r>
        <w:t xml:space="preserve">75.</w:t>
      </w:r>
      <w:r>
        <w:t xml:space="preserve"> </w:t>
      </w:r>
      <w:r>
        <w:t xml:space="preserve">	</w:t>
      </w:r>
      <w:r>
        <w:t xml:space="preserve">Mescher, M., Merkle, H., Kirsch, J., Garwood, M. &amp; Gruetter, R.</w:t>
      </w:r>
      <w:r>
        <w:t xml:space="preserve"> </w:t>
      </w:r>
      <w:hyperlink r:id="rId231">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32"/>
    <w:bookmarkStart w:id="233" w:name="ref-cordeyJungles2019"/>
    <w:p>
      <w:pPr>
        <w:pStyle w:val="Bibliography"/>
      </w:pPr>
      <w:r>
        <w:t xml:space="preserve">76.</w:t>
      </w:r>
      <w:r>
        <w:t xml:space="preserve"> </w:t>
      </w:r>
      <w:r>
        <w:t xml:space="preserve">	</w:t>
      </w:r>
      <w:r>
        <w:t xml:space="preserve">Cordey, H. Jungles.</w:t>
      </w:r>
      <w:r>
        <w:t xml:space="preserve"> </w:t>
      </w:r>
      <w:r>
        <w:rPr>
          <w:i/>
          <w:iCs/>
        </w:rPr>
        <w:t xml:space="preserve">Our Planet</w:t>
      </w:r>
      <w:r>
        <w:t xml:space="preserve"> </w:t>
      </w:r>
      <w:r>
        <w:t xml:space="preserve">(2019).</w:t>
      </w:r>
    </w:p>
    <w:bookmarkEnd w:id="233"/>
    <w:bookmarkStart w:id="235" w:name="ref-ipCombinedFMRIMRSAcquires2017"/>
    <w:p>
      <w:pPr>
        <w:pStyle w:val="Bibliography"/>
      </w:pPr>
      <w:r>
        <w:t xml:space="preserve">77.</w:t>
      </w:r>
      <w:r>
        <w:t xml:space="preserve"> </w:t>
      </w:r>
      <w:r>
        <w:t xml:space="preserve">	</w:t>
      </w:r>
      <w:r>
        <w:t xml:space="preserve">Ip, I. B.</w:t>
      </w:r>
      <w:r>
        <w:t xml:space="preserve"> </w:t>
      </w:r>
      <w:r>
        <w:rPr>
          <w:i/>
          <w:iCs/>
        </w:rPr>
        <w:t xml:space="preserve">et al.</w:t>
      </w:r>
      <w:r>
        <w:t xml:space="preserve"> </w:t>
      </w:r>
      <w:hyperlink r:id="rId234">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35"/>
    <w:bookmarkStart w:id="237" w:name="X56c2864753b60d9230ad09d1af7ca17bd280dab"/>
    <w:p>
      <w:pPr>
        <w:pStyle w:val="Bibliography"/>
      </w:pPr>
      <w:r>
        <w:t xml:space="preserve">78.</w:t>
      </w:r>
      <w:r>
        <w:t xml:space="preserve"> </w:t>
      </w:r>
      <w:r>
        <w:t xml:space="preserve">	</w:t>
      </w:r>
      <w:r>
        <w:t xml:space="preserve">Wilson, M.</w:t>
      </w:r>
      <w:r>
        <w:t xml:space="preserve"> </w:t>
      </w:r>
      <w:r>
        <w:rPr>
          <w:i/>
          <w:iCs/>
        </w:rPr>
        <w:t xml:space="preserve">et al.</w:t>
      </w:r>
      <w:r>
        <w:t xml:space="preserve"> </w:t>
      </w:r>
      <w:hyperlink r:id="rId23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37"/>
    <w:bookmarkStart w:id="239" w:name="X43d031096c745031e21b8d0f664225976fbb7fa"/>
    <w:p>
      <w:pPr>
        <w:pStyle w:val="Bibliography"/>
      </w:pPr>
      <w:r>
        <w:t xml:space="preserve">79.</w:t>
      </w:r>
      <w:r>
        <w:t xml:space="preserve"> </w:t>
      </w:r>
      <w:r>
        <w:t xml:space="preserve">	</w:t>
      </w:r>
      <w:r>
        <w:t xml:space="preserve">Van Veenendaal, T. M.</w:t>
      </w:r>
      <w:r>
        <w:t xml:space="preserve"> </w:t>
      </w:r>
      <w:r>
        <w:rPr>
          <w:i/>
          <w:iCs/>
        </w:rPr>
        <w:t xml:space="preserve">et al.</w:t>
      </w:r>
      <w:r>
        <w:t xml:space="preserve"> </w:t>
      </w:r>
      <w:hyperlink r:id="rId238">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39"/>
    <w:bookmarkStart w:id="241" w:name="ref-liFirstStepNeuroimaging2016"/>
    <w:p>
      <w:pPr>
        <w:pStyle w:val="Bibliography"/>
      </w:pPr>
      <w:r>
        <w:t xml:space="preserve">80.</w:t>
      </w:r>
      <w:r>
        <w:t xml:space="preserve"> </w:t>
      </w:r>
      <w:r>
        <w:t xml:space="preserve">	</w:t>
      </w:r>
      <w:r>
        <w:t xml:space="preserve">Li, X., Morgan, P. S., Ashburner, J., Smith, J. &amp; Rorden, C.</w:t>
      </w:r>
      <w:r>
        <w:t xml:space="preserve"> </w:t>
      </w:r>
      <w:hyperlink r:id="rId240">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41"/>
    <w:bookmarkStart w:id="243" w:name="ref-gorgolewskiBrainImagingData2016"/>
    <w:p>
      <w:pPr>
        <w:pStyle w:val="Bibliography"/>
      </w:pPr>
      <w:r>
        <w:t xml:space="preserve">81.</w:t>
      </w:r>
      <w:r>
        <w:t xml:space="preserve"> </w:t>
      </w:r>
      <w:r>
        <w:t xml:space="preserve">	</w:t>
      </w:r>
      <w:r>
        <w:t xml:space="preserve">Gorgolewski, K. J.</w:t>
      </w:r>
      <w:r>
        <w:t xml:space="preserve"> </w:t>
      </w:r>
      <w:r>
        <w:rPr>
          <w:i/>
          <w:iCs/>
        </w:rPr>
        <w:t xml:space="preserve">et al.</w:t>
      </w:r>
      <w:r>
        <w:t xml:space="preserve"> </w:t>
      </w:r>
      <w:hyperlink r:id="rId242">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43"/>
    <w:bookmarkStart w:id="245" w:name="ref-boreDcm2Bids2023"/>
    <w:p>
      <w:pPr>
        <w:pStyle w:val="Bibliography"/>
      </w:pPr>
      <w:r>
        <w:t xml:space="preserve">82.</w:t>
      </w:r>
      <w:r>
        <w:t xml:space="preserve"> </w:t>
      </w:r>
      <w:r>
        <w:t xml:space="preserve">	</w:t>
      </w:r>
      <w:r>
        <w:t xml:space="preserve">Boré, A., Guay, S., Bedetti, C., Meisler, S. &amp; GuenTher, N.</w:t>
      </w:r>
      <w:r>
        <w:t xml:space="preserve"> </w:t>
      </w:r>
      <w:r>
        <w:t xml:space="preserve">Dcm2Bids</w:t>
      </w:r>
      <w:r>
        <w:t xml:space="preserve">. (2023) doi:</w:t>
      </w:r>
      <w:hyperlink r:id="rId244">
        <w:r>
          <w:rPr>
            <w:rStyle w:val="InternetLink"/>
          </w:rPr>
          <w:t xml:space="preserve">10.5281/zenodo.8436509</w:t>
        </w:r>
      </w:hyperlink>
      <w:r>
        <w:t xml:space="preserve">.</w:t>
      </w:r>
    </w:p>
    <w:bookmarkEnd w:id="245"/>
    <w:bookmarkStart w:id="247" w:name="ref-tustisonN4ITKImprovedN32010"/>
    <w:p>
      <w:pPr>
        <w:pStyle w:val="Bibliography"/>
      </w:pPr>
      <w:r>
        <w:t xml:space="preserve">83.</w:t>
      </w:r>
      <w:r>
        <w:t xml:space="preserve"> </w:t>
      </w:r>
      <w:r>
        <w:t xml:space="preserve">	</w:t>
      </w:r>
      <w:r>
        <w:t xml:space="preserve">Tustison, N. J.</w:t>
      </w:r>
      <w:r>
        <w:t xml:space="preserve"> </w:t>
      </w:r>
      <w:r>
        <w:rPr>
          <w:i/>
          <w:iCs/>
        </w:rPr>
        <w:t xml:space="preserve">et al.</w:t>
      </w:r>
      <w:r>
        <w:t xml:space="preserve"> </w:t>
      </w:r>
      <w:hyperlink r:id="rId246">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47"/>
    <w:bookmarkStart w:id="249" w:name="Xeefaf9082b75bd08ec775a50708dca4153d9690"/>
    <w:p>
      <w:pPr>
        <w:pStyle w:val="Bibliography"/>
      </w:pPr>
      <w:r>
        <w:t xml:space="preserve">84.</w:t>
      </w:r>
      <w:r>
        <w:t xml:space="preserve"> </w:t>
      </w:r>
      <w:r>
        <w:t xml:space="preserve">	</w:t>
      </w:r>
      <w:r>
        <w:t xml:space="preserve">Avants, B. B., Epstein, C. L., Grossman, M. &amp; Gee, J. C.</w:t>
      </w:r>
      <w:r>
        <w:t xml:space="preserve"> </w:t>
      </w:r>
      <w:hyperlink r:id="rId248">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49"/>
    <w:bookmarkStart w:id="251" w:name="X43711a0a118a74b3ee63b3c5ba2faa681733756"/>
    <w:p>
      <w:pPr>
        <w:pStyle w:val="Bibliography"/>
      </w:pPr>
      <w:r>
        <w:t xml:space="preserve">85.</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50">
        <w:r>
          <w:rPr>
            <w:rStyle w:val="InternetLink"/>
          </w:rPr>
          <w:t xml:space="preserve">10.5281/zenodo.50186</w:t>
        </w:r>
      </w:hyperlink>
      <w:r>
        <w:t xml:space="preserve">.</w:t>
      </w:r>
    </w:p>
    <w:bookmarkEnd w:id="251"/>
    <w:bookmarkStart w:id="253" w:name="ref-zhangSegmentationBrainMR2001"/>
    <w:p>
      <w:pPr>
        <w:pStyle w:val="Bibliography"/>
      </w:pPr>
      <w:r>
        <w:t xml:space="preserve">86.</w:t>
      </w:r>
      <w:r>
        <w:t xml:space="preserve"> </w:t>
      </w:r>
      <w:r>
        <w:t xml:space="preserve">	</w:t>
      </w:r>
      <w:r>
        <w:t xml:space="preserve">Zhang, Y., Brady, M. &amp; Smith, S.</w:t>
      </w:r>
      <w:r>
        <w:t xml:space="preserve"> </w:t>
      </w:r>
      <w:hyperlink r:id="rId252">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53"/>
    <w:bookmarkStart w:id="255" w:name="X9e85724468787baf5444247f89a11ca552f98cd"/>
    <w:p>
      <w:pPr>
        <w:pStyle w:val="Bibliography"/>
      </w:pPr>
      <w:r>
        <w:t xml:space="preserve">87.</w:t>
      </w:r>
      <w:r>
        <w:t xml:space="preserve"> </w:t>
      </w:r>
      <w:r>
        <w:t xml:space="preserve">	</w:t>
      </w:r>
      <w:r>
        <w:t xml:space="preserve">Smith, S. M.</w:t>
      </w:r>
      <w:r>
        <w:t xml:space="preserve"> </w:t>
      </w:r>
      <w:r>
        <w:rPr>
          <w:i/>
          <w:iCs/>
        </w:rPr>
        <w:t xml:space="preserve">et al.</w:t>
      </w:r>
      <w:r>
        <w:t xml:space="preserve"> </w:t>
      </w:r>
      <w:hyperlink r:id="rId254">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55"/>
    <w:bookmarkStart w:id="257" w:name="ref-daleCorticalSurfacebasedAnalysis1999"/>
    <w:p>
      <w:pPr>
        <w:pStyle w:val="Bibliography"/>
      </w:pPr>
      <w:r>
        <w:t xml:space="preserve">88.</w:t>
      </w:r>
      <w:r>
        <w:t xml:space="preserve"> </w:t>
      </w:r>
      <w:r>
        <w:t xml:space="preserve">	</w:t>
      </w:r>
      <w:r>
        <w:t xml:space="preserve">Dale, A. M., Fischl, B. &amp; Sereno, M. I.</w:t>
      </w:r>
      <w:r>
        <w:t xml:space="preserve"> </w:t>
      </w:r>
      <w:hyperlink r:id="rId256">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57"/>
    <w:bookmarkStart w:id="259" w:name="X3c1fe9de21a1d29d636da9e3eada512cffb92e2"/>
    <w:p>
      <w:pPr>
        <w:pStyle w:val="Bibliography"/>
      </w:pPr>
      <w:r>
        <w:t xml:space="preserve">89.</w:t>
      </w:r>
      <w:r>
        <w:t xml:space="preserve"> </w:t>
      </w:r>
      <w:r>
        <w:t xml:space="preserve">	</w:t>
      </w:r>
      <w:r>
        <w:t xml:space="preserve">Klein, A.</w:t>
      </w:r>
      <w:r>
        <w:t xml:space="preserve"> </w:t>
      </w:r>
      <w:r>
        <w:rPr>
          <w:i/>
          <w:iCs/>
        </w:rPr>
        <w:t xml:space="preserve">et al.</w:t>
      </w:r>
      <w:r>
        <w:t xml:space="preserve"> </w:t>
      </w:r>
      <w:hyperlink r:id="rId258">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59"/>
    <w:bookmarkStart w:id="261" w:name="Xe1081da162060deb82331b9df54dc7d82337269"/>
    <w:p>
      <w:pPr>
        <w:pStyle w:val="Bibliography"/>
      </w:pPr>
      <w:r>
        <w:t xml:space="preserve">90.</w:t>
      </w:r>
      <w:r>
        <w:t xml:space="preserve"> </w:t>
      </w:r>
      <w:r>
        <w:t xml:space="preserve">	</w:t>
      </w:r>
      <w:r>
        <w:t xml:space="preserve">Esteban, O.</w:t>
      </w:r>
      <w:r>
        <w:t xml:space="preserve"> </w:t>
      </w:r>
      <w:r>
        <w:rPr>
          <w:i/>
          <w:iCs/>
        </w:rPr>
        <w:t xml:space="preserve">et al.</w:t>
      </w:r>
      <w:r>
        <w:t xml:space="preserve"> </w:t>
      </w:r>
      <w:hyperlink r:id="rId260">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61"/>
    <w:bookmarkStart w:id="263" w:name="Xf6126b899085a9a785ebf6398c9bce49f28ea50"/>
    <w:p>
      <w:pPr>
        <w:pStyle w:val="Bibliography"/>
      </w:pPr>
      <w:r>
        <w:t xml:space="preserve">91.</w:t>
      </w:r>
      <w:r>
        <w:t xml:space="preserve"> </w:t>
      </w:r>
      <w:r>
        <w:t xml:space="preserve">	</w:t>
      </w:r>
      <w:r>
        <w:t xml:space="preserve">Jenkinson, M., Bannister, P., Brady, M. &amp; Smith, S.</w:t>
      </w:r>
      <w:r>
        <w:t xml:space="preserve"> </w:t>
      </w:r>
      <w:hyperlink r:id="rId262">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63"/>
    <w:bookmarkStart w:id="265" w:name="ref-coxAFNISoftwareAnalysis1996"/>
    <w:p>
      <w:pPr>
        <w:pStyle w:val="Bibliography"/>
      </w:pPr>
      <w:r>
        <w:t xml:space="preserve">92.</w:t>
      </w:r>
      <w:r>
        <w:t xml:space="preserve"> </w:t>
      </w:r>
      <w:r>
        <w:t xml:space="preserve">	</w:t>
      </w:r>
      <w:r>
        <w:t xml:space="preserve">Cox, R. W.</w:t>
      </w:r>
      <w:r>
        <w:t xml:space="preserve"> </w:t>
      </w:r>
      <w:hyperlink r:id="rId264">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65"/>
    <w:bookmarkStart w:id="267" w:name="X699ec02cddd59da9f6ce2f525f26c7d6f5ae283"/>
    <w:p>
      <w:pPr>
        <w:pStyle w:val="Bibliography"/>
      </w:pPr>
      <w:r>
        <w:t xml:space="preserve">93.</w:t>
      </w:r>
      <w:r>
        <w:t xml:space="preserve"> </w:t>
      </w:r>
      <w:r>
        <w:t xml:space="preserve">	</w:t>
      </w:r>
      <w:r>
        <w:t xml:space="preserve">Posse, S.</w:t>
      </w:r>
      <w:r>
        <w:t xml:space="preserve"> </w:t>
      </w:r>
      <w:r>
        <w:rPr>
          <w:i/>
          <w:iCs/>
        </w:rPr>
        <w:t xml:space="preserve">et al.</w:t>
      </w:r>
      <w:r>
        <w:t xml:space="preserve"> </w:t>
      </w:r>
      <w:hyperlink r:id="rId266">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67"/>
    <w:bookmarkStart w:id="269" w:name="X3a598bbf6fcf345f81ae1f5a13bc405d17b0a4c"/>
    <w:p>
      <w:pPr>
        <w:pStyle w:val="Bibliography"/>
      </w:pPr>
      <w:r>
        <w:t xml:space="preserve">94.</w:t>
      </w:r>
      <w:r>
        <w:t xml:space="preserve"> </w:t>
      </w:r>
      <w:r>
        <w:t xml:space="preserve">	</w:t>
      </w:r>
      <w:r>
        <w:t xml:space="preserve">DuPre, E.</w:t>
      </w:r>
      <w:r>
        <w:t xml:space="preserve"> </w:t>
      </w:r>
      <w:r>
        <w:rPr>
          <w:i/>
          <w:iCs/>
        </w:rPr>
        <w:t xml:space="preserve">et al.</w:t>
      </w:r>
      <w:r>
        <w:t xml:space="preserve"> </w:t>
      </w:r>
      <w:hyperlink r:id="rId268">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69"/>
    <w:bookmarkStart w:id="271" w:name="X3269ade3d7f8b0f39f41bc530824d1dc76d0dfa"/>
    <w:p>
      <w:pPr>
        <w:pStyle w:val="Bibliography"/>
      </w:pPr>
      <w:r>
        <w:t xml:space="preserve">95.</w:t>
      </w:r>
      <w:r>
        <w:t xml:space="preserve"> </w:t>
      </w:r>
      <w:r>
        <w:t xml:space="preserve">	</w:t>
      </w:r>
      <w:r>
        <w:t xml:space="preserve">Oeltzschner, G.</w:t>
      </w:r>
      <w:r>
        <w:t xml:space="preserve"> </w:t>
      </w:r>
      <w:r>
        <w:rPr>
          <w:i/>
          <w:iCs/>
        </w:rPr>
        <w:t xml:space="preserve">et al.</w:t>
      </w:r>
      <w:r>
        <w:t xml:space="preserve"> </w:t>
      </w:r>
      <w:hyperlink r:id="rId270">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71"/>
    <w:bookmarkStart w:id="273" w:name="Xa737e5e392e4bcd51c7fd23331cbb80e3818b9a"/>
    <w:p>
      <w:pPr>
        <w:pStyle w:val="Bibliography"/>
      </w:pPr>
      <w:r>
        <w:t xml:space="preserve">96.</w:t>
      </w:r>
      <w:r>
        <w:t xml:space="preserve"> </w:t>
      </w:r>
      <w:r>
        <w:t xml:space="preserve">	</w:t>
      </w:r>
      <w:r>
        <w:t xml:space="preserve">Provencher, S. W.</w:t>
      </w:r>
      <w:r>
        <w:t xml:space="preserve"> </w:t>
      </w:r>
      <w:hyperlink r:id="rId272">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73"/>
    <w:bookmarkStart w:id="275" w:name="ref-pasantaFunctionalMRSStudies2023"/>
    <w:p>
      <w:pPr>
        <w:pStyle w:val="Bibliography"/>
      </w:pPr>
      <w:r>
        <w:t xml:space="preserve">97.</w:t>
      </w:r>
      <w:r>
        <w:t xml:space="preserve"> </w:t>
      </w:r>
      <w:r>
        <w:t xml:space="preserve">	</w:t>
      </w:r>
      <w:r>
        <w:t xml:space="preserve">Pasanta, D.</w:t>
      </w:r>
      <w:r>
        <w:t xml:space="preserve"> </w:t>
      </w:r>
      <w:r>
        <w:rPr>
          <w:i/>
          <w:iCs/>
        </w:rPr>
        <w:t xml:space="preserve">et al.</w:t>
      </w:r>
      <w:r>
        <w:t xml:space="preserve"> </w:t>
      </w:r>
      <w:hyperlink r:id="rId274">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75"/>
    <w:bookmarkStart w:id="277" w:name="ref-ramadanGlutamateGlutamineReview2013"/>
    <w:p>
      <w:pPr>
        <w:pStyle w:val="Bibliography"/>
      </w:pPr>
      <w:r>
        <w:t xml:space="preserve">98.</w:t>
      </w:r>
      <w:r>
        <w:t xml:space="preserve"> </w:t>
      </w:r>
      <w:r>
        <w:t xml:space="preserve">	</w:t>
      </w:r>
      <w:r>
        <w:t xml:space="preserve">Ramadan, S., Lin, A. &amp; Stanwell, P.</w:t>
      </w:r>
      <w:r>
        <w:t xml:space="preserve"> </w:t>
      </w:r>
      <w:hyperlink r:id="rId276">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77"/>
    <w:bookmarkStart w:id="279" w:name="X052b6cafc7e5dc3a47aa528e7a043214fc5326f"/>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78">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79"/>
    <w:bookmarkStart w:id="281" w:name="X75e3a610a061c8794902153a8faf5931aea2967"/>
    <w:p>
      <w:pPr>
        <w:pStyle w:val="Bibliography"/>
      </w:pPr>
      <w:r>
        <w:t xml:space="preserve">100.</w:t>
      </w:r>
      <w:r>
        <w:t xml:space="preserve"> </w:t>
      </w:r>
      <w:r>
        <w:t xml:space="preserve">	</w:t>
      </w:r>
      <w:r>
        <w:t xml:space="preserve">Zöllner, H. J.</w:t>
      </w:r>
      <w:r>
        <w:t xml:space="preserve"> </w:t>
      </w:r>
      <w:r>
        <w:rPr>
          <w:i/>
          <w:iCs/>
        </w:rPr>
        <w:t xml:space="preserve">et al.</w:t>
      </w:r>
      <w:r>
        <w:t xml:space="preserve"> </w:t>
      </w:r>
      <w:hyperlink r:id="rId280">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81"/>
    <w:bookmarkStart w:id="283" w:name="X180a60f14470e5f085a3ed4594321e508d6ec55"/>
    <w:p>
      <w:pPr>
        <w:pStyle w:val="Bibliography"/>
      </w:pPr>
      <w:r>
        <w:t xml:space="preserve">101.</w:t>
      </w:r>
      <w:r>
        <w:t xml:space="preserve"> </w:t>
      </w:r>
      <w:r>
        <w:t xml:space="preserve">	</w:t>
      </w:r>
      <w:r>
        <w:t xml:space="preserve">An, L., Willem Van Der Veen, J., Li, S., Thomasson, D. M. &amp; Shen, J.</w:t>
      </w:r>
      <w:r>
        <w:t xml:space="preserve"> </w:t>
      </w:r>
      <w:hyperlink r:id="rId282">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83"/>
    <w:bookmarkStart w:id="285" w:name="ref-bouchardNoiseDecorrelationCoil2025"/>
    <w:p>
      <w:pPr>
        <w:pStyle w:val="Bibliography"/>
      </w:pPr>
      <w:r>
        <w:t xml:space="preserve">102.</w:t>
      </w:r>
      <w:r>
        <w:t xml:space="preserve"> </w:t>
      </w:r>
      <w:r>
        <w:t xml:space="preserve">	</w:t>
      </w:r>
      <w:r>
        <w:t xml:space="preserve">Bouchard, A. E. &amp; Mikkelsen, M.</w:t>
      </w:r>
      <w:r>
        <w:t xml:space="preserve"> </w:t>
      </w:r>
      <w:hyperlink r:id="rId284">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85"/>
    <w:bookmarkStart w:id="287" w:name="X34dcf5b26e20f7c34f09cc47bce142128fdda22"/>
    <w:p>
      <w:pPr>
        <w:pStyle w:val="Bibliography"/>
      </w:pPr>
      <w:r>
        <w:t xml:space="preserve">103.</w:t>
      </w:r>
      <w:r>
        <w:t xml:space="preserve"> </w:t>
      </w:r>
      <w:r>
        <w:t xml:space="preserve">	</w:t>
      </w:r>
      <w:r>
        <w:t xml:space="preserve">Harris, A. D., Puts, N. A. J., Barker, P. B. &amp; Edden, R. A. E.</w:t>
      </w:r>
      <w:r>
        <w:t xml:space="preserve"> </w:t>
      </w:r>
      <w:hyperlink r:id="rId286">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87"/>
    <w:bookmarkStart w:id="289" w:name="ref-mikkelsenBigGABAII2019"/>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88">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89"/>
    <w:bookmarkStart w:id="291" w:name="ref-mikkelsenBigGABAEdited2017"/>
    <w:p>
      <w:pPr>
        <w:pStyle w:val="Bibliography"/>
      </w:pPr>
      <w:r>
        <w:t xml:space="preserve">105.</w:t>
      </w:r>
      <w:r>
        <w:t xml:space="preserve"> </w:t>
      </w:r>
      <w:r>
        <w:t xml:space="preserve">	</w:t>
      </w:r>
      <w:r>
        <w:t xml:space="preserve">Mikkelsen, M.</w:t>
      </w:r>
      <w:r>
        <w:t xml:space="preserve"> </w:t>
      </w:r>
      <w:r>
        <w:rPr>
          <w:i/>
          <w:iCs/>
        </w:rPr>
        <w:t xml:space="preserve">et al.</w:t>
      </w:r>
      <w:r>
        <w:t xml:space="preserve"> </w:t>
      </w:r>
      <w:hyperlink r:id="rId290">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91"/>
    <w:bookmarkStart w:id="292" w:name="Xa40a6c308a7c4ecd374d5d433164d97a4c07e0f"/>
    <w:p>
      <w:pPr>
        <w:pStyle w:val="Bibliography"/>
      </w:pPr>
      <w:r>
        <w:t xml:space="preserve">106.</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92"/>
    <w:bookmarkStart w:id="294" w:name="ref-gasparovicUseTissueWater2006"/>
    <w:p>
      <w:pPr>
        <w:pStyle w:val="Bibliography"/>
      </w:pPr>
      <w:r>
        <w:t xml:space="preserve">107.</w:t>
      </w:r>
      <w:r>
        <w:t xml:space="preserve"> </w:t>
      </w:r>
      <w:r>
        <w:t xml:space="preserve">	</w:t>
      </w:r>
      <w:r>
        <w:t xml:space="preserve">Gasparovic, C.</w:t>
      </w:r>
      <w:r>
        <w:t xml:space="preserve"> </w:t>
      </w:r>
      <w:r>
        <w:rPr>
          <w:i/>
          <w:iCs/>
        </w:rPr>
        <w:t xml:space="preserve">et al.</w:t>
      </w:r>
      <w:r>
        <w:t xml:space="preserve"> </w:t>
      </w:r>
      <w:hyperlink r:id="rId293">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94"/>
    <w:bookmarkStart w:id="296" w:name="X3bd4325490f39fc8d86d2a451dd0fe154a395df"/>
    <w:p>
      <w:pPr>
        <w:pStyle w:val="Bibliography"/>
      </w:pPr>
      <w:r>
        <w:t xml:space="preserve">108.</w:t>
      </w:r>
      <w:r>
        <w:t xml:space="preserve"> </w:t>
      </w:r>
      <w:r>
        <w:t xml:space="preserve">	</w:t>
      </w:r>
      <w:r>
        <w:t xml:space="preserve">Rideaux, R.</w:t>
      </w:r>
      <w:r>
        <w:t xml:space="preserve"> </w:t>
      </w:r>
      <w:hyperlink r:id="rId295">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96"/>
    <w:bookmarkStart w:id="298" w:name="ref-juchemB0ShimmingVivo2021"/>
    <w:p>
      <w:pPr>
        <w:pStyle w:val="Bibliography"/>
      </w:pPr>
      <w:r>
        <w:t xml:space="preserve">109.</w:t>
      </w:r>
      <w:r>
        <w:t xml:space="preserve"> </w:t>
      </w:r>
      <w:r>
        <w:t xml:space="preserve">	</w:t>
      </w:r>
      <w:r>
        <w:t xml:space="preserve">Juchem, C.</w:t>
      </w:r>
      <w:r>
        <w:t xml:space="preserve"> </w:t>
      </w:r>
      <w:r>
        <w:rPr>
          <w:i/>
          <w:iCs/>
        </w:rPr>
        <w:t xml:space="preserve">et al.</w:t>
      </w:r>
      <w:r>
        <w:t xml:space="preserve"> </w:t>
      </w:r>
      <w:hyperlink r:id="rId297">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98"/>
    <w:bookmarkStart w:id="300" w:name="ref-eddenGannetBatchprocessingTool2014"/>
    <w:p>
      <w:pPr>
        <w:pStyle w:val="Bibliography"/>
      </w:pPr>
      <w:r>
        <w:t xml:space="preserve">110.</w:t>
      </w:r>
      <w:r>
        <w:t xml:space="preserve"> </w:t>
      </w:r>
      <w:r>
        <w:t xml:space="preserve">	</w:t>
      </w:r>
      <w:r>
        <w:t xml:space="preserve">Edden, R. A. E., Puts, N. A. J., Harris, A. D., Barker, P. B. &amp; Evans, C. J.</w:t>
      </w:r>
      <w:r>
        <w:t xml:space="preserve"> </w:t>
      </w:r>
      <w:hyperlink r:id="rId299">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300"/>
    <w:bookmarkStart w:id="302" w:name="ref-duffPowerSpectralDensity2008"/>
    <w:p>
      <w:pPr>
        <w:pStyle w:val="Bibliography"/>
      </w:pPr>
      <w:r>
        <w:t xml:space="preserve">111.</w:t>
      </w:r>
      <w:r>
        <w:t xml:space="preserve"> </w:t>
      </w:r>
      <w:r>
        <w:t xml:space="preserve">	</w:t>
      </w:r>
      <w:r>
        <w:t xml:space="preserve">Duff, E. P.</w:t>
      </w:r>
      <w:r>
        <w:t xml:space="preserve"> </w:t>
      </w:r>
      <w:r>
        <w:rPr>
          <w:i/>
          <w:iCs/>
        </w:rPr>
        <w:t xml:space="preserve">et al.</w:t>
      </w:r>
      <w:r>
        <w:t xml:space="preserve"> </w:t>
      </w:r>
      <w:hyperlink r:id="rId301">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302"/>
    <w:bookmarkStart w:id="304" w:name="Xd34177f599f07e2811a749ece05b12e11ebd05a"/>
    <w:p>
      <w:pPr>
        <w:pStyle w:val="Bibliography"/>
      </w:pPr>
      <w:r>
        <w:t xml:space="preserve">112.</w:t>
      </w:r>
      <w:r>
        <w:t xml:space="preserve"> </w:t>
      </w:r>
      <w:r>
        <w:t xml:space="preserve">	</w:t>
      </w:r>
      <w:r>
        <w:t xml:space="preserve">Bullmore, E.</w:t>
      </w:r>
      <w:r>
        <w:t xml:space="preserve"> </w:t>
      </w:r>
      <w:r>
        <w:rPr>
          <w:i/>
          <w:iCs/>
        </w:rPr>
        <w:t xml:space="preserve">et al.</w:t>
      </w:r>
      <w:r>
        <w:t xml:space="preserve"> </w:t>
      </w:r>
      <w:hyperlink r:id="rId303">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304"/>
    <w:bookmarkStart w:id="306" w:name="ref-welchUseFastFourier1967"/>
    <w:p>
      <w:pPr>
        <w:pStyle w:val="Bibliography"/>
      </w:pPr>
      <w:r>
        <w:t xml:space="preserve">113.</w:t>
      </w:r>
      <w:r>
        <w:t xml:space="preserve"> </w:t>
      </w:r>
      <w:r>
        <w:t xml:space="preserve">	</w:t>
      </w:r>
      <w:r>
        <w:t xml:space="preserve">Welch, P.</w:t>
      </w:r>
      <w:r>
        <w:t xml:space="preserve"> </w:t>
      </w:r>
      <w:hyperlink r:id="rId305">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306"/>
    <w:bookmarkStart w:id="308" w:name="ref-virtanenSciPy10Fundamental2020"/>
    <w:p>
      <w:pPr>
        <w:pStyle w:val="Bibliography"/>
      </w:pPr>
      <w:r>
        <w:t xml:space="preserve">114.</w:t>
      </w:r>
      <w:r>
        <w:t xml:space="preserve"> </w:t>
      </w:r>
      <w:r>
        <w:t xml:space="preserve">	</w:t>
      </w:r>
      <w:r>
        <w:t xml:space="preserve">Virtanen, P.</w:t>
      </w:r>
      <w:r>
        <w:t xml:space="preserve"> </w:t>
      </w:r>
      <w:r>
        <w:rPr>
          <w:i/>
          <w:iCs/>
        </w:rPr>
        <w:t xml:space="preserve">et al.</w:t>
      </w:r>
      <w:r>
        <w:t xml:space="preserve"> </w:t>
      </w:r>
      <w:hyperlink r:id="rId307">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308"/>
    <w:bookmarkStart w:id="310" w:name="X8f92efa2129315f50d21293b2abe8849772b3c2"/>
    <w:p>
      <w:pPr>
        <w:pStyle w:val="Bibliography"/>
      </w:pPr>
      <w:r>
        <w:t xml:space="preserve">115.</w:t>
      </w:r>
      <w:r>
        <w:t xml:space="preserve"> </w:t>
      </w:r>
      <w:r>
        <w:t xml:space="preserve">	</w:t>
      </w:r>
      <w:r>
        <w:t xml:space="preserve">Rubin, D., Fekete, T. &amp; Mujica-Parodi, L. R.</w:t>
      </w:r>
      <w:r>
        <w:t xml:space="preserve"> </w:t>
      </w:r>
      <w:hyperlink r:id="rId309">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310"/>
    <w:bookmarkStart w:id="312" w:name="X777c331d415e605c70ef5f00469b3557f0cea50"/>
    <w:p>
      <w:pPr>
        <w:pStyle w:val="Bibliography"/>
      </w:pPr>
      <w:r>
        <w:t xml:space="preserve">116.</w:t>
      </w:r>
      <w:r>
        <w:t xml:space="preserve"> </w:t>
      </w:r>
      <w:r>
        <w:t xml:space="preserve">	</w:t>
      </w:r>
      <w:r>
        <w:t xml:space="preserve">Schaefer, A., Brach, J. S., Perera, S. &amp; Sejdić, E.</w:t>
      </w:r>
      <w:r>
        <w:t xml:space="preserve"> </w:t>
      </w:r>
      <w:hyperlink r:id="rId311">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312"/>
    <w:bookmarkStart w:id="314" w:name="ref-hartmannRealtimeFractalSignal2013"/>
    <w:p>
      <w:pPr>
        <w:pStyle w:val="Bibliography"/>
      </w:pPr>
      <w:r>
        <w:t xml:space="preserve">117.</w:t>
      </w:r>
      <w:r>
        <w:t xml:space="preserve"> </w:t>
      </w:r>
      <w:r>
        <w:t xml:space="preserve">	</w:t>
      </w:r>
      <w:r>
        <w:t xml:space="preserve">Hartmann, A.</w:t>
      </w:r>
      <w:r>
        <w:t xml:space="preserve"> </w:t>
      </w:r>
      <w:r>
        <w:rPr>
          <w:i/>
          <w:iCs/>
        </w:rPr>
        <w:t xml:space="preserve">et al.</w:t>
      </w:r>
      <w:r>
        <w:t xml:space="preserve"> </w:t>
      </w:r>
      <w:hyperlink r:id="rId313">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14"/>
    <w:bookmarkStart w:id="316" w:name="ref-ekePhysiologicalTimeSeries2000"/>
    <w:p>
      <w:pPr>
        <w:pStyle w:val="Bibliography"/>
      </w:pPr>
      <w:r>
        <w:t xml:space="preserve">118.</w:t>
      </w:r>
      <w:r>
        <w:t xml:space="preserve"> </w:t>
      </w:r>
      <w:r>
        <w:t xml:space="preserve">	</w:t>
      </w:r>
      <w:r>
        <w:t xml:space="preserve">Eke, A.</w:t>
      </w:r>
      <w:r>
        <w:t xml:space="preserve"> </w:t>
      </w:r>
      <w:r>
        <w:rPr>
          <w:i/>
          <w:iCs/>
        </w:rPr>
        <w:t xml:space="preserve">et al.</w:t>
      </w:r>
      <w:r>
        <w:t xml:space="preserve"> </w:t>
      </w:r>
      <w:hyperlink r:id="rId315">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16"/>
    <w:bookmarkStart w:id="317" w:name="X7d7144c0a52ec3594cffc5fec0f425498533505"/>
    <w:p>
      <w:pPr>
        <w:pStyle w:val="Bibliography"/>
      </w:pPr>
      <w:r>
        <w:t xml:space="preserve">119.</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17"/>
    <w:bookmarkStart w:id="319" w:name="ref-studentProbableErrorMean1908"/>
    <w:p>
      <w:pPr>
        <w:pStyle w:val="Bibliography"/>
      </w:pPr>
      <w:r>
        <w:t xml:space="preserve">120.</w:t>
      </w:r>
      <w:r>
        <w:t xml:space="preserve"> </w:t>
      </w:r>
      <w:r>
        <w:t xml:space="preserve">	</w:t>
      </w:r>
      <w:r>
        <w:t xml:space="preserve">Student.</w:t>
      </w:r>
      <w:r>
        <w:t xml:space="preserve"> </w:t>
      </w:r>
      <w:hyperlink r:id="rId318">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19"/>
    <w:bookmarkStart w:id="320" w:name="ref-freedmanStatistics2007"/>
    <w:p>
      <w:pPr>
        <w:pStyle w:val="Bibliography"/>
      </w:pPr>
      <w:r>
        <w:t xml:space="preserve">121.</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20"/>
    <w:bookmarkStart w:id="322" w:name="X6ae0be824696d7d721165c200683fdc329ea166"/>
    <w:p>
      <w:pPr>
        <w:pStyle w:val="Bibliography"/>
      </w:pPr>
      <w:r>
        <w:t xml:space="preserve">122.</w:t>
      </w:r>
      <w:r>
        <w:t xml:space="preserve"> </w:t>
      </w:r>
      <w:r>
        <w:t xml:space="preserve">	</w:t>
      </w:r>
      <w:r>
        <w:t xml:space="preserve">Thomas Yeo, B. T.</w:t>
      </w:r>
      <w:r>
        <w:t xml:space="preserve"> </w:t>
      </w:r>
      <w:r>
        <w:rPr>
          <w:i/>
          <w:iCs/>
        </w:rPr>
        <w:t xml:space="preserve">et al.</w:t>
      </w:r>
      <w:r>
        <w:t xml:space="preserve"> </w:t>
      </w:r>
      <w:hyperlink r:id="rId321">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22"/>
    <w:bookmarkStart w:id="324" w:name="ref-vanessenHumanConnectomeProject2012"/>
    <w:p>
      <w:pPr>
        <w:pStyle w:val="Bibliography"/>
      </w:pPr>
      <w:r>
        <w:t xml:space="preserve">123.</w:t>
      </w:r>
      <w:r>
        <w:t xml:space="preserve"> </w:t>
      </w:r>
      <w:r>
        <w:t xml:space="preserve">	</w:t>
      </w:r>
      <w:r>
        <w:t xml:space="preserve">Van Essen, D. C.</w:t>
      </w:r>
      <w:r>
        <w:t xml:space="preserve"> </w:t>
      </w:r>
      <w:r>
        <w:rPr>
          <w:i/>
          <w:iCs/>
        </w:rPr>
        <w:t xml:space="preserve">et al.</w:t>
      </w:r>
      <w:r>
        <w:t xml:space="preserve"> </w:t>
      </w:r>
      <w:hyperlink r:id="rId323">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24"/>
    <w:bookmarkStart w:id="326" w:name="ref-barnesEndogenousHumanBrain2009"/>
    <w:p>
      <w:pPr>
        <w:pStyle w:val="Bibliography"/>
      </w:pPr>
      <w:r>
        <w:t xml:space="preserve">124.</w:t>
      </w:r>
      <w:r>
        <w:t xml:space="preserve"> </w:t>
      </w:r>
      <w:r>
        <w:t xml:space="preserve">	</w:t>
      </w:r>
      <w:r>
        <w:t xml:space="preserve">Barnes, A., Bullmore, E. T. &amp; Suckling, J.</w:t>
      </w:r>
      <w:r>
        <w:t xml:space="preserve"> </w:t>
      </w:r>
      <w:hyperlink r:id="rId325">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26"/>
    <w:bookmarkStart w:id="328" w:name="Xdd0f9bdb5d2d0acdde6c08413118c35b45ae4cd"/>
    <w:p>
      <w:pPr>
        <w:pStyle w:val="Bibliography"/>
      </w:pPr>
      <w:r>
        <w:t xml:space="preserve">125.</w:t>
      </w:r>
      <w:r>
        <w:t xml:space="preserve"> </w:t>
      </w:r>
      <w:r>
        <w:t xml:space="preserve">	</w:t>
      </w:r>
      <w:r>
        <w:t xml:space="preserve">Hasson, U., Malach, R. &amp; Heeger, D. J.</w:t>
      </w:r>
      <w:r>
        <w:t xml:space="preserve"> </w:t>
      </w:r>
      <w:hyperlink r:id="rId327">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28"/>
    <w:bookmarkStart w:id="330" w:name="Xd7bbbfdf199e4fdf58c437612e12147a1ffae11"/>
    <w:p>
      <w:pPr>
        <w:pStyle w:val="Bibliography"/>
      </w:pPr>
      <w:r>
        <w:t xml:space="preserve">126.</w:t>
      </w:r>
      <w:r>
        <w:t xml:space="preserve"> </w:t>
      </w:r>
      <w:r>
        <w:t xml:space="preserve">	</w:t>
      </w:r>
      <w:r>
        <w:t xml:space="preserve">Gutzeit, A.</w:t>
      </w:r>
      <w:r>
        <w:t xml:space="preserve"> </w:t>
      </w:r>
      <w:r>
        <w:rPr>
          <w:i/>
          <w:iCs/>
        </w:rPr>
        <w:t xml:space="preserve">et al.</w:t>
      </w:r>
      <w:r>
        <w:t xml:space="preserve"> </w:t>
      </w:r>
      <w:hyperlink r:id="rId329">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30"/>
    <w:bookmarkStart w:id="332" w:name="Xc031393e1e23d215e5a249602114cefaa154497"/>
    <w:p>
      <w:pPr>
        <w:pStyle w:val="Bibliography"/>
      </w:pPr>
      <w:r>
        <w:t xml:space="preserve">127.</w:t>
      </w:r>
      <w:r>
        <w:t xml:space="preserve"> </w:t>
      </w:r>
      <w:r>
        <w:t xml:space="preserve">	</w:t>
      </w:r>
      <w:r>
        <w:t xml:space="preserve">Cleve, M., Gussew, A., Wagner, G., Bär, K.-J. &amp; Reichenbach, J. R.</w:t>
      </w:r>
      <w:r>
        <w:t xml:space="preserve"> </w:t>
      </w:r>
      <w:hyperlink r:id="rId331">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32"/>
    <w:bookmarkStart w:id="334" w:name="X70d4e54e9083b8b511ad1a83fb645f92f8c48a0"/>
    <w:p>
      <w:pPr>
        <w:pStyle w:val="Bibliography"/>
      </w:pPr>
      <w:r>
        <w:t xml:space="preserve">128.</w:t>
      </w:r>
      <w:r>
        <w:t xml:space="preserve"> </w:t>
      </w:r>
      <w:r>
        <w:t xml:space="preserve">	</w:t>
      </w:r>
      <w:r>
        <w:t xml:space="preserve">Apšvalka, D., Gadie, A., Clemence, M. &amp; Mullins, P. G.</w:t>
      </w:r>
      <w:r>
        <w:t xml:space="preserve"> </w:t>
      </w:r>
      <w:hyperlink r:id="rId333">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34"/>
    <w:bookmarkStart w:id="336" w:name="ref-floyer-leaRapidModulationGABA2006"/>
    <w:p>
      <w:pPr>
        <w:pStyle w:val="Bibliography"/>
      </w:pPr>
      <w:r>
        <w:t xml:space="preserve">129.</w:t>
      </w:r>
      <w:r>
        <w:t xml:space="preserve"> </w:t>
      </w:r>
      <w:r>
        <w:t xml:space="preserve">	</w:t>
      </w:r>
      <w:r>
        <w:t xml:space="preserve">Floyer-Lea, A., Wylezinska, M., Kincses, T. &amp; Matthews, P. M.</w:t>
      </w:r>
      <w:r>
        <w:t xml:space="preserve"> </w:t>
      </w:r>
      <w:hyperlink r:id="rId335">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36"/>
    <w:bookmarkStart w:id="338" w:name="Xfd39a03a46266e9206661c98743a7164bea427c"/>
    <w:p>
      <w:pPr>
        <w:pStyle w:val="Bibliography"/>
      </w:pPr>
      <w:r>
        <w:t xml:space="preserve">130.</w:t>
      </w:r>
      <w:r>
        <w:t xml:space="preserve"> </w:t>
      </w:r>
      <w:r>
        <w:t xml:space="preserve">	</w:t>
      </w:r>
      <w:r>
        <w:t xml:space="preserve">Sampaio-Baptista, C.</w:t>
      </w:r>
      <w:r>
        <w:t xml:space="preserve"> </w:t>
      </w:r>
      <w:r>
        <w:rPr>
          <w:i/>
          <w:iCs/>
        </w:rPr>
        <w:t xml:space="preserve">et al.</w:t>
      </w:r>
      <w:r>
        <w:t xml:space="preserve"> </w:t>
      </w:r>
      <w:hyperlink r:id="rId337">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38"/>
    <w:bookmarkStart w:id="340" w:name="ref-staggRoleGABAHuman2011"/>
    <w:p>
      <w:pPr>
        <w:pStyle w:val="Bibliography"/>
      </w:pPr>
      <w:r>
        <w:t xml:space="preserve">131.</w:t>
      </w:r>
      <w:r>
        <w:t xml:space="preserve"> </w:t>
      </w:r>
      <w:r>
        <w:t xml:space="preserve">	</w:t>
      </w:r>
      <w:r>
        <w:t xml:space="preserve">Stagg, C. J., Bachtiar, V. &amp; Johansen-Berg, H.</w:t>
      </w:r>
      <w:r>
        <w:t xml:space="preserve"> </w:t>
      </w:r>
      <w:hyperlink r:id="rId339">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40"/>
    <w:bookmarkStart w:id="342" w:name="Xc23bd815f845e5380371f8632e8bf49cbd2c5fa"/>
    <w:p>
      <w:pPr>
        <w:pStyle w:val="Bibliography"/>
      </w:pPr>
      <w:r>
        <w:t xml:space="preserve">132.</w:t>
      </w:r>
      <w:r>
        <w:t xml:space="preserve"> </w:t>
      </w:r>
      <w:r>
        <w:t xml:space="preserve">	</w:t>
      </w:r>
      <w:r>
        <w:t xml:space="preserve">Mangia, S., Giove, F. &amp; Dinuzzo, M.</w:t>
      </w:r>
      <w:r>
        <w:t xml:space="preserve"> </w:t>
      </w:r>
      <w:hyperlink r:id="rId341">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42"/>
    <w:bookmarkStart w:id="344" w:name="X5469f64f3bb30d988fbeeb1cf3ab3d2dc0d2483"/>
    <w:p>
      <w:pPr>
        <w:pStyle w:val="Bibliography"/>
      </w:pPr>
      <w:r>
        <w:t xml:space="preserve">133.</w:t>
      </w:r>
      <w:r>
        <w:t xml:space="preserve"> </w:t>
      </w:r>
      <w:r>
        <w:t xml:space="preserve">	</w:t>
      </w:r>
      <w:r>
        <w:t xml:space="preserve">Archibald, J.</w:t>
      </w:r>
      <w:r>
        <w:t xml:space="preserve"> </w:t>
      </w:r>
      <w:r>
        <w:rPr>
          <w:i/>
          <w:iCs/>
        </w:rPr>
        <w:t xml:space="preserve">et al.</w:t>
      </w:r>
      <w:r>
        <w:t xml:space="preserve"> </w:t>
      </w:r>
      <w:hyperlink r:id="rId343">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44"/>
    <w:bookmarkStart w:id="346" w:name="ref-huiFrequencyDriftMR2021"/>
    <w:p>
      <w:pPr>
        <w:pStyle w:val="Bibliography"/>
      </w:pPr>
      <w:r>
        <w:t xml:space="preserve">134.</w:t>
      </w:r>
      <w:r>
        <w:t xml:space="preserve"> </w:t>
      </w:r>
      <w:r>
        <w:t xml:space="preserve">	</w:t>
      </w:r>
      <w:r>
        <w:t xml:space="preserve">Hui, S. C. N.</w:t>
      </w:r>
      <w:r>
        <w:t xml:space="preserve"> </w:t>
      </w:r>
      <w:r>
        <w:rPr>
          <w:i/>
          <w:iCs/>
        </w:rPr>
        <w:t xml:space="preserve">et al.</w:t>
      </w:r>
      <w:r>
        <w:t xml:space="preserve"> </w:t>
      </w:r>
      <w:hyperlink r:id="rId345">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46"/>
    <w:bookmarkStart w:id="348" w:name="ref-peekBrainGABAGlutamate2020"/>
    <w:p>
      <w:pPr>
        <w:pStyle w:val="Bibliography"/>
      </w:pPr>
      <w:r>
        <w:t xml:space="preserve">135.</w:t>
      </w:r>
      <w:r>
        <w:t xml:space="preserve"> </w:t>
      </w:r>
      <w:r>
        <w:t xml:space="preserve">	</w:t>
      </w:r>
      <w:r>
        <w:t xml:space="preserve">Peek, A. L.</w:t>
      </w:r>
      <w:r>
        <w:t xml:space="preserve"> </w:t>
      </w:r>
      <w:r>
        <w:rPr>
          <w:i/>
          <w:iCs/>
        </w:rPr>
        <w:t xml:space="preserve">et al.</w:t>
      </w:r>
      <w:r>
        <w:t xml:space="preserve"> </w:t>
      </w:r>
      <w:hyperlink r:id="rId347">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48"/>
    <w:bookmarkStart w:id="350" w:name="ref-choiSpectralEditing1H2021"/>
    <w:p>
      <w:pPr>
        <w:pStyle w:val="Bibliography"/>
      </w:pPr>
      <w:r>
        <w:t xml:space="preserve">136.</w:t>
      </w:r>
      <w:r>
        <w:t xml:space="preserve"> </w:t>
      </w:r>
      <w:r>
        <w:t xml:space="preserve">	</w:t>
      </w:r>
      <w:r>
        <w:t xml:space="preserve">Choi, I.-Y.</w:t>
      </w:r>
      <w:r>
        <w:t xml:space="preserve"> </w:t>
      </w:r>
      <w:r>
        <w:rPr>
          <w:i/>
          <w:iCs/>
        </w:rPr>
        <w:t xml:space="preserve">et al.</w:t>
      </w:r>
      <w:r>
        <w:t xml:space="preserve"> </w:t>
      </w:r>
      <w:hyperlink r:id="rId349">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50"/>
    <w:bookmarkStart w:id="352" w:name="ref-linMinimumReportingStandards2021"/>
    <w:p>
      <w:pPr>
        <w:pStyle w:val="Bibliography"/>
      </w:pPr>
      <w:r>
        <w:t xml:space="preserve">137.</w:t>
      </w:r>
      <w:r>
        <w:t xml:space="preserve"> </w:t>
      </w:r>
      <w:r>
        <w:t xml:space="preserve">	</w:t>
      </w:r>
      <w:r>
        <w:t xml:space="preserve">Lin, A.</w:t>
      </w:r>
      <w:r>
        <w:t xml:space="preserve"> </w:t>
      </w:r>
      <w:r>
        <w:rPr>
          <w:i/>
          <w:iCs/>
        </w:rPr>
        <w:t xml:space="preserve">et al.</w:t>
      </w:r>
      <w:r>
        <w:t xml:space="preserve"> </w:t>
      </w:r>
      <w:hyperlink r:id="rId351">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52"/>
    <w:bookmarkStart w:id="354" w:name="ref-kunduMultiechoFMRIReview2017"/>
    <w:p>
      <w:pPr>
        <w:pStyle w:val="Bibliography"/>
      </w:pPr>
      <w:r>
        <w:t xml:space="preserve">138.</w:t>
      </w:r>
      <w:r>
        <w:t xml:space="preserve"> </w:t>
      </w:r>
      <w:r>
        <w:t xml:space="preserve">	</w:t>
      </w:r>
      <w:r>
        <w:t xml:space="preserve">Kundu, P.</w:t>
      </w:r>
      <w:r>
        <w:t xml:space="preserve"> </w:t>
      </w:r>
      <w:r>
        <w:rPr>
          <w:i/>
          <w:iCs/>
        </w:rPr>
        <w:t xml:space="preserve">et al.</w:t>
      </w:r>
      <w:r>
        <w:t xml:space="preserve"> </w:t>
      </w:r>
      <w:hyperlink r:id="rId353">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54"/>
    <w:bookmarkStart w:id="356" w:name="Xf89f147656cca7b375c337c7265920cd56ec00d"/>
    <w:p>
      <w:pPr>
        <w:pStyle w:val="Bibliography"/>
      </w:pPr>
      <w:r>
        <w:t xml:space="preserve">139.</w:t>
      </w:r>
      <w:r>
        <w:t xml:space="preserve"> </w:t>
      </w:r>
      <w:r>
        <w:t xml:space="preserve">	</w:t>
      </w:r>
      <w:r>
        <w:t xml:space="preserve">Terpstra, M.</w:t>
      </w:r>
      <w:r>
        <w:t xml:space="preserve"> </w:t>
      </w:r>
      <w:r>
        <w:rPr>
          <w:i/>
          <w:iCs/>
        </w:rPr>
        <w:t xml:space="preserve">et al.</w:t>
      </w:r>
      <w:r>
        <w:t xml:space="preserve"> </w:t>
      </w:r>
      <w:hyperlink r:id="rId355">
        <w:r>
          <w:rPr>
            <w:rStyle w:val="InternetLink"/>
          </w:rPr>
          <w:t xml:space="preserve">Test-retest reproducibility of neurochemical profiles with short-echo, single-voxel</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r>
          <w:rPr>
            <w:rStyle w:val="InternetLink"/>
          </w:rPr>
          <w:t xml:space="preserve"> </w:t>
        </w:r>
        <w:r>
          <w:rPr>
            <w:rStyle w:val="InternetLink"/>
          </w:rPr>
          <w:t xml:space="preserve">and</w:t>
        </w:r>
        <w:r>
          <w:rPr>
            <w:rStyle w:val="InternetLink"/>
          </w:rPr>
          <w:t xml:space="preserve"> </w:t>
        </w:r>
        <w:r>
          <w:rPr>
            <w:rStyle w:val="InternetLink"/>
          </w:rPr>
          <w:t xml:space="preserve">7T</w:t>
        </w:r>
      </w:hyperlink>
      <w:r>
        <w:t xml:space="preserve">.</w:t>
      </w:r>
      <w:r>
        <w:t xml:space="preserve"> </w:t>
      </w:r>
      <w:r>
        <w:rPr>
          <w:i/>
          <w:iCs/>
        </w:rPr>
        <w:t xml:space="preserve">Magnetic Resonance in Medicine</w:t>
      </w:r>
      <w:r>
        <w:t xml:space="preserve"> </w:t>
      </w:r>
      <w:r>
        <w:rPr>
          <w:b/>
          <w:bCs/>
        </w:rPr>
        <w:t xml:space="preserve">76</w:t>
      </w:r>
      <w:r>
        <w:t xml:space="preserve">, 1083–1091 (2016).</w:t>
      </w:r>
    </w:p>
    <w:bookmarkEnd w:id="356"/>
    <w:bookmarkStart w:id="358" w:name="ref-mullinsNovelTechniqueStudy2005"/>
    <w:p>
      <w:pPr>
        <w:pStyle w:val="Bibliography"/>
      </w:pPr>
      <w:r>
        <w:t xml:space="preserve">140.</w:t>
      </w:r>
      <w:r>
        <w:t xml:space="preserve"> </w:t>
      </w:r>
      <w:r>
        <w:t xml:space="preserve">	</w:t>
      </w:r>
      <w:r>
        <w:t xml:space="preserve">Mullins, P. G., Rowland, L. M., Jung, R. E. &amp; Sibbitt, W. L.</w:t>
      </w:r>
      <w:r>
        <w:t xml:space="preserve"> </w:t>
      </w:r>
      <w:hyperlink r:id="rId357">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58"/>
    <w:bookmarkStart w:id="360" w:name="ref-gussewTimeresolvedFunctional1H2010"/>
    <w:p>
      <w:pPr>
        <w:pStyle w:val="Bibliography"/>
      </w:pPr>
      <w:r>
        <w:t xml:space="preserve">141.</w:t>
      </w:r>
      <w:r>
        <w:t xml:space="preserve"> </w:t>
      </w:r>
      <w:r>
        <w:t xml:space="preserve">	</w:t>
      </w:r>
      <w:r>
        <w:t xml:space="preserve">Gussew, A.</w:t>
      </w:r>
      <w:r>
        <w:t xml:space="preserve"> </w:t>
      </w:r>
      <w:r>
        <w:rPr>
          <w:i/>
          <w:iCs/>
        </w:rPr>
        <w:t xml:space="preserve">et al.</w:t>
      </w:r>
      <w:r>
        <w:t xml:space="preserve"> </w:t>
      </w:r>
      <w:hyperlink r:id="rId359">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60"/>
    <w:bookmarkStart w:id="362" w:name="X80e31e083a8695b6c4a3f9174931ee68430de4b"/>
    <w:p>
      <w:pPr>
        <w:pStyle w:val="Bibliography"/>
      </w:pPr>
      <w:r>
        <w:t xml:space="preserve">142.</w:t>
      </w:r>
      <w:r>
        <w:t xml:space="preserve"> </w:t>
      </w:r>
      <w:r>
        <w:t xml:space="preserve">	</w:t>
      </w:r>
      <w:r>
        <w:t xml:space="preserve">Gutzeit, A.</w:t>
      </w:r>
      <w:r>
        <w:t xml:space="preserve"> </w:t>
      </w:r>
      <w:r>
        <w:rPr>
          <w:i/>
          <w:iCs/>
        </w:rPr>
        <w:t xml:space="preserve">et al.</w:t>
      </w:r>
      <w:r>
        <w:t xml:space="preserve"> </w:t>
      </w:r>
      <w:hyperlink r:id="rId361">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62"/>
    <w:bookmarkStart w:id="364" w:name="ref-mullinsTheoryFunctionalMagnetic2018"/>
    <w:p>
      <w:pPr>
        <w:pStyle w:val="Bibliography"/>
      </w:pPr>
      <w:r>
        <w:t xml:space="preserve">143.</w:t>
      </w:r>
      <w:r>
        <w:t xml:space="preserve"> </w:t>
      </w:r>
      <w:r>
        <w:t xml:space="preserve">	</w:t>
      </w:r>
      <w:r>
        <w:t xml:space="preserve">Mullins, P. G.</w:t>
      </w:r>
      <w:r>
        <w:t xml:space="preserve"> </w:t>
      </w:r>
      <w:hyperlink r:id="rId363">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64"/>
    <w:bookmarkStart w:id="366" w:name="ref-dwyerSimultaneousMeasurementBOLD2021"/>
    <w:p>
      <w:pPr>
        <w:pStyle w:val="Bibliography"/>
      </w:pPr>
      <w:r>
        <w:t xml:space="preserve">144.</w:t>
      </w:r>
      <w:r>
        <w:t xml:space="preserve"> </w:t>
      </w:r>
      <w:r>
        <w:t xml:space="preserve">	</w:t>
      </w:r>
      <w:r>
        <w:t xml:space="preserve">Dwyer, G. E.</w:t>
      </w:r>
      <w:r>
        <w:t xml:space="preserve"> </w:t>
      </w:r>
      <w:r>
        <w:rPr>
          <w:i/>
          <w:iCs/>
        </w:rPr>
        <w:t xml:space="preserve">et al.</w:t>
      </w:r>
      <w:r>
        <w:t xml:space="preserve"> </w:t>
      </w:r>
      <w:hyperlink r:id="rId365">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66"/>
    <w:bookmarkStart w:id="368" w:name="ref-bellVivoGlxGlu2021"/>
    <w:p>
      <w:pPr>
        <w:pStyle w:val="Bibliography"/>
      </w:pPr>
      <w:r>
        <w:t xml:space="preserve">145.</w:t>
      </w:r>
      <w:r>
        <w:t xml:space="preserve"> </w:t>
      </w:r>
      <w:r>
        <w:t xml:space="preserve">	</w:t>
      </w:r>
      <w:r>
        <w:t xml:space="preserve">Bell, T.</w:t>
      </w:r>
      <w:r>
        <w:t xml:space="preserve"> </w:t>
      </w:r>
      <w:r>
        <w:rPr>
          <w:i/>
          <w:iCs/>
        </w:rPr>
        <w:t xml:space="preserve">et al.</w:t>
      </w:r>
      <w:r>
        <w:t xml:space="preserve"> </w:t>
      </w:r>
      <w:hyperlink r:id="rId367">
        <w:r>
          <w:rPr>
            <w:rStyle w:val="InternetLink"/>
          </w:rPr>
          <w:t xml:space="preserve">In vivo</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Glu</w:t>
        </w:r>
        <w:r>
          <w:rPr>
            <w:rStyle w:val="InternetLink"/>
          </w:rPr>
          <w:t xml:space="preserve"> </w:t>
        </w:r>
        <w:r>
          <w:rPr>
            <w:rStyle w:val="InternetLink"/>
          </w:rPr>
          <w:t xml:space="preserve">measurements from</w:t>
        </w:r>
        <w:r>
          <w:rPr>
            <w:rStyle w:val="InternetLink"/>
          </w:rPr>
          <w:t xml:space="preserve"> </w:t>
        </w:r>
        <w:r>
          <w:rPr>
            <w:rStyle w:val="InternetLink"/>
          </w:rPr>
          <w:t xml:space="preserve">GABA-edited MRS</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34</w:t>
      </w:r>
      <w:r>
        <w:t xml:space="preserve">, e4245 (2021).</w:t>
      </w:r>
    </w:p>
    <w:bookmarkEnd w:id="368"/>
    <w:bookmarkStart w:id="370" w:name="ref-thomsonVivoGlxMeasurements2026"/>
    <w:p>
      <w:pPr>
        <w:pStyle w:val="Bibliography"/>
      </w:pPr>
      <w:r>
        <w:t xml:space="preserve">146.</w:t>
      </w:r>
      <w:r>
        <w:t xml:space="preserve"> </w:t>
      </w:r>
      <w:r>
        <w:t xml:space="preserve">	</w:t>
      </w:r>
      <w:r>
        <w:t xml:space="preserve">Thomson, A. R.</w:t>
      </w:r>
      <w:r>
        <w:t xml:space="preserve"> </w:t>
      </w:r>
      <w:r>
        <w:rPr>
          <w:i/>
          <w:iCs/>
        </w:rPr>
        <w:t xml:space="preserve">et al.</w:t>
      </w:r>
      <w:r>
        <w:t xml:space="preserve"> </w:t>
      </w:r>
      <w:hyperlink r:id="rId369">
        <w:r>
          <w:rPr>
            <w:rStyle w:val="InternetLink"/>
          </w:rPr>
          <w:t xml:space="preserve">In</w:t>
        </w:r>
        <w:r>
          <w:rPr>
            <w:rStyle w:val="InternetLink"/>
          </w:rPr>
          <w:t xml:space="preserve"> </w:t>
        </w:r>
        <w:r>
          <w:rPr>
            <w:rStyle w:val="InternetLink"/>
          </w:rPr>
          <w:t xml:space="preserve">Vivo Glx Measurements From GABA</w:t>
        </w:r>
        <w:r>
          <w:rPr>
            <w:rStyle w:val="InternetLink"/>
          </w:rPr>
          <w:t xml:space="preserve">-</w:t>
        </w:r>
        <w:r>
          <w:rPr>
            <w:rStyle w:val="InternetLink"/>
          </w:rPr>
          <w:t xml:space="preserve">Edited HERMES</w:t>
        </w:r>
        <w:r>
          <w:rPr>
            <w:rStyle w:val="InternetLink"/>
          </w:rPr>
          <w:t xml:space="preserve"> </w:t>
        </w:r>
        <w:r>
          <w:rPr>
            <w:rStyle w:val="InternetLink"/>
          </w:rPr>
          <w:t xml:space="preserve">at 3</w:t>
        </w:r>
        <w:r>
          <w:rPr>
            <w:rStyle w:val="InternetLink"/>
          </w:rPr>
          <w:t xml:space="preserve"> </w:t>
        </w:r>
        <w:r>
          <w:rPr>
            <w:rStyle w:val="InternetLink"/>
          </w:rPr>
          <w:t xml:space="preserve">T Are Not Consistent With Those From Short</w:t>
        </w:r>
        <w:r>
          <w:rPr>
            <w:rStyle w:val="InternetLink"/>
          </w:rPr>
          <w:t xml:space="preserve">-</w:t>
        </w:r>
        <w:r>
          <w:rPr>
            <w:rStyle w:val="InternetLink"/>
          </w:rPr>
          <w:t xml:space="preserve">TE PRESS Across Scanners</w:t>
        </w:r>
        <w:r>
          <w:rPr>
            <w:rStyle w:val="InternetLink"/>
          </w:rPr>
          <w:t xml:space="preserve">,</w:t>
        </w:r>
        <w:r>
          <w:rPr>
            <w:rStyle w:val="InternetLink"/>
          </w:rPr>
          <w:t xml:space="preserve"> </w:t>
        </w:r>
        <w:r>
          <w:rPr>
            <w:rStyle w:val="InternetLink"/>
          </w:rPr>
          <w:t xml:space="preserve">Brain Regions</w:t>
        </w:r>
        <w:r>
          <w:rPr>
            <w:rStyle w:val="InternetLink"/>
          </w:rPr>
          <w:t xml:space="preserve">,</w:t>
        </w:r>
        <w:r>
          <w:rPr>
            <w:rStyle w:val="InternetLink"/>
          </w:rPr>
          <w:t xml:space="preserve"> </w:t>
        </w:r>
        <w:r>
          <w:rPr>
            <w:rStyle w:val="InternetLink"/>
          </w:rPr>
          <w:t xml:space="preserve">Diagnostic</w:t>
        </w:r>
        <w:r>
          <w:rPr>
            <w:rStyle w:val="InternetLink"/>
          </w:rPr>
          <w:t xml:space="preserve"> </w:t>
        </w:r>
        <w:r>
          <w:rPr>
            <w:rStyle w:val="InternetLink"/>
          </w:rPr>
          <w:t xml:space="preserve">and</w:t>
        </w:r>
        <w:r>
          <w:rPr>
            <w:rStyle w:val="InternetLink"/>
          </w:rPr>
          <w:t xml:space="preserve"> </w:t>
        </w:r>
        <w:r>
          <w:rPr>
            <w:rStyle w:val="InternetLink"/>
          </w:rPr>
          <w:t xml:space="preserve">Age Groups</w:t>
        </w:r>
      </w:hyperlink>
      <w:r>
        <w:t xml:space="preserve">.</w:t>
      </w:r>
      <w:r>
        <w:t xml:space="preserve"> </w:t>
      </w:r>
      <w:r>
        <w:rPr>
          <w:i/>
          <w:iCs/>
        </w:rPr>
        <w:t xml:space="preserve">NMR in Biomedicine</w:t>
      </w:r>
      <w:r>
        <w:t xml:space="preserve"> </w:t>
      </w:r>
      <w:r>
        <w:rPr>
          <w:b/>
          <w:bCs/>
        </w:rPr>
        <w:t xml:space="preserve">39</w:t>
      </w:r>
      <w:r>
        <w:t xml:space="preserve">, e70171 (2026).</w:t>
      </w:r>
    </w:p>
    <w:bookmarkEnd w:id="370"/>
    <w:bookmarkStart w:id="372" w:name="ref-maddockEstimatingGlutamateGlx2018"/>
    <w:p>
      <w:pPr>
        <w:pStyle w:val="Bibliography"/>
      </w:pPr>
      <w:r>
        <w:t xml:space="preserve">147.</w:t>
      </w:r>
      <w:r>
        <w:t xml:space="preserve"> </w:t>
      </w:r>
      <w:r>
        <w:t xml:space="preserve">	</w:t>
      </w:r>
      <w:r>
        <w:t xml:space="preserve">Maddock, R. J., Caton, M. D. &amp; Ragland, J. D.</w:t>
      </w:r>
      <w:r>
        <w:t xml:space="preserve"> </w:t>
      </w:r>
      <w:hyperlink r:id="rId371">
        <w:r>
          <w:rPr>
            <w:rStyle w:val="InternetLink"/>
          </w:rPr>
          <w:t xml:space="preserve">Estimating glutamate and</w:t>
        </w:r>
        <w:r>
          <w:rPr>
            <w:rStyle w:val="InternetLink"/>
          </w:rPr>
          <w:t xml:space="preserve"> </w:t>
        </w:r>
        <w:r>
          <w:rPr>
            <w:rStyle w:val="InternetLink"/>
          </w:rPr>
          <w:t xml:space="preserve">Glx</w:t>
        </w:r>
        <w:r>
          <w:rPr>
            <w:rStyle w:val="InternetLink"/>
          </w:rPr>
          <w:t xml:space="preserve"> </w:t>
        </w:r>
        <w:r>
          <w:rPr>
            <w:rStyle w:val="InternetLink"/>
          </w:rPr>
          <w:t xml:space="preserve">from</w:t>
        </w:r>
        <w:r>
          <w:rPr>
            <w:rStyle w:val="InternetLink"/>
          </w:rPr>
          <w:t xml:space="preserve"> </w:t>
        </w:r>
        <w:r>
          <w:rPr>
            <w:rStyle w:val="InternetLink"/>
          </w:rPr>
          <w:t xml:space="preserve">GABA-optimized MEGA-PRESS</w:t>
        </w:r>
        <w:r>
          <w:rPr>
            <w:rStyle w:val="InternetLink"/>
          </w:rPr>
          <w:t xml:space="preserve">:</w:t>
        </w:r>
        <w:r>
          <w:rPr>
            <w:rStyle w:val="InternetLink"/>
          </w:rPr>
          <w:t xml:space="preserve"> </w:t>
        </w:r>
        <w:r>
          <w:rPr>
            <w:rStyle w:val="InternetLink"/>
          </w:rPr>
          <w:t xml:space="preserve">Off-resonance</w:t>
        </w:r>
        <w:r>
          <w:rPr>
            <w:rStyle w:val="InternetLink"/>
          </w:rPr>
          <w:t xml:space="preserve"> </w:t>
        </w:r>
        <w:r>
          <w:rPr>
            <w:rStyle w:val="InternetLink"/>
          </w:rPr>
          <w:t xml:space="preserve">but not difference spectra values correspond to</w:t>
        </w:r>
        <w:r>
          <w:rPr>
            <w:rStyle w:val="InternetLink"/>
          </w:rPr>
          <w:t xml:space="preserve"> </w:t>
        </w:r>
        <w:r>
          <w:rPr>
            <w:rStyle w:val="InternetLink"/>
          </w:rPr>
          <w:t xml:space="preserve">PRESS</w:t>
        </w:r>
        <w:r>
          <w:rPr>
            <w:rStyle w:val="InternetLink"/>
          </w:rPr>
          <w:t xml:space="preserve"> </w:t>
        </w:r>
        <w:r>
          <w:rPr>
            <w:rStyle w:val="InternetLink"/>
          </w:rPr>
          <w:t xml:space="preserve">values</w:t>
        </w:r>
      </w:hyperlink>
      <w:r>
        <w:t xml:space="preserve">.</w:t>
      </w:r>
      <w:r>
        <w:t xml:space="preserve"> </w:t>
      </w:r>
      <w:r>
        <w:rPr>
          <w:i/>
          <w:iCs/>
        </w:rPr>
        <w:t xml:space="preserve">Psychiatry Research. Neuroimaging</w:t>
      </w:r>
      <w:r>
        <w:t xml:space="preserve"> </w:t>
      </w:r>
      <w:r>
        <w:rPr>
          <w:b/>
          <w:bCs/>
        </w:rPr>
        <w:t xml:space="preserve">279</w:t>
      </w:r>
      <w:r>
        <w:t xml:space="preserve">, 22–30 (2018).</w:t>
      </w:r>
    </w:p>
    <w:bookmarkEnd w:id="372"/>
    <w:bookmarkStart w:id="374" w:name="Xfbc86cb94387a9f8ee717baa5946394f14f40d9"/>
    <w:p>
      <w:pPr>
        <w:pStyle w:val="Bibliography"/>
      </w:pPr>
      <w:r>
        <w:t xml:space="preserve">148.</w:t>
      </w:r>
      <w:r>
        <w:t xml:space="preserve"> </w:t>
      </w:r>
      <w:r>
        <w:t xml:space="preserve">	</w:t>
      </w:r>
      <w:r>
        <w:t xml:space="preserve">Archibald, J., Bouchard, A. E., Noeske, R., Shungu, D. C. &amp; Mikkelsen, M. Test-retest reliability of multi-metabolite edited</w:t>
      </w:r>
      <w:r>
        <w:t xml:space="preserve"> </w:t>
      </w:r>
      <w:r>
        <w:t xml:space="preserve">MRS</w:t>
      </w:r>
      <w:r>
        <w:t xml:space="preserve"> </w:t>
      </w:r>
      <w:r>
        <w:t xml:space="preserve">at</w:t>
      </w:r>
      <w:r>
        <w:t xml:space="preserve"> </w:t>
      </w:r>
      <w:r>
        <w:t xml:space="preserve">3T</w:t>
      </w:r>
      <w:r>
        <w:t xml:space="preserve"> </w:t>
      </w:r>
      <w:r>
        <w:t xml:space="preserve">using</w:t>
      </w:r>
      <w:r>
        <w:t xml:space="preserve"> </w:t>
      </w:r>
      <w:r>
        <w:t xml:space="preserve">PRESS</w:t>
      </w:r>
      <w:r>
        <w:t xml:space="preserve"> </w:t>
      </w:r>
      <w:r>
        <w:t xml:space="preserve">and</w:t>
      </w:r>
      <w:r>
        <w:t xml:space="preserve"> </w:t>
      </w:r>
      <w:r>
        <w:t xml:space="preserve">sLASER</w:t>
      </w:r>
      <w:r>
        <w:t xml:space="preserve">.</w:t>
      </w:r>
      <w:r>
        <w:t xml:space="preserve"> </w:t>
      </w:r>
      <w:r>
        <w:rPr>
          <w:i/>
          <w:iCs/>
        </w:rPr>
        <w:t xml:space="preserve">bioRxiv: The Preprint Server for Biology</w:t>
      </w:r>
      <w:r>
        <w:t xml:space="preserve"> </w:t>
      </w:r>
      <w:r>
        <w:t xml:space="preserve">2025.06.07.657685 (2025) doi:</w:t>
      </w:r>
      <w:hyperlink r:id="rId373">
        <w:r>
          <w:rPr>
            <w:rStyle w:val="InternetLink"/>
          </w:rPr>
          <w:t xml:space="preserve">10.1101/2025.06.07.657685</w:t>
        </w:r>
      </w:hyperlink>
      <w:r>
        <w:t xml:space="preserve">.</w:t>
      </w:r>
    </w:p>
    <w:bookmarkEnd w:id="374"/>
    <w:bookmarkEnd w:id="375"/>
    <w:bookmarkEnd w:id="376"/>
    <w:bookmarkStart w:id="427" w:name="supplementary-material"/>
    <w:p>
      <w:pPr>
        <w:pStyle w:val="Heading1"/>
      </w:pPr>
      <w:r>
        <w:t xml:space="preserve">Supplementary Material</w:t>
      </w:r>
    </w:p>
    <w:bookmarkStart w:id="379" w:name="mrs-quality"/>
    <w:p>
      <w:pPr>
        <w:pStyle w:val="Heading2"/>
      </w:pPr>
      <w:r>
        <w:t xml:space="preserve">MRS quality</w:t>
      </w:r>
    </w:p>
    <w:p>
      <w:pPr>
        <w:pStyle w:val="FirstParagraph"/>
      </w:pPr>
      <w:r>
        <w:t xml:space="preserve">A summary of MRS quality, such as water FWHM, Cr SNR, and frequency shift are provided in</w:t>
      </w:r>
      <w:r>
        <w:t xml:space="preserve"> </w:t>
      </w:r>
      <w:hyperlink w:anchor="supptbl-quality">
        <w:r>
          <w:rPr>
            <w:rStyle w:val="InternetLink"/>
          </w:rPr>
          <w:t xml:space="preserve">Table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7" w:name="supp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left"/>
                    <w:jc w:val="center"/>
                  </w:pPr>
                  <w:r>
                    <w:t xml:space="preserve">Rest sLASER</w:t>
                  </w:r>
                </w:p>
              </w:tc>
              <w:tc>
                <w:tcPr/>
                <w:p>
                  <w:pPr>
                    <w:pStyle w:val="Compact"/>
                    <w:jc w:val="left"/>
                    <w:jc w:val="center"/>
                  </w:pPr>
                  <w:r>
                    <w:t xml:space="preserve">Rest MEGA-PRESS</w:t>
                  </w:r>
                </w:p>
              </w:tc>
              <w:tc>
                <w:tcPr/>
                <w:p>
                  <w:pPr>
                    <w:pStyle w:val="Compact"/>
                    <w:jc w:val="left"/>
                    <w:jc w:val="center"/>
                  </w:pPr>
                  <w:r>
                    <w:t xml:space="preserve">Movie sLASER</w:t>
                  </w:r>
                </w:p>
              </w:tc>
              <w:tc>
                <w:tcPr/>
                <w:p>
                  <w:pPr>
                    <w:pStyle w:val="Compact"/>
                    <w:jc w:val="left"/>
                    <w:jc w:val="center"/>
                  </w:pPr>
                  <w:r>
                    <w:t xml:space="preserve">Movie MEGA-PRESS</w:t>
                  </w:r>
                </w:p>
              </w:tc>
            </w:tr>
            <w:tr>
              <w:tc>
                <w:tcPr/>
                <w:p>
                  <w:pPr>
                    <w:pStyle w:val="Compact"/>
                    <w:jc w:val="left"/>
                    <w:jc w:val="center"/>
                  </w:pPr>
                  <w:r>
                    <w:t xml:space="preserve">water FWHM (Hz)</w:t>
                  </w:r>
                </w:p>
              </w:tc>
              <w:tc>
                <w:tcPr/>
                <w:p>
                  <w:pPr>
                    <w:pStyle w:val="Compact"/>
                    <w:jc w:val="left"/>
                    <w:jc w:val="center"/>
                  </w:pPr>
                  <w:r>
                    <w:t xml:space="preserve">8.47 ± 0.66</w:t>
                  </w:r>
                </w:p>
              </w:tc>
              <w:tc>
                <w:tcPr/>
                <w:p>
                  <w:pPr>
                    <w:pStyle w:val="Compact"/>
                    <w:jc w:val="left"/>
                    <w:jc w:val="center"/>
                  </w:pPr>
                  <w:r>
                    <w:t xml:space="preserve">7.86 ± 0.8</w:t>
                  </w:r>
                </w:p>
              </w:tc>
              <w:tc>
                <w:tcPr/>
                <w:p>
                  <w:pPr>
                    <w:pStyle w:val="Compact"/>
                    <w:jc w:val="left"/>
                    <w:jc w:val="center"/>
                  </w:pPr>
                  <w:r>
                    <w:t xml:space="preserve">8.32 ± 0.72</w:t>
                  </w:r>
                </w:p>
              </w:tc>
              <w:tc>
                <w:tcPr/>
                <w:p>
                  <w:pPr>
                    <w:pStyle w:val="Compact"/>
                    <w:jc w:val="left"/>
                    <w:jc w:val="center"/>
                  </w:pPr>
                  <w:r>
                    <w:t xml:space="preserve">7.95 ± 0.82</w:t>
                  </w:r>
                </w:p>
              </w:tc>
            </w:tr>
            <w:tr>
              <w:tc>
                <w:tcPr/>
                <w:p>
                  <w:pPr>
                    <w:pStyle w:val="Compact"/>
                    <w:jc w:val="left"/>
                    <w:jc w:val="center"/>
                  </w:pPr>
                  <w:r>
                    <w:t xml:space="preserve">Cr SNR</w:t>
                  </w:r>
                </w:p>
              </w:tc>
              <w:tc>
                <w:tcPr/>
                <w:p>
                  <w:pPr>
                    <w:pStyle w:val="Compact"/>
                    <w:jc w:val="left"/>
                    <w:jc w:val="center"/>
                  </w:pPr>
                  <w:r>
                    <w:t xml:space="preserve">147.61 ± 20.46</w:t>
                  </w:r>
                </w:p>
              </w:tc>
              <w:tc>
                <w:tcPr/>
                <w:p>
                  <w:pPr>
                    <w:pStyle w:val="Compact"/>
                    <w:jc w:val="left"/>
                    <w:jc w:val="center"/>
                  </w:pPr>
                  <w:r>
                    <w:t xml:space="preserve">101.05 ± 21.42</w:t>
                  </w:r>
                </w:p>
              </w:tc>
              <w:tc>
                <w:tcPr/>
                <w:p>
                  <w:pPr>
                    <w:pStyle w:val="Compact"/>
                    <w:jc w:val="left"/>
                    <w:jc w:val="center"/>
                  </w:pPr>
                  <w:r>
                    <w:t xml:space="preserve">140.6 ± 26</w:t>
                  </w:r>
                </w:p>
              </w:tc>
              <w:tc>
                <w:tcPr/>
                <w:p>
                  <w:pPr>
                    <w:pStyle w:val="Compact"/>
                    <w:jc w:val="left"/>
                    <w:jc w:val="center"/>
                  </w:pPr>
                  <w:r>
                    <w:t xml:space="preserve">98.75 ± 20.01</w:t>
                  </w:r>
                </w:p>
              </w:tc>
            </w:tr>
            <w:tr>
              <w:tc>
                <w:tcPr/>
                <w:p>
                  <w:pPr>
                    <w:pStyle w:val="Compact"/>
                    <w:jc w:val="left"/>
                    <w:jc w:val="center"/>
                  </w:pPr>
                  <w:r>
                    <w:t xml:space="preserve">Frequency Shift (ppm)</w:t>
                  </w:r>
                </w:p>
              </w:tc>
              <w:tc>
                <w:tcPr/>
                <w:p>
                  <w:pPr>
                    <w:pStyle w:val="Compact"/>
                    <w:jc w:val="left"/>
                    <w:jc w:val="center"/>
                  </w:pPr>
                  <w:r>
                    <w:t xml:space="preserve">-3.08 ± 0.81</w:t>
                  </w:r>
                </w:p>
              </w:tc>
              <w:tc>
                <w:tcPr/>
                <w:p>
                  <w:pPr>
                    <w:pStyle w:val="Compact"/>
                    <w:jc w:val="left"/>
                    <w:jc w:val="center"/>
                  </w:pPr>
                  <w:r>
                    <w:t xml:space="preserve">-3.98 ± 0.94</w:t>
                  </w:r>
                </w:p>
              </w:tc>
              <w:tc>
                <w:tcPr/>
                <w:p>
                  <w:pPr>
                    <w:pStyle w:val="Compact"/>
                    <w:jc w:val="left"/>
                    <w:jc w:val="center"/>
                  </w:pPr>
                  <w:r>
                    <w:t xml:space="preserve">-3.12 ± 0.76</w:t>
                  </w:r>
                </w:p>
              </w:tc>
              <w:tc>
                <w:tcPr/>
                <w:p>
                  <w:pPr>
                    <w:pStyle w:val="Compact"/>
                    <w:jc w:val="left"/>
                    <w:jc w:val="center"/>
                  </w:pPr>
                  <w:r>
                    <w:t xml:space="preserve">-3.85 ± 1.05</w:t>
                  </w:r>
                </w:p>
              </w:tc>
            </w:tr>
          </w:tbl>
          <w:p>
            <w:pPr>
              <w:jc w:val="center"/>
            </w:pPr>
            <w:pPr>
              <w:jc w:val="start"/>
              <w:spacing w:before="200"/>
              <w:pStyle w:val="ImageCaption"/>
            </w:pPr>
            <w:r>
              <w:t xml:space="preserve">Table S1</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77"/>
        </w:tc>
      </w:tr>
    </w:tbl>
    <w:p>
      <w:pPr>
        <w:pStyle w:val="TextBody"/>
      </w:pPr>
      <w:r>
        <w:t xml:space="preserve">A summary of voxel placement statistics are provided in</w:t>
      </w:r>
      <w:r>
        <w:t xml:space="preserve"> </w:t>
      </w:r>
      <w:hyperlink w:anchor="supptbl-singlevoxel">
        <w:r>
          <w:rPr>
            <w:rStyle w:val="InternetLink"/>
          </w:rPr>
          <w:t xml:space="preserve">Table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supp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Measure</w:t>
                  </w:r>
                </w:p>
              </w:tc>
              <w:tc>
                <w:tcPr/>
                <w:p>
                  <w:pPr>
                    <w:pStyle w:val="Compact"/>
                    <w:jc w:val="left"/>
                    <w:jc w:val="center"/>
                  </w:pPr>
                  <w:r>
                    <w:t xml:space="preserve">Amount</w:t>
                  </w:r>
                </w:p>
              </w:tc>
            </w:tr>
            <w:tr>
              <w:tc>
                <w:tcPr/>
                <w:p>
                  <w:pPr>
                    <w:pStyle w:val="Compact"/>
                    <w:jc w:val="left"/>
                    <w:jc w:val="center"/>
                  </w:pPr>
                  <w:r>
                    <w:t xml:space="preserve">Voxel Rotation (degrees)</w:t>
                  </w:r>
                </w:p>
              </w:tc>
              <w:tc>
                <w:tcPr/>
                <w:p>
                  <w:pPr>
                    <w:pStyle w:val="Compact"/>
                    <w:jc w:val="left"/>
                    <w:jc w:val="center"/>
                  </w:pPr>
                  <w:r>
                    <w:t xml:space="preserve">-39 ± 8.13</w:t>
                  </w:r>
                </w:p>
              </w:tc>
            </w:tr>
            <w:tr>
              <w:tc>
                <w:tcPr/>
                <w:p>
                  <w:pPr>
                    <w:pStyle w:val="Compact"/>
                    <w:jc w:val="left"/>
                    <w:jc w:val="center"/>
                  </w:pPr>
                  <w:r>
                    <w:t xml:space="preserve">GM Tissue Fraction</w:t>
                  </w:r>
                </w:p>
              </w:tc>
              <w:tc>
                <w:tcPr/>
                <w:p>
                  <w:pPr>
                    <w:pStyle w:val="Compact"/>
                    <w:jc w:val="left"/>
                    <w:jc w:val="center"/>
                  </w:pPr>
                  <w:r>
                    <w:t xml:space="preserve">0.64 ± 0.04</w:t>
                  </w:r>
                </w:p>
              </w:tc>
            </w:tr>
            <w:tr>
              <w:tc>
                <w:tcPr/>
                <w:p>
                  <w:pPr>
                    <w:pStyle w:val="Compact"/>
                    <w:jc w:val="left"/>
                    <w:jc w:val="center"/>
                  </w:pPr>
                  <w:r>
                    <w:t xml:space="preserve">WM Tissue Fraction</w:t>
                  </w:r>
                </w:p>
              </w:tc>
              <w:tc>
                <w:tcPr/>
                <w:p>
                  <w:pPr>
                    <w:pStyle w:val="Compact"/>
                    <w:jc w:val="left"/>
                    <w:jc w:val="center"/>
                  </w:pPr>
                  <w:r>
                    <w:t xml:space="preserve">0.24 ± 0.04</w:t>
                  </w:r>
                </w:p>
              </w:tc>
            </w:tr>
            <w:tr>
              <w:tc>
                <w:tcPr/>
                <w:p>
                  <w:pPr>
                    <w:pStyle w:val="Compact"/>
                    <w:jc w:val="left"/>
                    <w:jc w:val="center"/>
                  </w:pPr>
                  <w:r>
                    <w:t xml:space="preserve">CSF Tissue Fraction</w:t>
                  </w:r>
                </w:p>
              </w:tc>
              <w:tc>
                <w:tcPr/>
                <w:p>
                  <w:pPr>
                    <w:pStyle w:val="Compact"/>
                    <w:jc w:val="left"/>
                    <w:jc w:val="center"/>
                  </w:pPr>
                  <w:r>
                    <w:t xml:space="preserve">0.12 ± 0.03</w:t>
                  </w:r>
                </w:p>
              </w:tc>
            </w:tr>
          </w:tbl>
          <w:p>
            <w:pPr>
              <w:jc w:val="center"/>
            </w:pPr>
            <w:pPr>
              <w:jc w:val="start"/>
              <w:spacing w:before="200"/>
              <w:pStyle w:val="ImageCaption"/>
            </w:pPr>
            <w:r>
              <w:t xml:space="preserve">Table S2</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78"/>
        </w:tc>
      </w:tr>
    </w:tbl>
    <w:bookmarkEnd w:id="379"/>
    <w:bookmarkStart w:id="386" w:name="linear-mixed-effects-model-diagnostics"/>
    <w:p>
      <w:pPr>
        <w:pStyle w:val="Heading2"/>
      </w:pPr>
      <w:r>
        <w:t xml:space="preserve">Linear-mixed effects model diagnostics</w:t>
      </w:r>
    </w:p>
    <w:p>
      <w:pPr>
        <w:pStyle w:val="FirstParagraph"/>
      </w:pPr>
      <w:r>
        <w:t xml:space="preserve">Linear-mixed effects model diagnostics are provided in</w:t>
      </w:r>
      <w:r>
        <w:t xml:space="preserve"> </w:t>
      </w:r>
      <w:hyperlink w:anchor="suppfig-lmemdiag">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3" w:name="suppfig-lmemdiag"/>
          <w:p>
            <w:pPr>
              <w:jc w:val="center"/>
            </w:pPr>
            <w:r>
              <w:drawing>
                <wp:inline>
                  <wp:extent cx="4620126" cy="4620126"/>
                  <wp:effectExtent b="0" l="0" r="0" t="0"/>
                  <wp:docPr descr="" title="" id="381" name="Picture"/>
                  <a:graphic>
                    <a:graphicData uri="http://schemas.openxmlformats.org/drawingml/2006/picture">
                      <pic:pic>
                        <pic:nvPicPr>
                          <pic:cNvPr descr="index_files/figure-docx/unnamed-chunk-10-1.png" id="382" name="Picture"/>
                          <pic:cNvPicPr>
                            <a:picLocks noChangeArrowheads="1" noChangeAspect="1"/>
                          </pic:cNvPicPr>
                        </pic:nvPicPr>
                        <pic:blipFill>
                          <a:blip r:embed="rId38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83"/>
        </w:tc>
      </w:tr>
    </w:tbl>
    <w:p>
      <w:pPr>
        <w:pStyle w:val="TextBody"/>
      </w:pPr>
      <w:r>
        <w:t xml:space="preserve">We report Spearman correlations between E:I and H within each condition (</w:t>
      </w:r>
      <w:hyperlink w:anchor="supptbl-spearmanresults">
        <w:r>
          <w:rPr>
            <w:rStyle w:val="InternetLink"/>
          </w:rPr>
          <w:t xml:space="preserve">Table S3</w:t>
        </w:r>
      </w:hyperlink>
      <w:r>
        <w:t xml:space="preserve">). Spearman rho values were modest and negative (Movie:</w:t>
      </w:r>
      <w:r>
        <w:t xml:space="preserve"> </w:t>
      </w:r>
      <m:oMath>
        <m:r>
          <m:t>ρ</m:t>
        </m:r>
      </m:oMath>
      <w:r>
        <w:t xml:space="preserve"> </w:t>
      </w:r>
      <w:r>
        <w:t xml:space="preserve">= -0.3, p = 0.23; Rest:</w:t>
      </w:r>
      <w:r>
        <w:t xml:space="preserve"> </w:t>
      </w:r>
      <m:oMath>
        <m:r>
          <m:t>ρ</m:t>
        </m:r>
      </m:oMath>
      <w:r>
        <w:t xml:space="preserve"> </w:t>
      </w:r>
      <w:r>
        <w:t xml:space="preserve">= -0.12, p = 0.62), and consistent with the primary analyses in direction but not statistically significant.</w:t>
      </w:r>
    </w:p>
    <w:tbl>
      <w:tblPr>
        <w:tblStyle w:val="Table"/>
        <w:tblW w:type="pct" w:w="5000"/>
        <w:tblLayout w:type="fixed"/>
        <w:tblLook w:firstRow="0" w:lastRow="0" w:firstColumn="0" w:lastColumn="0" w:noHBand="0" w:noVBand="0" w:val="0000"/>
      </w:tblPr>
      <w:tblGrid>
        <w:gridCol w:w="7920"/>
      </w:tblGrid>
      <w:tr>
        <w:tc>
          <w:tcPr/>
          <w:bookmarkStart w:id="384" w:name="supptbl-spearmanresult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spearman_ei_hurst</w:t>
                  </w:r>
                </w:p>
              </w:tc>
              <w:tc>
                <w:tcPr/>
                <w:p>
                  <w:pPr>
                    <w:pStyle w:val="Compact"/>
                    <w:jc w:val="right"/>
                    <w:jc w:val="center"/>
                  </w:pPr>
                  <w:r>
                    <w:t xml:space="preserve">p_value</w:t>
                  </w:r>
                </w:p>
              </w:tc>
            </w:tr>
            <w:tr>
              <w:tc>
                <w:tcPr/>
                <w:p>
                  <w:pPr>
                    <w:pStyle w:val="Compact"/>
                    <w:jc w:val="left"/>
                    <w:jc w:val="center"/>
                  </w:pPr>
                  <w:r>
                    <w:t xml:space="preserve">Movie</w:t>
                  </w:r>
                </w:p>
              </w:tc>
              <w:tc>
                <w:tcPr/>
                <w:p>
                  <w:pPr>
                    <w:pStyle w:val="Compact"/>
                    <w:jc w:val="right"/>
                    <w:jc w:val="center"/>
                  </w:pPr>
                  <w:r>
                    <w:t xml:space="preserve">-0.300</w:t>
                  </w:r>
                </w:p>
              </w:tc>
              <w:tc>
                <w:tcPr/>
                <w:p>
                  <w:pPr>
                    <w:pStyle w:val="Compact"/>
                    <w:jc w:val="right"/>
                    <w:jc w:val="center"/>
                  </w:pPr>
                  <w:r>
                    <w:t xml:space="preserve">0.225</w:t>
                  </w:r>
                </w:p>
              </w:tc>
            </w:tr>
            <w:tr>
              <w:tc>
                <w:tcPr/>
                <w:p>
                  <w:pPr>
                    <w:pStyle w:val="Compact"/>
                    <w:jc w:val="left"/>
                    <w:jc w:val="center"/>
                  </w:pPr>
                  <w:r>
                    <w:t xml:space="preserve">Rest</w:t>
                  </w:r>
                </w:p>
              </w:tc>
              <w:tc>
                <w:tcPr/>
                <w:p>
                  <w:pPr>
                    <w:pStyle w:val="Compact"/>
                    <w:jc w:val="right"/>
                    <w:jc w:val="center"/>
                  </w:pPr>
                  <w:r>
                    <w:t xml:space="preserve">-0.125</w:t>
                  </w:r>
                </w:p>
              </w:tc>
              <w:tc>
                <w:tcPr/>
                <w:p>
                  <w:pPr>
                    <w:pStyle w:val="Compact"/>
                    <w:jc w:val="right"/>
                    <w:jc w:val="center"/>
                  </w:pPr>
                  <w:r>
                    <w:t xml:space="preserve">0.621</w:t>
                  </w:r>
                </w:p>
              </w:tc>
            </w:tr>
          </w:tbl>
          <w:p>
            <w:pPr>
              <w:jc w:val="center"/>
            </w:pPr>
            <w:pPr>
              <w:jc w:val="start"/>
              <w:spacing w:before="200"/>
              <w:pStyle w:val="ImageCaption"/>
            </w:pPr>
            <w:r>
              <w:t xml:space="preserve">Table S3</w:t>
            </w:r>
            <w:r>
              <w:rPr>
                <w:b/>
                <w:bCs/>
              </w:rPr>
              <w:t xml:space="preserve">.</w:t>
            </w:r>
            <w:r>
              <w:t xml:space="preserve"> </w:t>
            </w:r>
            <w:r>
              <w:t xml:space="preserve">Spearman correlation between EI and Hurst by condition.</w:t>
            </w:r>
          </w:p>
          <w:bookmarkEnd w:id="384"/>
        </w:tc>
      </w:tr>
    </w:tbl>
    <w:p>
      <w:pPr>
        <w:pStyle w:val="TextBody"/>
      </w:pPr>
      <w:r>
        <w:t xml:space="preserve">We also refit the linear mixed-effects model after removing the top/bottom 10% of observations in E:I, in H, and in the intersection of both (</w:t>
      </w:r>
      <w:hyperlink w:anchor="supptbl-robusteffects">
        <w:r>
          <w:rPr>
            <w:rStyle w:val="InternetLink"/>
          </w:rPr>
          <w:t xml:space="preserve">Table S4</w:t>
        </w:r>
      </w:hyperlink>
      <w:r>
        <w:t xml:space="preserve">). Across these trimmed datasets, the E:I fixed-effect estimate remained small and its 95% confidence interval continued to include zero, indicating that the primary conclusion is not driven by extreme values in either E:I or H. Trimming was performed on the pooled long-format dataset (rest and movie rows) to match the model specification.</w:t>
      </w:r>
    </w:p>
    <w:p>
      <w:pPr>
        <w:pStyle w:val="TextBody"/>
      </w:pPr>
      <w:r>
        <w:t xml:space="preserve">Taken together with the non-parametric Spearman correlations (</w:t>
      </w:r>
      <w:hyperlink w:anchor="supptbl-spearmanresults">
        <w:r>
          <w:rPr>
            <w:rStyle w:val="InternetLink"/>
          </w:rPr>
          <w:t xml:space="preserve">Table S3</w:t>
        </w:r>
      </w:hyperlink>
      <w:r>
        <w:t xml:space="preserve">), these analyses indicate that the E:I–H association is weak in this pilot dataset and that our primary inference (a small effect with confidence intervals spanning zero) is unchanged under non-parametric estimation and reasonable exclusion of potential outliers.</w:t>
      </w:r>
    </w:p>
    <w:tbl>
      <w:tblPr>
        <w:tblStyle w:val="Table"/>
        <w:tblW w:type="pct" w:w="5000"/>
        <w:tblLayout w:type="fixed"/>
        <w:tblLook w:firstRow="0" w:lastRow="0" w:firstColumn="0" w:lastColumn="0" w:noHBand="0" w:noVBand="0" w:val="0000"/>
      </w:tblPr>
      <w:tblGrid>
        <w:gridCol w:w="7920"/>
      </w:tblGrid>
      <w:tr>
        <w:tc>
          <w:tcPr/>
          <w:bookmarkStart w:id="385" w:name="supptbl-robusteffect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Full sample</w:t>
                  </w:r>
                </w:p>
              </w:tc>
              <w:tc>
                <w:tcPr/>
                <w:p>
                  <w:pPr>
                    <w:pStyle w:val="Compact"/>
                    <w:jc w:val="right"/>
                    <w:jc w:val="center"/>
                  </w:pPr>
                  <w:r>
                    <w:t xml:space="preserve">0.068</w:t>
                  </w:r>
                </w:p>
              </w:tc>
              <w:tc>
                <w:tcPr/>
                <w:p>
                  <w:pPr>
                    <w:pStyle w:val="Compact"/>
                    <w:jc w:val="right"/>
                    <w:jc w:val="center"/>
                  </w:pPr>
                  <w:r>
                    <w:t xml:space="preserve">0.061</w:t>
                  </w:r>
                </w:p>
              </w:tc>
              <w:tc>
                <w:tcPr/>
                <w:p>
                  <w:pPr>
                    <w:pStyle w:val="Compact"/>
                    <w:jc w:val="right"/>
                    <w:jc w:val="center"/>
                  </w:pPr>
                  <w:r>
                    <w:t xml:space="preserve">-0.052</w:t>
                  </w:r>
                </w:p>
              </w:tc>
              <w:tc>
                <w:tcPr/>
                <w:p>
                  <w:pPr>
                    <w:pStyle w:val="Compact"/>
                    <w:jc w:val="right"/>
                    <w:jc w:val="center"/>
                  </w:pPr>
                  <w:r>
                    <w:t xml:space="preserve">0.188</w:t>
                  </w:r>
                </w:p>
              </w:tc>
            </w:tr>
            <w:tr>
              <w:tc>
                <w:tcPr/>
                <w:p>
                  <w:pPr>
                    <w:pStyle w:val="Compact"/>
                    <w:jc w:val="left"/>
                    <w:jc w:val="center"/>
                  </w:pPr>
                  <w:r>
                    <w:t xml:space="preserve">Trimmed EI (10–90%)</w:t>
                  </w:r>
                </w:p>
              </w:tc>
              <w:tc>
                <w:tcPr/>
                <w:p>
                  <w:pPr>
                    <w:pStyle w:val="Compact"/>
                    <w:jc w:val="right"/>
                    <w:jc w:val="center"/>
                  </w:pPr>
                  <w:r>
                    <w:t xml:space="preserve">0.010</w:t>
                  </w:r>
                </w:p>
              </w:tc>
              <w:tc>
                <w:tcPr/>
                <w:p>
                  <w:pPr>
                    <w:pStyle w:val="Compact"/>
                    <w:jc w:val="right"/>
                    <w:jc w:val="center"/>
                  </w:pPr>
                  <w:r>
                    <w:t xml:space="preserve">0.125</w:t>
                  </w:r>
                </w:p>
              </w:tc>
              <w:tc>
                <w:tcPr/>
                <w:p>
                  <w:pPr>
                    <w:pStyle w:val="Compact"/>
                    <w:jc w:val="right"/>
                    <w:jc w:val="center"/>
                  </w:pPr>
                  <w:r>
                    <w:t xml:space="preserve">-0.236</w:t>
                  </w:r>
                </w:p>
              </w:tc>
              <w:tc>
                <w:tcPr/>
                <w:p>
                  <w:pPr>
                    <w:pStyle w:val="Compact"/>
                    <w:jc w:val="right"/>
                    <w:jc w:val="center"/>
                  </w:pPr>
                  <w:r>
                    <w:t xml:space="preserve">0.256</w:t>
                  </w:r>
                </w:p>
              </w:tc>
            </w:tr>
            <w:tr>
              <w:tc>
                <w:tcPr/>
                <w:p>
                  <w:pPr>
                    <w:pStyle w:val="Compact"/>
                    <w:jc w:val="left"/>
                    <w:jc w:val="center"/>
                  </w:pPr>
                  <w:r>
                    <w:t xml:space="preserve">Trimmed Hurst (10–90%)</w:t>
                  </w:r>
                </w:p>
              </w:tc>
              <w:tc>
                <w:tcPr/>
                <w:p>
                  <w:pPr>
                    <w:pStyle w:val="Compact"/>
                    <w:jc w:val="right"/>
                    <w:jc w:val="center"/>
                  </w:pPr>
                  <w:r>
                    <w:t xml:space="preserve">0.018</w:t>
                  </w:r>
                </w:p>
              </w:tc>
              <w:tc>
                <w:tcPr/>
                <w:p>
                  <w:pPr>
                    <w:pStyle w:val="Compact"/>
                    <w:jc w:val="right"/>
                    <w:jc w:val="center"/>
                  </w:pPr>
                  <w:r>
                    <w:t xml:space="preserve">0.045</w:t>
                  </w:r>
                </w:p>
              </w:tc>
              <w:tc>
                <w:tcPr/>
                <w:p>
                  <w:pPr>
                    <w:pStyle w:val="Compact"/>
                    <w:jc w:val="right"/>
                    <w:jc w:val="center"/>
                  </w:pPr>
                  <w:r>
                    <w:t xml:space="preserve">-0.070</w:t>
                  </w:r>
                </w:p>
              </w:tc>
              <w:tc>
                <w:tcPr/>
                <w:p>
                  <w:pPr>
                    <w:pStyle w:val="Compact"/>
                    <w:jc w:val="right"/>
                    <w:jc w:val="center"/>
                  </w:pPr>
                  <w:r>
                    <w:t xml:space="preserve">0.107</w:t>
                  </w:r>
                </w:p>
              </w:tc>
            </w:tr>
            <w:tr>
              <w:tc>
                <w:tcPr/>
                <w:p>
                  <w:pPr>
                    <w:pStyle w:val="Compact"/>
                    <w:jc w:val="left"/>
                    <w:jc w:val="center"/>
                  </w:pPr>
                  <w:r>
                    <w:t xml:space="preserve">Trimmed EI &amp; Hurst (intersection)</w:t>
                  </w:r>
                </w:p>
              </w:tc>
              <w:tc>
                <w:tcPr/>
                <w:p>
                  <w:pPr>
                    <w:pStyle w:val="Compact"/>
                    <w:jc w:val="right"/>
                    <w:jc w:val="center"/>
                  </w:pPr>
                  <w:r>
                    <w:t xml:space="preserve">0.081</w:t>
                  </w:r>
                </w:p>
              </w:tc>
              <w:tc>
                <w:tcPr/>
                <w:p>
                  <w:pPr>
                    <w:pStyle w:val="Compact"/>
                    <w:jc w:val="right"/>
                    <w:jc w:val="center"/>
                  </w:pPr>
                  <w:r>
                    <w:t xml:space="preserve">0.112</w:t>
                  </w:r>
                </w:p>
              </w:tc>
              <w:tc>
                <w:tcPr/>
                <w:p>
                  <w:pPr>
                    <w:pStyle w:val="Compact"/>
                    <w:jc w:val="right"/>
                    <w:jc w:val="center"/>
                  </w:pPr>
                  <w:r>
                    <w:t xml:space="preserve">-0.139</w:t>
                  </w:r>
                </w:p>
              </w:tc>
              <w:tc>
                <w:tcPr/>
                <w:p>
                  <w:pPr>
                    <w:pStyle w:val="Compact"/>
                    <w:jc w:val="right"/>
                    <w:jc w:val="center"/>
                  </w:pPr>
                  <w:r>
                    <w:t xml:space="preserve">0.300</w:t>
                  </w:r>
                </w:p>
              </w:tc>
            </w:tr>
          </w:tbl>
          <w:p>
            <w:pPr>
              <w:jc w:val="center"/>
            </w:pPr>
            <w:pPr>
              <w:jc w:val="start"/>
              <w:spacing w:before="200"/>
              <w:pStyle w:val="ImageCaption"/>
            </w:pPr>
            <w:r>
              <w:t xml:space="preserve">Table S4</w:t>
            </w:r>
            <w:r>
              <w:rPr>
                <w:b/>
                <w:bCs/>
              </w:rPr>
              <w:t xml:space="preserve">.</w:t>
            </w:r>
            <w:r>
              <w:t xml:space="preserve"> </w:t>
            </w:r>
            <w:r>
              <w:t xml:space="preserve">EI fixed-effect estimates (Estimate ± 95% CI) for the full sample and each trimmed sample.</w:t>
            </w:r>
          </w:p>
          <w:bookmarkEnd w:id="385"/>
        </w:tc>
      </w:tr>
    </w:tbl>
    <w:bookmarkEnd w:id="386"/>
    <w:bookmarkStart w:id="391" w:name="metabolites"/>
    <w:p>
      <w:pPr>
        <w:pStyle w:val="Heading2"/>
      </w:pPr>
      <w:r>
        <w:t xml:space="preserve">Metabolites</w:t>
      </w:r>
    </w:p>
    <w:bookmarkStart w:id="388" w:name="slaser"/>
    <w:p>
      <w:pPr>
        <w:pStyle w:val="Heading3"/>
      </w:pPr>
      <w:r>
        <w:t xml:space="preserve">sLASER</w:t>
      </w:r>
    </w:p>
    <w:p>
      <w:pPr>
        <w:pStyle w:val="FirstParagraph"/>
      </w:pPr>
      <w:r>
        <w:t xml:space="preserve">All metabolite concentrations and Cramer-Rao lower bounds from semi-LASER are reported in</w:t>
      </w:r>
      <w:r>
        <w:t xml:space="preserve"> </w:t>
      </w:r>
      <w:hyperlink w:anchor="supptbl-metabolites">
        <w:r>
          <w:rPr>
            <w:rStyle w:val="Internet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7" w:name="supp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start"/>
              <w:spacing w:before="200"/>
              <w:pStyle w:val="ImageCaption"/>
            </w:pPr>
            <w:r>
              <w:t xml:space="preserve">Table S5</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87"/>
        </w:tc>
      </w:tr>
    </w:tbl>
    <w:bookmarkEnd w:id="388"/>
    <w:bookmarkStart w:id="390" w:name="mega-press"/>
    <w:p>
      <w:pPr>
        <w:pStyle w:val="Heading3"/>
      </w:pPr>
      <w:r>
        <w:t xml:space="preserve">MEGA-PRESS</w:t>
      </w:r>
    </w:p>
    <w:p>
      <w:pPr>
        <w:pStyle w:val="FirstParagraph"/>
      </w:pPr>
      <w:r>
        <w:t xml:space="preserve">All metabolite concentrations and Cramer-Rao lower bounds from J-edited MEGA-PRESS are reported in</w:t>
      </w:r>
      <w:r>
        <w:t xml:space="preserve"> </w:t>
      </w:r>
      <w:hyperlink w:anchor="supptbl-megapressmetabs">
        <w:r>
          <w:rPr>
            <w:rStyle w:val="Internet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supp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start"/>
              <w:spacing w:before="200"/>
              <w:pStyle w:val="ImageCaption"/>
            </w:pPr>
            <w:r>
              <w:t xml:space="preserve">Table S6</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89"/>
        </w:tc>
      </w:tr>
    </w:tbl>
    <w:bookmarkEnd w:id="390"/>
    <w:bookmarkEnd w:id="391"/>
    <w:bookmarkStart w:id="407" w:name="data-quality-1"/>
    <w:p>
      <w:pPr>
        <w:pStyle w:val="Heading2"/>
      </w:pPr>
      <w:r>
        <w:t xml:space="preserve">Data quality</w:t>
      </w:r>
    </w:p>
    <w:p>
      <w:pPr>
        <w:pStyle w:val="FirstParagraph"/>
      </w:pPr>
      <w:r>
        <w:t xml:space="preserve">Data quality correlations for Hurst with mean framewise displacement, Glx and GABA+ with FWHM, and Glx and GABA+ with frequency shift are shown in</w:t>
      </w:r>
      <w:r>
        <w:t xml:space="preserve"> </w:t>
      </w:r>
      <w:hyperlink w:anchor="suppfig-dataqualit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5" w:name="suppfig-dataquality"/>
          <w:p>
            <w:pPr>
              <w:jc w:val="center"/>
            </w:pPr>
            <w:r>
              <w:drawing>
                <wp:inline>
                  <wp:extent cx="5544151" cy="7392202"/>
                  <wp:effectExtent b="0" l="0" r="0" t="0"/>
                  <wp:docPr descr="" title="" id="393" name="Picture"/>
                  <a:graphic>
                    <a:graphicData uri="http://schemas.openxmlformats.org/drawingml/2006/picture">
                      <pic:pic>
                        <pic:nvPicPr>
                          <pic:cNvPr descr="index_files/figure-docx/unnamed-chunk-15-1.png" id="394" name="Picture"/>
                          <pic:cNvPicPr>
                            <a:picLocks noChangeArrowheads="1" noChangeAspect="1"/>
                          </pic:cNvPicPr>
                        </pic:nvPicPr>
                        <pic:blipFill>
                          <a:blip r:embed="rId392"/>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95"/>
        </w:tc>
      </w:tr>
    </w:tbl>
    <w:p>
      <w:pPr>
        <w:pStyle w:val="TextBody"/>
      </w:pPr>
      <w:r>
        <w:t xml:space="preserve">Rest vs movie FWHM comparisons (paired t-tests) are provided in</w:t>
      </w:r>
      <w:r>
        <w:t xml:space="preserve"> </w:t>
      </w:r>
      <w:hyperlink w:anchor="supptbl-FWHMprepost">
        <w:r>
          <w:rPr>
            <w:rStyle w:val="InternetLink"/>
          </w:rPr>
          <w:t xml:space="preserve">Table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6" w:name="supptbl-FWHMprepost"/>
          <w:tbl>
            <w:tblPr>
              <w:tblStyle w:val="Table"/>
              <w:tblW w:type="pct" w:w="5000"/>
              <w:tblLayout w:type="fixed"/>
              <w:tblLook w:firstRow="1" w:lastRow="0" w:firstColumn="0" w:lastColumn="0" w:noHBand="0" w:noVBand="0" w:val="0020"/>
            </w:tblPr>
            <w:tblGrid>
              <w:gridCol w:w="866"/>
              <w:gridCol w:w="990"/>
              <w:gridCol w:w="1113"/>
              <w:gridCol w:w="990"/>
              <w:gridCol w:w="990"/>
              <w:gridCol w:w="742"/>
              <w:gridCol w:w="618"/>
              <w:gridCol w:w="742"/>
              <w:gridCol w:w="866"/>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7.86</w:t>
                  </w:r>
                </w:p>
              </w:tc>
              <w:tc>
                <w:tcPr/>
                <w:p>
                  <w:pPr>
                    <w:pStyle w:val="Compact"/>
                    <w:jc w:val="right"/>
                    <w:jc w:val="center"/>
                  </w:pPr>
                  <w:r>
                    <w:t xml:space="preserve">7.95</w:t>
                  </w:r>
                </w:p>
              </w:tc>
              <w:tc>
                <w:tcPr/>
                <w:p>
                  <w:pPr>
                    <w:pStyle w:val="Compact"/>
                    <w:jc w:val="right"/>
                    <w:jc w:val="center"/>
                  </w:pPr>
                  <w:r>
                    <w:t xml:space="preserve">0.09</w:t>
                  </w:r>
                </w:p>
              </w:tc>
              <w:tc>
                <w:tcPr/>
                <w:p>
                  <w:pPr>
                    <w:pStyle w:val="Compact"/>
                    <w:jc w:val="right"/>
                    <w:jc w:val="center"/>
                  </w:pPr>
                  <w:r>
                    <w:t xml:space="preserve">0.51</w:t>
                  </w:r>
                </w:p>
              </w:tc>
              <w:tc>
                <w:tcPr/>
                <w:p>
                  <w:pPr>
                    <w:pStyle w:val="Compact"/>
                    <w:jc w:val="right"/>
                    <w:jc w:val="center"/>
                  </w:pPr>
                  <w:r>
                    <w:t xml:space="preserve">0.75</w:t>
                  </w:r>
                </w:p>
              </w:tc>
              <w:tc>
                <w:tcPr/>
                <w:p>
                  <w:pPr>
                    <w:pStyle w:val="Compact"/>
                    <w:jc w:val="right"/>
                    <w:jc w:val="center"/>
                  </w:pPr>
                  <w:r>
                    <w:t xml:space="preserve">0.46</w:t>
                  </w:r>
                </w:p>
              </w:tc>
              <w:tc>
                <w:tcPr/>
                <w:p>
                  <w:pPr>
                    <w:pStyle w:val="Compact"/>
                    <w:jc w:val="right"/>
                    <w:jc w:val="center"/>
                  </w:pPr>
                  <w:r>
                    <w:t xml:space="preserve">-0.16</w:t>
                  </w:r>
                </w:p>
              </w:tc>
              <w:tc>
                <w:tcPr/>
                <w:p>
                  <w:pPr>
                    <w:pStyle w:val="Compact"/>
                    <w:jc w:val="right"/>
                    <w:jc w:val="center"/>
                  </w:pPr>
                  <w:r>
                    <w:t xml:space="preserve">0.34</w:t>
                  </w:r>
                </w:p>
              </w:tc>
            </w:tr>
            <w:tr>
              <w:tc>
                <w:tcPr/>
                <w:p>
                  <w:pPr>
                    <w:pStyle w:val="Compact"/>
                    <w:jc w:val="left"/>
                    <w:jc w:val="center"/>
                  </w:pPr>
                  <w:r>
                    <w:t xml:space="preserve">sLASER</w:t>
                  </w:r>
                </w:p>
              </w:tc>
              <w:tc>
                <w:tcPr/>
                <w:p>
                  <w:pPr>
                    <w:pStyle w:val="Compact"/>
                    <w:jc w:val="right"/>
                    <w:jc w:val="center"/>
                  </w:pPr>
                  <w:r>
                    <w:t xml:space="preserve">8.47</w:t>
                  </w:r>
                </w:p>
              </w:tc>
              <w:tc>
                <w:tcPr/>
                <w:p>
                  <w:pPr>
                    <w:pStyle w:val="Compact"/>
                    <w:jc w:val="right"/>
                    <w:jc w:val="center"/>
                  </w:pPr>
                  <w:r>
                    <w:t xml:space="preserve">8.32</w:t>
                  </w:r>
                </w:p>
              </w:tc>
              <w:tc>
                <w:tcPr/>
                <w:p>
                  <w:pPr>
                    <w:pStyle w:val="Compact"/>
                    <w:jc w:val="right"/>
                    <w:jc w:val="center"/>
                  </w:pPr>
                  <w:r>
                    <w:t xml:space="preserve">-0.15</w:t>
                  </w:r>
                </w:p>
              </w:tc>
              <w:tc>
                <w:tcPr/>
                <w:p>
                  <w:pPr>
                    <w:pStyle w:val="Compact"/>
                    <w:jc w:val="right"/>
                    <w:jc w:val="center"/>
                  </w:pPr>
                  <w:r>
                    <w:t xml:space="preserve">0.49</w:t>
                  </w:r>
                </w:p>
              </w:tc>
              <w:tc>
                <w:tcPr/>
                <w:p>
                  <w:pPr>
                    <w:pStyle w:val="Compact"/>
                    <w:jc w:val="right"/>
                    <w:jc w:val="center"/>
                  </w:pPr>
                  <w:r>
                    <w:t xml:space="preserve">-1.28</w:t>
                  </w:r>
                </w:p>
              </w:tc>
              <w:tc>
                <w:tcPr/>
                <w:p>
                  <w:pPr>
                    <w:pStyle w:val="Compact"/>
                    <w:jc w:val="right"/>
                    <w:jc w:val="center"/>
                  </w:pPr>
                  <w:r>
                    <w:t xml:space="preserve">0.22</w:t>
                  </w:r>
                </w:p>
              </w:tc>
              <w:tc>
                <w:tcPr/>
                <w:p>
                  <w:pPr>
                    <w:pStyle w:val="Compact"/>
                    <w:jc w:val="right"/>
                    <w:jc w:val="center"/>
                  </w:pPr>
                  <w:r>
                    <w:t xml:space="preserve">-0.39</w:t>
                  </w:r>
                </w:p>
              </w:tc>
              <w:tc>
                <w:tcPr/>
                <w:p>
                  <w:pPr>
                    <w:pStyle w:val="Compact"/>
                    <w:jc w:val="right"/>
                    <w:jc w:val="center"/>
                  </w:pPr>
                  <w:r>
                    <w:t xml:space="preserve">0.10</w:t>
                  </w:r>
                </w:p>
              </w:tc>
            </w:tr>
          </w:tbl>
          <w:p>
            <w:pPr>
              <w:jc w:val="center"/>
            </w:pPr>
            <w:pPr>
              <w:jc w:val="start"/>
              <w:spacing w:before="200"/>
              <w:pStyle w:val="ImageCaption"/>
            </w:pPr>
            <w:r>
              <w:t xml:space="preserve">Table S7</w:t>
            </w:r>
            <w:r>
              <w:rPr>
                <w:b/>
                <w:bCs/>
              </w:rPr>
              <w:t xml:space="preserve">.</w:t>
            </w:r>
            <w:r>
              <w:t xml:space="preserve"> </w:t>
            </w:r>
            <w:r>
              <w:t xml:space="preserve">Rest vs. movie FWHM comparison (paired t-tests) for each spectroscopy sequence. Seq = sequence; m. = mean; sd = standard deviation; t = t-value; p = p-value; CIlow = lower confidence interval; CIhigh = higher confidence interval.</w:t>
            </w:r>
          </w:p>
          <w:bookmarkEnd w:id="396"/>
        </w:tc>
      </w:tr>
    </w:tbl>
    <w:p>
      <w:pPr>
        <w:pStyle w:val="TextBody"/>
      </w:pPr>
      <w:r>
        <w:t xml:space="preserve">Rest vs movie FWHM comparisons (paired t-tests) are provided in</w:t>
      </w:r>
      <w:r>
        <w:t xml:space="preserve"> </w:t>
      </w:r>
      <w:hyperlink w:anchor="supptbl-CRSNR">
        <w:r>
          <w:rPr>
            <w:rStyle w:val="InternetLink"/>
          </w:rPr>
          <w:t xml:space="preserve">Table S8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7" w:name="supptbl-CRSNR"/>
          <w:tbl>
            <w:tblPr>
              <w:tblStyle w:val="Table"/>
              <w:tblW w:type="pct" w:w="5000"/>
              <w:tblLayout w:type="fixed"/>
              <w:tblLook w:firstRow="1" w:lastRow="0" w:firstColumn="0" w:lastColumn="0" w:noHBand="0" w:noVBand="0" w:val="0020"/>
            </w:tblPr>
            <w:tblGrid>
              <w:gridCol w:w="852"/>
              <w:gridCol w:w="974"/>
              <w:gridCol w:w="1096"/>
              <w:gridCol w:w="974"/>
              <w:gridCol w:w="974"/>
              <w:gridCol w:w="731"/>
              <w:gridCol w:w="609"/>
              <w:gridCol w:w="852"/>
              <w:gridCol w:w="852"/>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101.05</w:t>
                  </w:r>
                </w:p>
              </w:tc>
              <w:tc>
                <w:tcPr/>
                <w:p>
                  <w:pPr>
                    <w:pStyle w:val="Compact"/>
                    <w:jc w:val="right"/>
                    <w:jc w:val="center"/>
                  </w:pPr>
                  <w:r>
                    <w:t xml:space="preserve">98.75</w:t>
                  </w:r>
                </w:p>
              </w:tc>
              <w:tc>
                <w:tcPr/>
                <w:p>
                  <w:pPr>
                    <w:pStyle w:val="Compact"/>
                    <w:jc w:val="right"/>
                    <w:jc w:val="center"/>
                  </w:pPr>
                  <w:r>
                    <w:t xml:space="preserve">-2.30</w:t>
                  </w:r>
                </w:p>
              </w:tc>
              <w:tc>
                <w:tcPr/>
                <w:p>
                  <w:pPr>
                    <w:pStyle w:val="Compact"/>
                    <w:jc w:val="right"/>
                    <w:jc w:val="center"/>
                  </w:pPr>
                  <w:r>
                    <w:t xml:space="preserve">9.39</w:t>
                  </w:r>
                </w:p>
              </w:tc>
              <w:tc>
                <w:tcPr/>
                <w:p>
                  <w:pPr>
                    <w:pStyle w:val="Compact"/>
                    <w:jc w:val="right"/>
                    <w:jc w:val="center"/>
                  </w:pPr>
                  <w:r>
                    <w:t xml:space="preserve">-1.04</w:t>
                  </w:r>
                </w:p>
              </w:tc>
              <w:tc>
                <w:tcPr/>
                <w:p>
                  <w:pPr>
                    <w:pStyle w:val="Compact"/>
                    <w:jc w:val="right"/>
                    <w:jc w:val="center"/>
                  </w:pPr>
                  <w:r>
                    <w:t xml:space="preserve">0.31</w:t>
                  </w:r>
                </w:p>
              </w:tc>
              <w:tc>
                <w:tcPr/>
                <w:p>
                  <w:pPr>
                    <w:pStyle w:val="Compact"/>
                    <w:jc w:val="right"/>
                    <w:jc w:val="center"/>
                  </w:pPr>
                  <w:r>
                    <w:t xml:space="preserve">-6.97</w:t>
                  </w:r>
                </w:p>
              </w:tc>
              <w:tc>
                <w:tcPr/>
                <w:p>
                  <w:pPr>
                    <w:pStyle w:val="Compact"/>
                    <w:jc w:val="right"/>
                    <w:jc w:val="center"/>
                  </w:pPr>
                  <w:r>
                    <w:t xml:space="preserve">2.36</w:t>
                  </w:r>
                </w:p>
              </w:tc>
            </w:tr>
            <w:tr>
              <w:tc>
                <w:tcPr/>
                <w:p>
                  <w:pPr>
                    <w:pStyle w:val="Compact"/>
                    <w:jc w:val="left"/>
                    <w:jc w:val="center"/>
                  </w:pPr>
                  <w:r>
                    <w:t xml:space="preserve">sLASER</w:t>
                  </w:r>
                </w:p>
              </w:tc>
              <w:tc>
                <w:tcPr/>
                <w:p>
                  <w:pPr>
                    <w:pStyle w:val="Compact"/>
                    <w:jc w:val="right"/>
                    <w:jc w:val="center"/>
                  </w:pPr>
                  <w:r>
                    <w:t xml:space="preserve">147.61</w:t>
                  </w:r>
                </w:p>
              </w:tc>
              <w:tc>
                <w:tcPr/>
                <w:p>
                  <w:pPr>
                    <w:pStyle w:val="Compact"/>
                    <w:jc w:val="right"/>
                    <w:jc w:val="center"/>
                  </w:pPr>
                  <w:r>
                    <w:t xml:space="preserve">140.60</w:t>
                  </w:r>
                </w:p>
              </w:tc>
              <w:tc>
                <w:tcPr/>
                <w:p>
                  <w:pPr>
                    <w:pStyle w:val="Compact"/>
                    <w:jc w:val="right"/>
                    <w:jc w:val="center"/>
                  </w:pPr>
                  <w:r>
                    <w:t xml:space="preserve">-7.01</w:t>
                  </w:r>
                </w:p>
              </w:tc>
              <w:tc>
                <w:tcPr/>
                <w:p>
                  <w:pPr>
                    <w:pStyle w:val="Compact"/>
                    <w:jc w:val="right"/>
                    <w:jc w:val="center"/>
                  </w:pPr>
                  <w:r>
                    <w:t xml:space="preserve">22.84</w:t>
                  </w:r>
                </w:p>
              </w:tc>
              <w:tc>
                <w:tcPr/>
                <w:p>
                  <w:pPr>
                    <w:pStyle w:val="Compact"/>
                    <w:jc w:val="right"/>
                    <w:jc w:val="center"/>
                  </w:pPr>
                  <w:r>
                    <w:t xml:space="preserve">-1.30</w:t>
                  </w:r>
                </w:p>
              </w:tc>
              <w:tc>
                <w:tcPr/>
                <w:p>
                  <w:pPr>
                    <w:pStyle w:val="Compact"/>
                    <w:jc w:val="right"/>
                    <w:jc w:val="center"/>
                  </w:pPr>
                  <w:r>
                    <w:t xml:space="preserve">0.21</w:t>
                  </w:r>
                </w:p>
              </w:tc>
              <w:tc>
                <w:tcPr/>
                <w:p>
                  <w:pPr>
                    <w:pStyle w:val="Compact"/>
                    <w:jc w:val="right"/>
                    <w:jc w:val="center"/>
                  </w:pPr>
                  <w:r>
                    <w:t xml:space="preserve">-18.37</w:t>
                  </w:r>
                </w:p>
              </w:tc>
              <w:tc>
                <w:tcPr/>
                <w:p>
                  <w:pPr>
                    <w:pStyle w:val="Compact"/>
                    <w:jc w:val="right"/>
                    <w:jc w:val="center"/>
                  </w:pPr>
                  <w:r>
                    <w:t xml:space="preserve">4.34</w:t>
                  </w:r>
                </w:p>
              </w:tc>
            </w:tr>
          </w:tbl>
          <w:p>
            <w:pPr>
              <w:jc w:val="center"/>
            </w:pPr>
            <w:pPr>
              <w:jc w:val="start"/>
              <w:spacing w:before="200"/>
              <w:pStyle w:val="ImageCaption"/>
            </w:pPr>
            <w:r>
              <w:t xml:space="preserve">Table S8</w:t>
            </w:r>
            <w:r>
              <w:rPr>
                <w:b/>
                <w:bCs/>
              </w:rPr>
              <w:t xml:space="preserve">.</w:t>
            </w:r>
            <w:r>
              <w:t xml:space="preserve"> </w:t>
            </w:r>
            <w:r>
              <w:t xml:space="preserve">Rest vs. movie CR-SNR comparison (paired t-tests) for each spectroscopy sequence. Seq = sequence; m. = mean; sd = standard deviation; t = t-value; p = p-value; CIlow = lower confidence interval; CIhigh = higher confidence interval.</w:t>
            </w:r>
          </w:p>
          <w:bookmarkEnd w:id="397"/>
        </w:tc>
      </w:tr>
    </w:tbl>
    <w:p>
      <w:pPr>
        <w:pStyle w:val="TextBody"/>
      </w:pPr>
      <w:r>
        <w:t xml:space="preserve">Subject-level FWHM and CR-SNR values for each sequence (Rest, Movie, and Movie–Rest difference) are provided in</w:t>
      </w:r>
      <w:r>
        <w:t xml:space="preserve"> </w:t>
      </w:r>
      <w:hyperlink w:anchor="supptbl-FWHMCRSNR">
        <w:r>
          <w:rPr>
            <w:rStyle w:val="InternetLink"/>
          </w:rPr>
          <w:t xml:space="preserve">Table S9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8" w:name="supptbl-FWHMCRSNR"/>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jc w:val="center"/>
                  </w:pPr>
                  <w:r>
                    <w:t xml:space="preserve">Sub</w:t>
                  </w:r>
                </w:p>
              </w:tc>
              <w:tc>
                <w:tcPr/>
                <w:p>
                  <w:pPr>
                    <w:pStyle w:val="Compact"/>
                    <w:jc w:val="left"/>
                    <w:jc w:val="center"/>
                  </w:pPr>
                  <w:r>
                    <w:t xml:space="preserve">Seq</w:t>
                  </w:r>
                </w:p>
              </w:tc>
              <w:tc>
                <w:tcPr/>
                <w:p>
                  <w:pPr>
                    <w:pStyle w:val="Compact"/>
                    <w:jc w:val="right"/>
                    <w:jc w:val="center"/>
                  </w:pPr>
                  <w:r>
                    <w:t xml:space="preserve">R FWHM</w:t>
                  </w:r>
                </w:p>
              </w:tc>
              <w:tc>
                <w:tcPr/>
                <w:p>
                  <w:pPr>
                    <w:pStyle w:val="Compact"/>
                    <w:jc w:val="right"/>
                    <w:jc w:val="center"/>
                  </w:pPr>
                  <w:r>
                    <w:t xml:space="preserve">M FWHM</w:t>
                  </w:r>
                </w:p>
              </w:tc>
              <w:tc>
                <w:tcPr/>
                <w:p>
                  <w:pPr>
                    <w:pStyle w:val="Compact"/>
                    <w:jc w:val="right"/>
                    <w:jc w:val="center"/>
                  </w:pPr>
                  <w:r>
                    <w:t xml:space="preserve">Diff FWHM</w:t>
                  </w:r>
                </w:p>
              </w:tc>
              <w:tc>
                <w:tcPr/>
                <w:p>
                  <w:pPr>
                    <w:pStyle w:val="Compact"/>
                    <w:jc w:val="right"/>
                    <w:jc w:val="center"/>
                  </w:pPr>
                  <w:r>
                    <w:t xml:space="preserve">R SNR</w:t>
                  </w:r>
                </w:p>
              </w:tc>
              <w:tc>
                <w:tcPr/>
                <w:p>
                  <w:pPr>
                    <w:pStyle w:val="Compact"/>
                    <w:jc w:val="right"/>
                    <w:jc w:val="center"/>
                  </w:pPr>
                  <w:r>
                    <w:t xml:space="preserve">M SNR</w:t>
                  </w:r>
                </w:p>
              </w:tc>
              <w:tc>
                <w:tcPr/>
                <w:p>
                  <w:pPr>
                    <w:pStyle w:val="Compact"/>
                    <w:jc w:val="right"/>
                    <w:jc w:val="center"/>
                  </w:pPr>
                  <w:r>
                    <w:t xml:space="preserve">Diff SNR</w:t>
                  </w:r>
                </w:p>
              </w:tc>
            </w:tr>
            <w:tr>
              <w:tc>
                <w:tcPr/>
                <w:p>
                  <w:pPr>
                    <w:pStyle w:val="Compact"/>
                    <w:jc w:val="right"/>
                    <w:jc w:val="center"/>
                  </w:pPr>
                  <w:r>
                    <w:t xml:space="preserve">1</w:t>
                  </w:r>
                </w:p>
              </w:tc>
              <w:tc>
                <w:tcPr/>
                <w:p>
                  <w:pPr>
                    <w:pStyle w:val="Compact"/>
                    <w:jc w:val="left"/>
                    <w:jc w:val="center"/>
                  </w:pPr>
                  <w:r>
                    <w:t xml:space="preserve">sLASER</w:t>
                  </w:r>
                </w:p>
              </w:tc>
              <w:tc>
                <w:tcPr/>
                <w:p>
                  <w:pPr>
                    <w:pStyle w:val="Compact"/>
                    <w:jc w:val="right"/>
                    <w:jc w:val="center"/>
                  </w:pPr>
                  <w:r>
                    <w:t xml:space="preserve">8.36</w:t>
                  </w:r>
                </w:p>
              </w:tc>
              <w:tc>
                <w:tcPr/>
                <w:p>
                  <w:pPr>
                    <w:pStyle w:val="Compact"/>
                    <w:jc w:val="right"/>
                    <w:jc w:val="center"/>
                  </w:pPr>
                  <w:r>
                    <w:t xml:space="preserve">8.04</w:t>
                  </w:r>
                </w:p>
              </w:tc>
              <w:tc>
                <w:tcPr/>
                <w:p>
                  <w:pPr>
                    <w:pStyle w:val="Compact"/>
                    <w:jc w:val="right"/>
                    <w:jc w:val="center"/>
                  </w:pPr>
                  <w:r>
                    <w:t xml:space="preserve">-0.33</w:t>
                  </w:r>
                </w:p>
              </w:tc>
              <w:tc>
                <w:tcPr/>
                <w:p>
                  <w:pPr>
                    <w:pStyle w:val="Compact"/>
                    <w:jc w:val="right"/>
                    <w:jc w:val="center"/>
                  </w:pPr>
                  <w:r>
                    <w:t xml:space="preserve">135.58</w:t>
                  </w:r>
                </w:p>
              </w:tc>
              <w:tc>
                <w:tcPr/>
                <w:p>
                  <w:pPr>
                    <w:pStyle w:val="Compact"/>
                    <w:jc w:val="right"/>
                    <w:jc w:val="center"/>
                  </w:pPr>
                  <w:r>
                    <w:t xml:space="preserve">125.26</w:t>
                  </w:r>
                </w:p>
              </w:tc>
              <w:tc>
                <w:tcPr/>
                <w:p>
                  <w:pPr>
                    <w:pStyle w:val="Compact"/>
                    <w:jc w:val="right"/>
                    <w:jc w:val="center"/>
                  </w:pPr>
                  <w:r>
                    <w:t xml:space="preserve">-10.32</w:t>
                  </w:r>
                </w:p>
              </w:tc>
            </w:tr>
            <w:tr>
              <w:tc>
                <w:tcPr/>
                <w:p>
                  <w:pPr>
                    <w:pStyle w:val="Compact"/>
                    <w:jc w:val="right"/>
                    <w:jc w:val="center"/>
                  </w:pPr>
                  <w:r>
                    <w:t xml:space="preserve">1</w:t>
                  </w:r>
                </w:p>
              </w:tc>
              <w:tc>
                <w:tcPr/>
                <w:p>
                  <w:pPr>
                    <w:pStyle w:val="Compact"/>
                    <w:jc w:val="left"/>
                    <w:jc w:val="center"/>
                  </w:pPr>
                  <w:r>
                    <w:t xml:space="preserve">MEGA</w:t>
                  </w:r>
                </w:p>
              </w:tc>
              <w:tc>
                <w:tcPr/>
                <w:p>
                  <w:pPr>
                    <w:pStyle w:val="Compact"/>
                    <w:jc w:val="right"/>
                    <w:jc w:val="center"/>
                  </w:pPr>
                  <w:r>
                    <w:t xml:space="preserve">7.38</w:t>
                  </w:r>
                </w:p>
              </w:tc>
              <w:tc>
                <w:tcPr/>
                <w:p>
                  <w:pPr>
                    <w:pStyle w:val="Compact"/>
                    <w:jc w:val="right"/>
                    <w:jc w:val="center"/>
                  </w:pPr>
                  <w:r>
                    <w:t xml:space="preserve">7.41</w:t>
                  </w:r>
                </w:p>
              </w:tc>
              <w:tc>
                <w:tcPr/>
                <w:p>
                  <w:pPr>
                    <w:pStyle w:val="Compact"/>
                    <w:jc w:val="right"/>
                    <w:jc w:val="center"/>
                  </w:pPr>
                  <w:r>
                    <w:t xml:space="preserve">0.03</w:t>
                  </w:r>
                </w:p>
              </w:tc>
              <w:tc>
                <w:tcPr/>
                <w:p>
                  <w:pPr>
                    <w:pStyle w:val="Compact"/>
                    <w:jc w:val="right"/>
                    <w:jc w:val="center"/>
                  </w:pPr>
                  <w:r>
                    <w:t xml:space="preserve">91.29</w:t>
                  </w:r>
                </w:p>
              </w:tc>
              <w:tc>
                <w:tcPr/>
                <w:p>
                  <w:pPr>
                    <w:pStyle w:val="Compact"/>
                    <w:jc w:val="right"/>
                    <w:jc w:val="center"/>
                  </w:pPr>
                  <w:r>
                    <w:t xml:space="preserve">92.46</w:t>
                  </w:r>
                </w:p>
              </w:tc>
              <w:tc>
                <w:tcPr/>
                <w:p>
                  <w:pPr>
                    <w:pStyle w:val="Compact"/>
                    <w:jc w:val="right"/>
                    <w:jc w:val="center"/>
                  </w:pPr>
                  <w:r>
                    <w:t xml:space="preserve">1.17</w:t>
                  </w:r>
                </w:p>
              </w:tc>
            </w:tr>
            <w:tr>
              <w:tc>
                <w:tcPr/>
                <w:p>
                  <w:pPr>
                    <w:pStyle w:val="Compact"/>
                    <w:jc w:val="right"/>
                    <w:jc w:val="center"/>
                  </w:pPr>
                  <w:r>
                    <w:t xml:space="preserve">2</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7.72</w:t>
                  </w:r>
                </w:p>
              </w:tc>
              <w:tc>
                <w:tcPr/>
                <w:p>
                  <w:pPr>
                    <w:pStyle w:val="Compact"/>
                    <w:jc w:val="right"/>
                    <w:jc w:val="center"/>
                  </w:pPr>
                  <w:r>
                    <w:t xml:space="preserve">-0.85</w:t>
                  </w:r>
                </w:p>
              </w:tc>
              <w:tc>
                <w:tcPr/>
                <w:p>
                  <w:pPr>
                    <w:pStyle w:val="Compact"/>
                    <w:jc w:val="right"/>
                    <w:jc w:val="center"/>
                  </w:pPr>
                  <w:r>
                    <w:t xml:space="preserve">128.76</w:t>
                  </w:r>
                </w:p>
              </w:tc>
              <w:tc>
                <w:tcPr/>
                <w:p>
                  <w:pPr>
                    <w:pStyle w:val="Compact"/>
                    <w:jc w:val="right"/>
                    <w:jc w:val="center"/>
                  </w:pPr>
                  <w:r>
                    <w:t xml:space="preserve">147.92</w:t>
                  </w:r>
                </w:p>
              </w:tc>
              <w:tc>
                <w:tcPr/>
                <w:p>
                  <w:pPr>
                    <w:pStyle w:val="Compact"/>
                    <w:jc w:val="right"/>
                    <w:jc w:val="center"/>
                  </w:pPr>
                  <w:r>
                    <w:t xml:space="preserve">19.16</w:t>
                  </w:r>
                </w:p>
              </w:tc>
            </w:tr>
            <w:tr>
              <w:tc>
                <w:tcPr/>
                <w:p>
                  <w:pPr>
                    <w:pStyle w:val="Compact"/>
                    <w:jc w:val="right"/>
                    <w:jc w:val="center"/>
                  </w:pPr>
                  <w:r>
                    <w:t xml:space="preserve">2</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7.15</w:t>
                  </w:r>
                </w:p>
              </w:tc>
              <w:tc>
                <w:tcPr/>
                <w:p>
                  <w:pPr>
                    <w:pStyle w:val="Compact"/>
                    <w:jc w:val="right"/>
                    <w:jc w:val="center"/>
                  </w:pPr>
                  <w:r>
                    <w:t xml:space="preserve">-0.58</w:t>
                  </w:r>
                </w:p>
              </w:tc>
              <w:tc>
                <w:tcPr/>
                <w:p>
                  <w:pPr>
                    <w:pStyle w:val="Compact"/>
                    <w:jc w:val="right"/>
                    <w:jc w:val="center"/>
                  </w:pPr>
                  <w:r>
                    <w:t xml:space="preserve">82.16</w:t>
                  </w:r>
                </w:p>
              </w:tc>
              <w:tc>
                <w:tcPr/>
                <w:p>
                  <w:pPr>
                    <w:pStyle w:val="Compact"/>
                    <w:jc w:val="right"/>
                    <w:jc w:val="center"/>
                  </w:pPr>
                  <w:r>
                    <w:t xml:space="preserve">84.05</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sLASER</w:t>
                  </w:r>
                </w:p>
              </w:tc>
              <w:tc>
                <w:tcPr/>
                <w:p>
                  <w:pPr>
                    <w:pStyle w:val="Compact"/>
                    <w:jc w:val="right"/>
                    <w:jc w:val="center"/>
                  </w:pPr>
                  <w:r>
                    <w:t xml:space="preserve">8.61</w:t>
                  </w:r>
                </w:p>
              </w:tc>
              <w:tc>
                <w:tcPr/>
                <w:p>
                  <w:pPr>
                    <w:pStyle w:val="Compact"/>
                    <w:jc w:val="right"/>
                    <w:jc w:val="center"/>
                  </w:pPr>
                  <w:r>
                    <w:t xml:space="preserve">8.93</w:t>
                  </w:r>
                </w:p>
              </w:tc>
              <w:tc>
                <w:tcPr/>
                <w:p>
                  <w:pPr>
                    <w:pStyle w:val="Compact"/>
                    <w:jc w:val="right"/>
                    <w:jc w:val="center"/>
                  </w:pPr>
                  <w:r>
                    <w:t xml:space="preserve">0.31</w:t>
                  </w:r>
                </w:p>
              </w:tc>
              <w:tc>
                <w:tcPr/>
                <w:p>
                  <w:pPr>
                    <w:pStyle w:val="Compact"/>
                    <w:jc w:val="right"/>
                    <w:jc w:val="center"/>
                  </w:pPr>
                  <w:r>
                    <w:t xml:space="preserve">162.00</w:t>
                  </w:r>
                </w:p>
              </w:tc>
              <w:tc>
                <w:tcPr/>
                <w:p>
                  <w:pPr>
                    <w:pStyle w:val="Compact"/>
                    <w:jc w:val="right"/>
                    <w:jc w:val="center"/>
                  </w:pPr>
                  <w:r>
                    <w:t xml:space="preserve">132.33</w:t>
                  </w:r>
                </w:p>
              </w:tc>
              <w:tc>
                <w:tcPr/>
                <w:p>
                  <w:pPr>
                    <w:pStyle w:val="Compact"/>
                    <w:jc w:val="right"/>
                    <w:jc w:val="center"/>
                  </w:pPr>
                  <w:r>
                    <w:t xml:space="preserve">-29.67</w:t>
                  </w:r>
                </w:p>
              </w:tc>
            </w:tr>
            <w:tr>
              <w:tc>
                <w:tcPr/>
                <w:p>
                  <w:pPr>
                    <w:pStyle w:val="Compact"/>
                    <w:jc w:val="right"/>
                    <w:jc w:val="center"/>
                  </w:pPr>
                  <w:r>
                    <w:t xml:space="preserve">4</w:t>
                  </w:r>
                </w:p>
              </w:tc>
              <w:tc>
                <w:tcPr/>
                <w:p>
                  <w:pPr>
                    <w:pStyle w:val="Compact"/>
                    <w:jc w:val="left"/>
                    <w:jc w:val="center"/>
                  </w:pPr>
                  <w:r>
                    <w:t xml:space="preserve">MEGA</w:t>
                  </w:r>
                </w:p>
              </w:tc>
              <w:tc>
                <w:tcPr/>
                <w:p>
                  <w:pPr>
                    <w:pStyle w:val="Compact"/>
                    <w:jc w:val="right"/>
                    <w:jc w:val="center"/>
                  </w:pPr>
                  <w:r>
                    <w:t xml:space="preserve">9.23</w:t>
                  </w:r>
                </w:p>
              </w:tc>
              <w:tc>
                <w:tcPr/>
                <w:p>
                  <w:pPr>
                    <w:pStyle w:val="Compact"/>
                    <w:jc w:val="right"/>
                    <w:jc w:val="center"/>
                  </w:pPr>
                  <w:r>
                    <w:t xml:space="preserve">8.56</w:t>
                  </w:r>
                </w:p>
              </w:tc>
              <w:tc>
                <w:tcPr/>
                <w:p>
                  <w:pPr>
                    <w:pStyle w:val="Compact"/>
                    <w:jc w:val="right"/>
                    <w:jc w:val="center"/>
                  </w:pPr>
                  <w:r>
                    <w:t xml:space="preserve">-0.66</w:t>
                  </w:r>
                </w:p>
              </w:tc>
              <w:tc>
                <w:tcPr/>
                <w:p>
                  <w:pPr>
                    <w:pStyle w:val="Compact"/>
                    <w:jc w:val="right"/>
                    <w:jc w:val="center"/>
                  </w:pPr>
                  <w:r>
                    <w:t xml:space="preserve">98.51</w:t>
                  </w:r>
                </w:p>
              </w:tc>
              <w:tc>
                <w:tcPr/>
                <w:p>
                  <w:pPr>
                    <w:pStyle w:val="Compact"/>
                    <w:jc w:val="right"/>
                    <w:jc w:val="center"/>
                  </w:pPr>
                  <w:r>
                    <w:t xml:space="preserve">103.83</w:t>
                  </w:r>
                </w:p>
              </w:tc>
              <w:tc>
                <w:tcPr/>
                <w:p>
                  <w:pPr>
                    <w:pStyle w:val="Compact"/>
                    <w:jc w:val="right"/>
                    <w:jc w:val="center"/>
                  </w:pPr>
                  <w:r>
                    <w:t xml:space="preserve">5.31</w:t>
                  </w:r>
                </w:p>
              </w:tc>
            </w:tr>
            <w:tr>
              <w:tc>
                <w:tcPr/>
                <w:p>
                  <w:pPr>
                    <w:pStyle w:val="Compact"/>
                    <w:jc w:val="right"/>
                    <w:jc w:val="center"/>
                  </w:pPr>
                  <w:r>
                    <w:t xml:space="preserve">6</w:t>
                  </w:r>
                </w:p>
              </w:tc>
              <w:tc>
                <w:tcPr/>
                <w:p>
                  <w:pPr>
                    <w:pStyle w:val="Compact"/>
                    <w:jc w:val="left"/>
                    <w:jc w:val="center"/>
                  </w:pPr>
                  <w:r>
                    <w:t xml:space="preserve">sLASER</w:t>
                  </w:r>
                </w:p>
              </w:tc>
              <w:tc>
                <w:tcPr/>
                <w:p>
                  <w:pPr>
                    <w:pStyle w:val="Compact"/>
                    <w:jc w:val="right"/>
                    <w:jc w:val="center"/>
                  </w:pPr>
                  <w:r>
                    <w:t xml:space="preserve">8.01</w:t>
                  </w:r>
                </w:p>
              </w:tc>
              <w:tc>
                <w:tcPr/>
                <w:p>
                  <w:pPr>
                    <w:pStyle w:val="Compact"/>
                    <w:jc w:val="right"/>
                    <w:jc w:val="center"/>
                  </w:pPr>
                  <w:r>
                    <w:t xml:space="preserve">7.94</w:t>
                  </w:r>
                </w:p>
              </w:tc>
              <w:tc>
                <w:tcPr/>
                <w:p>
                  <w:pPr>
                    <w:pStyle w:val="Compact"/>
                    <w:jc w:val="right"/>
                    <w:jc w:val="center"/>
                  </w:pPr>
                  <w:r>
                    <w:t xml:space="preserve">-0.06</w:t>
                  </w:r>
                </w:p>
              </w:tc>
              <w:tc>
                <w:tcPr/>
                <w:p>
                  <w:pPr>
                    <w:pStyle w:val="Compact"/>
                    <w:jc w:val="right"/>
                    <w:jc w:val="center"/>
                  </w:pPr>
                  <w:r>
                    <w:t xml:space="preserve">130.77</w:t>
                  </w:r>
                </w:p>
              </w:tc>
              <w:tc>
                <w:tcPr/>
                <w:p>
                  <w:pPr>
                    <w:pStyle w:val="Compact"/>
                    <w:jc w:val="right"/>
                    <w:jc w:val="center"/>
                  </w:pPr>
                  <w:r>
                    <w:t xml:space="preserve">152.24</w:t>
                  </w:r>
                </w:p>
              </w:tc>
              <w:tc>
                <w:tcPr/>
                <w:p>
                  <w:pPr>
                    <w:pStyle w:val="Compact"/>
                    <w:jc w:val="right"/>
                    <w:jc w:val="center"/>
                  </w:pPr>
                  <w:r>
                    <w:t xml:space="preserve">21.47</w:t>
                  </w:r>
                </w:p>
              </w:tc>
            </w:tr>
            <w:tr>
              <w:tc>
                <w:tcPr/>
                <w:p>
                  <w:pPr>
                    <w:pStyle w:val="Compact"/>
                    <w:jc w:val="right"/>
                    <w:jc w:val="center"/>
                  </w:pPr>
                  <w:r>
                    <w:t xml:space="preserve">6</w:t>
                  </w:r>
                </w:p>
              </w:tc>
              <w:tc>
                <w:tcPr/>
                <w:p>
                  <w:pPr>
                    <w:pStyle w:val="Compact"/>
                    <w:jc w:val="left"/>
                    <w:jc w:val="center"/>
                  </w:pPr>
                  <w:r>
                    <w:t xml:space="preserve">MEGA</w:t>
                  </w:r>
                </w:p>
              </w:tc>
              <w:tc>
                <w:tcPr/>
                <w:p>
                  <w:pPr>
                    <w:pStyle w:val="Compact"/>
                    <w:jc w:val="right"/>
                    <w:jc w:val="center"/>
                  </w:pPr>
                  <w:r>
                    <w:t xml:space="preserve">7.35</w:t>
                  </w:r>
                </w:p>
              </w:tc>
              <w:tc>
                <w:tcPr/>
                <w:p>
                  <w:pPr>
                    <w:pStyle w:val="Compact"/>
                    <w:jc w:val="right"/>
                    <w:jc w:val="center"/>
                  </w:pPr>
                  <w:r>
                    <w:t xml:space="preserve">7.58</w:t>
                  </w:r>
                </w:p>
              </w:tc>
              <w:tc>
                <w:tcPr/>
                <w:p>
                  <w:pPr>
                    <w:pStyle w:val="Compact"/>
                    <w:jc w:val="right"/>
                    <w:jc w:val="center"/>
                  </w:pPr>
                  <w:r>
                    <w:t xml:space="preserve">0.23</w:t>
                  </w:r>
                </w:p>
              </w:tc>
              <w:tc>
                <w:tcPr/>
                <w:p>
                  <w:pPr>
                    <w:pStyle w:val="Compact"/>
                    <w:jc w:val="right"/>
                    <w:jc w:val="center"/>
                  </w:pPr>
                  <w:r>
                    <w:t xml:space="preserve">128.02</w:t>
                  </w:r>
                </w:p>
              </w:tc>
              <w:tc>
                <w:tcPr/>
                <w:p>
                  <w:pPr>
                    <w:pStyle w:val="Compact"/>
                    <w:jc w:val="right"/>
                    <w:jc w:val="center"/>
                  </w:pPr>
                  <w:r>
                    <w:t xml:space="preserve">122.19</w:t>
                  </w:r>
                </w:p>
              </w:tc>
              <w:tc>
                <w:tcPr/>
                <w:p>
                  <w:pPr>
                    <w:pStyle w:val="Compact"/>
                    <w:jc w:val="right"/>
                    <w:jc w:val="center"/>
                  </w:pPr>
                  <w:r>
                    <w:t xml:space="preserve">-5.83</w:t>
                  </w:r>
                </w:p>
              </w:tc>
            </w:tr>
            <w:tr>
              <w:tc>
                <w:tcPr/>
                <w:p>
                  <w:pPr>
                    <w:pStyle w:val="Compact"/>
                    <w:jc w:val="right"/>
                    <w:jc w:val="center"/>
                  </w:pPr>
                  <w:r>
                    <w:t xml:space="preserve">7</w:t>
                  </w:r>
                </w:p>
              </w:tc>
              <w:tc>
                <w:tcPr/>
                <w:p>
                  <w:pPr>
                    <w:pStyle w:val="Compact"/>
                    <w:jc w:val="left"/>
                    <w:jc w:val="center"/>
                  </w:pPr>
                  <w:r>
                    <w:t xml:space="preserve">sLASER</w:t>
                  </w:r>
                </w:p>
              </w:tc>
              <w:tc>
                <w:tcPr/>
                <w:p>
                  <w:pPr>
                    <w:pStyle w:val="Compact"/>
                    <w:jc w:val="right"/>
                    <w:jc w:val="center"/>
                  </w:pPr>
                  <w:r>
                    <w:t xml:space="preserve">9.08</w:t>
                  </w:r>
                </w:p>
              </w:tc>
              <w:tc>
                <w:tcPr/>
                <w:p>
                  <w:pPr>
                    <w:pStyle w:val="Compact"/>
                    <w:jc w:val="right"/>
                    <w:jc w:val="center"/>
                  </w:pPr>
                  <w:r>
                    <w:t xml:space="preserve">9.10</w:t>
                  </w:r>
                </w:p>
              </w:tc>
              <w:tc>
                <w:tcPr/>
                <w:p>
                  <w:pPr>
                    <w:pStyle w:val="Compact"/>
                    <w:jc w:val="right"/>
                    <w:jc w:val="center"/>
                  </w:pPr>
                  <w:r>
                    <w:t xml:space="preserve">0.02</w:t>
                  </w:r>
                </w:p>
              </w:tc>
              <w:tc>
                <w:tcPr/>
                <w:p>
                  <w:pPr>
                    <w:pStyle w:val="Compact"/>
                    <w:jc w:val="right"/>
                    <w:jc w:val="center"/>
                  </w:pPr>
                  <w:r>
                    <w:t xml:space="preserve">112.42</w:t>
                  </w:r>
                </w:p>
              </w:tc>
              <w:tc>
                <w:tcPr/>
                <w:p>
                  <w:pPr>
                    <w:pStyle w:val="Compact"/>
                    <w:jc w:val="right"/>
                    <w:jc w:val="center"/>
                  </w:pPr>
                  <w:r>
                    <w:t xml:space="preserve">99.45</w:t>
                  </w:r>
                </w:p>
              </w:tc>
              <w:tc>
                <w:tcPr/>
                <w:p>
                  <w:pPr>
                    <w:pStyle w:val="Compact"/>
                    <w:jc w:val="right"/>
                    <w:jc w:val="center"/>
                  </w:pPr>
                  <w:r>
                    <w:t xml:space="preserve">-12.97</w:t>
                  </w:r>
                </w:p>
              </w:tc>
            </w:tr>
            <w:tr>
              <w:tc>
                <w:tcPr/>
                <w:p>
                  <w:pPr>
                    <w:pStyle w:val="Compact"/>
                    <w:jc w:val="right"/>
                    <w:jc w:val="center"/>
                  </w:pPr>
                  <w:r>
                    <w:t xml:space="preserve">7</w:t>
                  </w:r>
                </w:p>
              </w:tc>
              <w:tc>
                <w:tcPr/>
                <w:p>
                  <w:pPr>
                    <w:pStyle w:val="Compact"/>
                    <w:jc w:val="left"/>
                    <w:jc w:val="center"/>
                  </w:pPr>
                  <w:r>
                    <w:t xml:space="preserve">MEGA</w:t>
                  </w:r>
                </w:p>
              </w:tc>
              <w:tc>
                <w:tcPr/>
                <w:p>
                  <w:pPr>
                    <w:pStyle w:val="Compact"/>
                    <w:jc w:val="right"/>
                    <w:jc w:val="center"/>
                  </w:pPr>
                  <w:r>
                    <w:t xml:space="preserve">9.17</w:t>
                  </w:r>
                </w:p>
              </w:tc>
              <w:tc>
                <w:tcPr/>
                <w:p>
                  <w:pPr>
                    <w:pStyle w:val="Compact"/>
                    <w:jc w:val="right"/>
                    <w:jc w:val="center"/>
                  </w:pPr>
                  <w:r>
                    <w:t xml:space="preserve">8.95</w:t>
                  </w:r>
                </w:p>
              </w:tc>
              <w:tc>
                <w:tcPr/>
                <w:p>
                  <w:pPr>
                    <w:pStyle w:val="Compact"/>
                    <w:jc w:val="right"/>
                    <w:jc w:val="center"/>
                  </w:pPr>
                  <w:r>
                    <w:t xml:space="preserve">-0.22</w:t>
                  </w:r>
                </w:p>
              </w:tc>
              <w:tc>
                <w:tcPr/>
                <w:p>
                  <w:pPr>
                    <w:pStyle w:val="Compact"/>
                    <w:jc w:val="right"/>
                    <w:jc w:val="center"/>
                  </w:pPr>
                  <w:r>
                    <w:t xml:space="preserve">75.46</w:t>
                  </w:r>
                </w:p>
              </w:tc>
              <w:tc>
                <w:tcPr/>
                <w:p>
                  <w:pPr>
                    <w:pStyle w:val="Compact"/>
                    <w:jc w:val="right"/>
                    <w:jc w:val="center"/>
                  </w:pPr>
                  <w:r>
                    <w:t xml:space="preserve">84.31</w:t>
                  </w:r>
                </w:p>
              </w:tc>
              <w:tc>
                <w:tcPr/>
                <w:p>
                  <w:pPr>
                    <w:pStyle w:val="Compact"/>
                    <w:jc w:val="right"/>
                    <w:jc w:val="center"/>
                  </w:pPr>
                  <w:r>
                    <w:t xml:space="preserve">8.85</w:t>
                  </w:r>
                </w:p>
              </w:tc>
            </w:tr>
            <w:tr>
              <w:tc>
                <w:tcPr/>
                <w:p>
                  <w:pPr>
                    <w:pStyle w:val="Compact"/>
                    <w:jc w:val="right"/>
                    <w:jc w:val="center"/>
                  </w:pPr>
                  <w:r>
                    <w:t xml:space="preserve">9</w:t>
                  </w:r>
                </w:p>
              </w:tc>
              <w:tc>
                <w:tcPr/>
                <w:p>
                  <w:pPr>
                    <w:pStyle w:val="Compact"/>
                    <w:jc w:val="left"/>
                    <w:jc w:val="center"/>
                  </w:pPr>
                  <w:r>
                    <w:t xml:space="preserve">sLASER</w:t>
                  </w:r>
                </w:p>
              </w:tc>
              <w:tc>
                <w:tcPr/>
                <w:p>
                  <w:pPr>
                    <w:pStyle w:val="Compact"/>
                    <w:jc w:val="right"/>
                    <w:jc w:val="center"/>
                  </w:pPr>
                  <w:r>
                    <w:t xml:space="preserve">8.27</w:t>
                  </w:r>
                </w:p>
              </w:tc>
              <w:tc>
                <w:tcPr/>
                <w:p>
                  <w:pPr>
                    <w:pStyle w:val="Compact"/>
                    <w:jc w:val="right"/>
                    <w:jc w:val="center"/>
                  </w:pPr>
                  <w:r>
                    <w:t xml:space="preserve">8.53</w:t>
                  </w:r>
                </w:p>
              </w:tc>
              <w:tc>
                <w:tcPr/>
                <w:p>
                  <w:pPr>
                    <w:pStyle w:val="Compact"/>
                    <w:jc w:val="right"/>
                    <w:jc w:val="center"/>
                  </w:pPr>
                  <w:r>
                    <w:t xml:space="preserve">0.26</w:t>
                  </w:r>
                </w:p>
              </w:tc>
              <w:tc>
                <w:tcPr/>
                <w:p>
                  <w:pPr>
                    <w:pStyle w:val="Compact"/>
                    <w:jc w:val="right"/>
                    <w:jc w:val="center"/>
                  </w:pPr>
                  <w:r>
                    <w:t xml:space="preserve">172.88</w:t>
                  </w:r>
                </w:p>
              </w:tc>
              <w:tc>
                <w:tcPr/>
                <w:p>
                  <w:pPr>
                    <w:pStyle w:val="Compact"/>
                    <w:jc w:val="right"/>
                    <w:jc w:val="center"/>
                  </w:pPr>
                  <w:r>
                    <w:t xml:space="preserve">161.56</w:t>
                  </w:r>
                </w:p>
              </w:tc>
              <w:tc>
                <w:tcPr/>
                <w:p>
                  <w:pPr>
                    <w:pStyle w:val="Compact"/>
                    <w:jc w:val="right"/>
                    <w:jc w:val="center"/>
                  </w:pPr>
                  <w:r>
                    <w:t xml:space="preserve">-11.32</w:t>
                  </w:r>
                </w:p>
              </w:tc>
            </w:tr>
            <w:tr>
              <w:tc>
                <w:tcPr/>
                <w:p>
                  <w:pPr>
                    <w:pStyle w:val="Compact"/>
                    <w:jc w:val="right"/>
                    <w:jc w:val="center"/>
                  </w:pPr>
                  <w:r>
                    <w:t xml:space="preserve">9</w:t>
                  </w:r>
                </w:p>
              </w:tc>
              <w:tc>
                <w:tcPr/>
                <w:p>
                  <w:pPr>
                    <w:pStyle w:val="Compact"/>
                    <w:jc w:val="left"/>
                    <w:jc w:val="center"/>
                  </w:pPr>
                  <w:r>
                    <w:t xml:space="preserve">MEGA</w:t>
                  </w:r>
                </w:p>
              </w:tc>
              <w:tc>
                <w:tcPr/>
                <w:p>
                  <w:pPr>
                    <w:pStyle w:val="Compact"/>
                    <w:jc w:val="right"/>
                    <w:jc w:val="center"/>
                  </w:pPr>
                  <w:r>
                    <w:t xml:space="preserve">8.02</w:t>
                  </w:r>
                </w:p>
              </w:tc>
              <w:tc>
                <w:tcPr/>
                <w:p>
                  <w:pPr>
                    <w:pStyle w:val="Compact"/>
                    <w:jc w:val="right"/>
                    <w:jc w:val="center"/>
                  </w:pPr>
                  <w:r>
                    <w:t xml:space="preserve">8.51</w:t>
                  </w:r>
                </w:p>
              </w:tc>
              <w:tc>
                <w:tcPr/>
                <w:p>
                  <w:pPr>
                    <w:pStyle w:val="Compact"/>
                    <w:jc w:val="right"/>
                    <w:jc w:val="center"/>
                  </w:pPr>
                  <w:r>
                    <w:t xml:space="preserve">0.49</w:t>
                  </w:r>
                </w:p>
              </w:tc>
              <w:tc>
                <w:tcPr/>
                <w:p>
                  <w:pPr>
                    <w:pStyle w:val="Compact"/>
                    <w:jc w:val="right"/>
                    <w:jc w:val="center"/>
                  </w:pPr>
                  <w:r>
                    <w:t xml:space="preserve">115.78</w:t>
                  </w:r>
                </w:p>
              </w:tc>
              <w:tc>
                <w:tcPr/>
                <w:p>
                  <w:pPr>
                    <w:pStyle w:val="Compact"/>
                    <w:jc w:val="right"/>
                    <w:jc w:val="center"/>
                  </w:pPr>
                  <w:r>
                    <w:t xml:space="preserve">108.07</w:t>
                  </w:r>
                </w:p>
              </w:tc>
              <w:tc>
                <w:tcPr/>
                <w:p>
                  <w:pPr>
                    <w:pStyle w:val="Compact"/>
                    <w:jc w:val="right"/>
                    <w:jc w:val="center"/>
                  </w:pPr>
                  <w:r>
                    <w:t xml:space="preserve">-7.71</w:t>
                  </w:r>
                </w:p>
              </w:tc>
            </w:tr>
            <w:tr>
              <w:tc>
                <w:tcPr/>
                <w:p>
                  <w:pPr>
                    <w:pStyle w:val="Compact"/>
                    <w:jc w:val="right"/>
                    <w:jc w:val="center"/>
                  </w:pPr>
                  <w:r>
                    <w:t xml:space="preserve">10</w:t>
                  </w:r>
                </w:p>
              </w:tc>
              <w:tc>
                <w:tcPr/>
                <w:p>
                  <w:pPr>
                    <w:pStyle w:val="Compact"/>
                    <w:jc w:val="left"/>
                    <w:jc w:val="center"/>
                  </w:pPr>
                  <w:r>
                    <w:t xml:space="preserve">sLASER</w:t>
                  </w:r>
                </w:p>
              </w:tc>
              <w:tc>
                <w:tcPr/>
                <w:p>
                  <w:pPr>
                    <w:pStyle w:val="Compact"/>
                    <w:jc w:val="right"/>
                    <w:jc w:val="center"/>
                  </w:pPr>
                  <w:r>
                    <w:t xml:space="preserve">7.65</w:t>
                  </w:r>
                </w:p>
              </w:tc>
              <w:tc>
                <w:tcPr/>
                <w:p>
                  <w:pPr>
                    <w:pStyle w:val="Compact"/>
                    <w:jc w:val="right"/>
                    <w:jc w:val="center"/>
                  </w:pPr>
                  <w:r>
                    <w:t xml:space="preserve">7.46</w:t>
                  </w:r>
                </w:p>
              </w:tc>
              <w:tc>
                <w:tcPr/>
                <w:p>
                  <w:pPr>
                    <w:pStyle w:val="Compact"/>
                    <w:jc w:val="right"/>
                    <w:jc w:val="center"/>
                  </w:pPr>
                  <w:r>
                    <w:t xml:space="preserve">-0.20</w:t>
                  </w:r>
                </w:p>
              </w:tc>
              <w:tc>
                <w:tcPr/>
                <w:p>
                  <w:pPr>
                    <w:pStyle w:val="Compact"/>
                    <w:jc w:val="right"/>
                    <w:jc w:val="center"/>
                  </w:pPr>
                  <w:r>
                    <w:t xml:space="preserve">168.43</w:t>
                  </w:r>
                </w:p>
              </w:tc>
              <w:tc>
                <w:tcPr/>
                <w:p>
                  <w:pPr>
                    <w:pStyle w:val="Compact"/>
                    <w:jc w:val="right"/>
                    <w:jc w:val="center"/>
                  </w:pPr>
                  <w:r>
                    <w:t xml:space="preserve">173.85</w:t>
                  </w:r>
                </w:p>
              </w:tc>
              <w:tc>
                <w:tcPr/>
                <w:p>
                  <w:pPr>
                    <w:pStyle w:val="Compact"/>
                    <w:jc w:val="right"/>
                    <w:jc w:val="center"/>
                  </w:pPr>
                  <w:r>
                    <w:t xml:space="preserve">5.41</w:t>
                  </w:r>
                </w:p>
              </w:tc>
            </w:tr>
            <w:tr>
              <w:tc>
                <w:tcPr/>
                <w:p>
                  <w:pPr>
                    <w:pStyle w:val="Compact"/>
                    <w:jc w:val="right"/>
                    <w:jc w:val="center"/>
                  </w:pPr>
                  <w:r>
                    <w:t xml:space="preserve">10</w:t>
                  </w:r>
                </w:p>
              </w:tc>
              <w:tc>
                <w:tcPr/>
                <w:p>
                  <w:pPr>
                    <w:pStyle w:val="Compact"/>
                    <w:jc w:val="left"/>
                    <w:jc w:val="center"/>
                  </w:pPr>
                  <w:r>
                    <w:t xml:space="preserve">MEGA</w:t>
                  </w:r>
                </w:p>
              </w:tc>
              <w:tc>
                <w:tcPr/>
                <w:p>
                  <w:pPr>
                    <w:pStyle w:val="Compact"/>
                    <w:jc w:val="right"/>
                    <w:jc w:val="center"/>
                  </w:pPr>
                  <w:r>
                    <w:t xml:space="preserve">6.66</w:t>
                  </w:r>
                </w:p>
              </w:tc>
              <w:tc>
                <w:tcPr/>
                <w:p>
                  <w:pPr>
                    <w:pStyle w:val="Compact"/>
                    <w:jc w:val="right"/>
                    <w:jc w:val="center"/>
                  </w:pPr>
                  <w:r>
                    <w:t xml:space="preserve">7.20</w:t>
                  </w:r>
                </w:p>
              </w:tc>
              <w:tc>
                <w:tcPr/>
                <w:p>
                  <w:pPr>
                    <w:pStyle w:val="Compact"/>
                    <w:jc w:val="right"/>
                    <w:jc w:val="center"/>
                  </w:pPr>
                  <w:r>
                    <w:t xml:space="preserve">0.55</w:t>
                  </w:r>
                </w:p>
              </w:tc>
              <w:tc>
                <w:tcPr/>
                <w:p>
                  <w:pPr>
                    <w:pStyle w:val="Compact"/>
                    <w:jc w:val="right"/>
                    <w:jc w:val="center"/>
                  </w:pPr>
                  <w:r>
                    <w:t xml:space="preserve">115.75</w:t>
                  </w:r>
                </w:p>
              </w:tc>
              <w:tc>
                <w:tcPr/>
                <w:p>
                  <w:pPr>
                    <w:pStyle w:val="Compact"/>
                    <w:jc w:val="right"/>
                    <w:jc w:val="center"/>
                  </w:pPr>
                  <w:r>
                    <w:t xml:space="preserve">103.79</w:t>
                  </w:r>
                </w:p>
              </w:tc>
              <w:tc>
                <w:tcPr/>
                <w:p>
                  <w:pPr>
                    <w:pStyle w:val="Compact"/>
                    <w:jc w:val="right"/>
                    <w:jc w:val="center"/>
                  </w:pPr>
                  <w:r>
                    <w:t xml:space="preserve">-11.96</w:t>
                  </w:r>
                </w:p>
              </w:tc>
            </w:tr>
            <w:tr>
              <w:tc>
                <w:tcPr/>
                <w:p>
                  <w:pPr>
                    <w:pStyle w:val="Compact"/>
                    <w:jc w:val="right"/>
                    <w:jc w:val="center"/>
                  </w:pPr>
                  <w:r>
                    <w:t xml:space="preserve">11</w:t>
                  </w:r>
                </w:p>
              </w:tc>
              <w:tc>
                <w:tcPr/>
                <w:p>
                  <w:pPr>
                    <w:pStyle w:val="Compact"/>
                    <w:jc w:val="left"/>
                    <w:jc w:val="center"/>
                  </w:pPr>
                  <w:r>
                    <w:t xml:space="preserve">sLASER</w:t>
                  </w:r>
                </w:p>
              </w:tc>
              <w:tc>
                <w:tcPr/>
                <w:p>
                  <w:pPr>
                    <w:pStyle w:val="Compact"/>
                    <w:jc w:val="right"/>
                    <w:jc w:val="center"/>
                  </w:pPr>
                  <w:r>
                    <w:t xml:space="preserve">9.53</w:t>
                  </w:r>
                </w:p>
              </w:tc>
              <w:tc>
                <w:tcPr/>
                <w:p>
                  <w:pPr>
                    <w:pStyle w:val="Compact"/>
                    <w:jc w:val="right"/>
                    <w:jc w:val="center"/>
                  </w:pPr>
                  <w:r>
                    <w:t xml:space="preserve">8.57</w:t>
                  </w:r>
                </w:p>
              </w:tc>
              <w:tc>
                <w:tcPr/>
                <w:p>
                  <w:pPr>
                    <w:pStyle w:val="Compact"/>
                    <w:jc w:val="right"/>
                    <w:jc w:val="center"/>
                  </w:pPr>
                  <w:r>
                    <w:t xml:space="preserve">-0.96</w:t>
                  </w:r>
                </w:p>
              </w:tc>
              <w:tc>
                <w:tcPr/>
                <w:p>
                  <w:pPr>
                    <w:pStyle w:val="Compact"/>
                    <w:jc w:val="right"/>
                    <w:jc w:val="center"/>
                  </w:pPr>
                  <w:r>
                    <w:t xml:space="preserve">157.59</w:t>
                  </w:r>
                </w:p>
              </w:tc>
              <w:tc>
                <w:tcPr/>
                <w:p>
                  <w:pPr>
                    <w:pStyle w:val="Compact"/>
                    <w:jc w:val="right"/>
                    <w:jc w:val="center"/>
                  </w:pPr>
                  <w:r>
                    <w:t xml:space="preserve">136.11</w:t>
                  </w:r>
                </w:p>
              </w:tc>
              <w:tc>
                <w:tcPr/>
                <w:p>
                  <w:pPr>
                    <w:pStyle w:val="Compact"/>
                    <w:jc w:val="right"/>
                    <w:jc w:val="center"/>
                  </w:pPr>
                  <w:r>
                    <w:t xml:space="preserve">-21.48</w:t>
                  </w:r>
                </w:p>
              </w:tc>
            </w:tr>
            <w:tr>
              <w:tc>
                <w:tcPr/>
                <w:p>
                  <w:pPr>
                    <w:pStyle w:val="Compact"/>
                    <w:jc w:val="right"/>
                    <w:jc w:val="center"/>
                  </w:pPr>
                  <w:r>
                    <w:t xml:space="preserve">11</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8.83</w:t>
                  </w:r>
                </w:p>
              </w:tc>
              <w:tc>
                <w:tcPr/>
                <w:p>
                  <w:pPr>
                    <w:pStyle w:val="Compact"/>
                    <w:jc w:val="right"/>
                    <w:jc w:val="center"/>
                  </w:pPr>
                  <w:r>
                    <w:t xml:space="preserve">1.10</w:t>
                  </w:r>
                </w:p>
              </w:tc>
              <w:tc>
                <w:tcPr/>
                <w:p>
                  <w:pPr>
                    <w:pStyle w:val="Compact"/>
                    <w:jc w:val="right"/>
                    <w:jc w:val="center"/>
                  </w:pPr>
                  <w:r>
                    <w:t xml:space="preserve">101.11</w:t>
                  </w:r>
                </w:p>
              </w:tc>
              <w:tc>
                <w:tcPr/>
                <w:p>
                  <w:pPr>
                    <w:pStyle w:val="Compact"/>
                    <w:jc w:val="right"/>
                    <w:jc w:val="center"/>
                  </w:pPr>
                  <w:r>
                    <w:t xml:space="preserve">87.58</w:t>
                  </w:r>
                </w:p>
              </w:tc>
              <w:tc>
                <w:tcPr/>
                <w:p>
                  <w:pPr>
                    <w:pStyle w:val="Compact"/>
                    <w:jc w:val="right"/>
                    <w:jc w:val="center"/>
                  </w:pPr>
                  <w:r>
                    <w:t xml:space="preserve">-13.52</w:t>
                  </w:r>
                </w:p>
              </w:tc>
            </w:tr>
            <w:tr>
              <w:tc>
                <w:tcPr/>
                <w:p>
                  <w:pPr>
                    <w:pStyle w:val="Compact"/>
                    <w:jc w:val="right"/>
                    <w:jc w:val="center"/>
                  </w:pPr>
                  <w:r>
                    <w:t xml:space="preserve">12</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7.79</w:t>
                  </w:r>
                </w:p>
              </w:tc>
              <w:tc>
                <w:tcPr/>
                <w:p>
                  <w:pPr>
                    <w:pStyle w:val="Compact"/>
                    <w:jc w:val="right"/>
                    <w:jc w:val="center"/>
                  </w:pPr>
                  <w:r>
                    <w:t xml:space="preserve">-0.60</w:t>
                  </w:r>
                </w:p>
              </w:tc>
              <w:tc>
                <w:tcPr/>
                <w:p>
                  <w:pPr>
                    <w:pStyle w:val="Compact"/>
                    <w:jc w:val="right"/>
                    <w:jc w:val="center"/>
                  </w:pPr>
                  <w:r>
                    <w:t xml:space="preserve">180.44</w:t>
                  </w:r>
                </w:p>
              </w:tc>
              <w:tc>
                <w:tcPr/>
                <w:p>
                  <w:pPr>
                    <w:pStyle w:val="Compact"/>
                    <w:jc w:val="right"/>
                    <w:jc w:val="center"/>
                  </w:pPr>
                  <w:r>
                    <w:t xml:space="preserve">136.71</w:t>
                  </w:r>
                </w:p>
              </w:tc>
              <w:tc>
                <w:tcPr/>
                <w:p>
                  <w:pPr>
                    <w:pStyle w:val="Compact"/>
                    <w:jc w:val="right"/>
                    <w:jc w:val="center"/>
                  </w:pPr>
                  <w:r>
                    <w:t xml:space="preserve">-43.73</w:t>
                  </w:r>
                </w:p>
              </w:tc>
            </w:tr>
            <w:tr>
              <w:tc>
                <w:tcPr/>
                <w:p>
                  <w:pPr>
                    <w:pStyle w:val="Compact"/>
                    <w:jc w:val="right"/>
                    <w:jc w:val="center"/>
                  </w:pPr>
                  <w:r>
                    <w:t xml:space="preserve">12</w:t>
                  </w:r>
                </w:p>
              </w:tc>
              <w:tc>
                <w:tcPr/>
                <w:p>
                  <w:pPr>
                    <w:pStyle w:val="Compact"/>
                    <w:jc w:val="left"/>
                    <w:jc w:val="center"/>
                  </w:pPr>
                  <w:r>
                    <w:t xml:space="preserve">MEGA</w:t>
                  </w:r>
                </w:p>
              </w:tc>
              <w:tc>
                <w:tcPr/>
                <w:p>
                  <w:pPr>
                    <w:pStyle w:val="Compact"/>
                    <w:jc w:val="right"/>
                    <w:jc w:val="center"/>
                  </w:pPr>
                  <w:r>
                    <w:t xml:space="preserve">7.46</w:t>
                  </w:r>
                </w:p>
              </w:tc>
              <w:tc>
                <w:tcPr/>
                <w:p>
                  <w:pPr>
                    <w:pStyle w:val="Compact"/>
                    <w:jc w:val="right"/>
                    <w:jc w:val="center"/>
                  </w:pPr>
                  <w:r>
                    <w:t xml:space="preserve">7.43</w:t>
                  </w:r>
                </w:p>
              </w:tc>
              <w:tc>
                <w:tcPr/>
                <w:p>
                  <w:pPr>
                    <w:pStyle w:val="Compact"/>
                    <w:jc w:val="right"/>
                    <w:jc w:val="center"/>
                  </w:pPr>
                  <w:r>
                    <w:t xml:space="preserve">-0.03</w:t>
                  </w:r>
                </w:p>
              </w:tc>
              <w:tc>
                <w:tcPr/>
                <w:p>
                  <w:pPr>
                    <w:pStyle w:val="Compact"/>
                    <w:jc w:val="right"/>
                    <w:jc w:val="center"/>
                  </w:pPr>
                  <w:r>
                    <w:t xml:space="preserve">113.05</w:t>
                  </w:r>
                </w:p>
              </w:tc>
              <w:tc>
                <w:tcPr/>
                <w:p>
                  <w:pPr>
                    <w:pStyle w:val="Compact"/>
                    <w:jc w:val="right"/>
                    <w:jc w:val="center"/>
                  </w:pPr>
                  <w:r>
                    <w:t xml:space="preserve">112.73</w:t>
                  </w:r>
                </w:p>
              </w:tc>
              <w:tc>
                <w:tcPr/>
                <w:p>
                  <w:pPr>
                    <w:pStyle w:val="Compact"/>
                    <w:jc w:val="right"/>
                    <w:jc w:val="center"/>
                  </w:pPr>
                  <w:r>
                    <w:t xml:space="preserve">-0.32</w:t>
                  </w:r>
                </w:p>
              </w:tc>
            </w:tr>
            <w:tr>
              <w:tc>
                <w:tcPr/>
                <w:p>
                  <w:pPr>
                    <w:pStyle w:val="Compact"/>
                    <w:jc w:val="right"/>
                    <w:jc w:val="center"/>
                  </w:pPr>
                  <w:r>
                    <w:t xml:space="preserve">13</w:t>
                  </w:r>
                </w:p>
              </w:tc>
              <w:tc>
                <w:tcPr/>
                <w:p>
                  <w:pPr>
                    <w:pStyle w:val="Compact"/>
                    <w:jc w:val="left"/>
                    <w:jc w:val="center"/>
                  </w:pPr>
                  <w:r>
                    <w:t xml:space="preserve">sLASER</w:t>
                  </w:r>
                </w:p>
              </w:tc>
              <w:tc>
                <w:tcPr/>
                <w:p>
                  <w:pPr>
                    <w:pStyle w:val="Compact"/>
                    <w:jc w:val="right"/>
                    <w:jc w:val="center"/>
                  </w:pPr>
                  <w:r>
                    <w:t xml:space="preserve">7.73</w:t>
                  </w:r>
                </w:p>
              </w:tc>
              <w:tc>
                <w:tcPr/>
                <w:p>
                  <w:pPr>
                    <w:pStyle w:val="Compact"/>
                    <w:jc w:val="right"/>
                    <w:jc w:val="center"/>
                  </w:pPr>
                  <w:r>
                    <w:t xml:space="preserve">8.45</w:t>
                  </w:r>
                </w:p>
              </w:tc>
              <w:tc>
                <w:tcPr/>
                <w:p>
                  <w:pPr>
                    <w:pStyle w:val="Compact"/>
                    <w:jc w:val="right"/>
                    <w:jc w:val="center"/>
                  </w:pPr>
                  <w:r>
                    <w:t xml:space="preserve">0.72</w:t>
                  </w:r>
                </w:p>
              </w:tc>
              <w:tc>
                <w:tcPr/>
                <w:p>
                  <w:pPr>
                    <w:pStyle w:val="Compact"/>
                    <w:jc w:val="right"/>
                    <w:jc w:val="center"/>
                  </w:pPr>
                  <w:r>
                    <w:t xml:space="preserve">158.00</w:t>
                  </w:r>
                </w:p>
              </w:tc>
              <w:tc>
                <w:tcPr/>
                <w:p>
                  <w:pPr>
                    <w:pStyle w:val="Compact"/>
                    <w:jc w:val="right"/>
                    <w:jc w:val="center"/>
                  </w:pPr>
                  <w:r>
                    <w:t xml:space="preserve">207.77</w:t>
                  </w:r>
                </w:p>
              </w:tc>
              <w:tc>
                <w:tcPr/>
                <w:p>
                  <w:pPr>
                    <w:pStyle w:val="Compact"/>
                    <w:jc w:val="right"/>
                    <w:jc w:val="center"/>
                  </w:pPr>
                  <w:r>
                    <w:t xml:space="preserve">49.78</w:t>
                  </w:r>
                </w:p>
              </w:tc>
            </w:tr>
            <w:tr>
              <w:tc>
                <w:tcPr/>
                <w:p>
                  <w:pPr>
                    <w:pStyle w:val="Compact"/>
                    <w:jc w:val="right"/>
                    <w:jc w:val="center"/>
                  </w:pPr>
                  <w:r>
                    <w:t xml:space="preserve">13</w:t>
                  </w:r>
                </w:p>
              </w:tc>
              <w:tc>
                <w:tcPr/>
                <w:p>
                  <w:pPr>
                    <w:pStyle w:val="Compact"/>
                    <w:jc w:val="left"/>
                    <w:jc w:val="center"/>
                  </w:pPr>
                  <w:r>
                    <w:t xml:space="preserve">MEGA</w:t>
                  </w:r>
                </w:p>
              </w:tc>
              <w:tc>
                <w:tcPr/>
                <w:p>
                  <w:pPr>
                    <w:pStyle w:val="Compact"/>
                    <w:jc w:val="right"/>
                    <w:jc w:val="center"/>
                  </w:pPr>
                  <w:r>
                    <w:t xml:space="preserve">7.06</w:t>
                  </w:r>
                </w:p>
              </w:tc>
              <w:tc>
                <w:tcPr/>
                <w:p>
                  <w:pPr>
                    <w:pStyle w:val="Compact"/>
                    <w:jc w:val="right"/>
                    <w:jc w:val="center"/>
                  </w:pPr>
                  <w:r>
                    <w:t xml:space="preserve">7.09</w:t>
                  </w:r>
                </w:p>
              </w:tc>
              <w:tc>
                <w:tcPr/>
                <w:p>
                  <w:pPr>
                    <w:pStyle w:val="Compact"/>
                    <w:jc w:val="right"/>
                    <w:jc w:val="center"/>
                  </w:pPr>
                  <w:r>
                    <w:t xml:space="preserve">0.03</w:t>
                  </w:r>
                </w:p>
              </w:tc>
              <w:tc>
                <w:tcPr/>
                <w:p>
                  <w:pPr>
                    <w:pStyle w:val="Compact"/>
                    <w:jc w:val="right"/>
                    <w:jc w:val="center"/>
                  </w:pPr>
                  <w:r>
                    <w:t xml:space="preserve">147.40</w:t>
                  </w:r>
                </w:p>
              </w:tc>
              <w:tc>
                <w:tcPr/>
                <w:p>
                  <w:pPr>
                    <w:pStyle w:val="Compact"/>
                    <w:jc w:val="right"/>
                    <w:jc w:val="center"/>
                  </w:pPr>
                  <w:r>
                    <w:t xml:space="preserve">147.57</w:t>
                  </w:r>
                </w:p>
              </w:tc>
              <w:tc>
                <w:tcPr/>
                <w:p>
                  <w:pPr>
                    <w:pStyle w:val="Compact"/>
                    <w:jc w:val="right"/>
                    <w:jc w:val="center"/>
                  </w:pPr>
                  <w:r>
                    <w:t xml:space="preserve">0.17</w:t>
                  </w:r>
                </w:p>
              </w:tc>
            </w:tr>
            <w:tr>
              <w:tc>
                <w:tcPr/>
                <w:p>
                  <w:pPr>
                    <w:pStyle w:val="Compact"/>
                    <w:jc w:val="right"/>
                    <w:jc w:val="center"/>
                  </w:pPr>
                  <w:r>
                    <w:t xml:space="preserve">15</w:t>
                  </w:r>
                </w:p>
              </w:tc>
              <w:tc>
                <w:tcPr/>
                <w:p>
                  <w:pPr>
                    <w:pStyle w:val="Compact"/>
                    <w:jc w:val="left"/>
                    <w:jc w:val="center"/>
                  </w:pPr>
                  <w:r>
                    <w:t xml:space="preserve">sLASER</w:t>
                  </w:r>
                </w:p>
              </w:tc>
              <w:tc>
                <w:tcPr/>
                <w:p>
                  <w:pPr>
                    <w:pStyle w:val="Compact"/>
                    <w:jc w:val="right"/>
                    <w:jc w:val="center"/>
                  </w:pPr>
                  <w:r>
                    <w:t xml:space="preserve">9.27</w:t>
                  </w:r>
                </w:p>
              </w:tc>
              <w:tc>
                <w:tcPr/>
                <w:p>
                  <w:pPr>
                    <w:pStyle w:val="Compact"/>
                    <w:jc w:val="right"/>
                    <w:jc w:val="center"/>
                  </w:pPr>
                  <w:r>
                    <w:t xml:space="preserve">8.25</w:t>
                  </w:r>
                </w:p>
              </w:tc>
              <w:tc>
                <w:tcPr/>
                <w:p>
                  <w:pPr>
                    <w:pStyle w:val="Compact"/>
                    <w:jc w:val="right"/>
                    <w:jc w:val="center"/>
                  </w:pPr>
                  <w:r>
                    <w:t xml:space="preserve">-1.03</w:t>
                  </w:r>
                </w:p>
              </w:tc>
              <w:tc>
                <w:tcPr/>
                <w:p>
                  <w:pPr>
                    <w:pStyle w:val="Compact"/>
                    <w:jc w:val="right"/>
                    <w:jc w:val="center"/>
                  </w:pPr>
                  <w:r>
                    <w:t xml:space="preserve">161.54</w:t>
                  </w:r>
                </w:p>
              </w:tc>
              <w:tc>
                <w:tcPr/>
                <w:p>
                  <w:pPr>
                    <w:pStyle w:val="Compact"/>
                    <w:jc w:val="right"/>
                    <w:jc w:val="center"/>
                  </w:pPr>
                  <w:r>
                    <w:t xml:space="preserve">135.97</w:t>
                  </w:r>
                </w:p>
              </w:tc>
              <w:tc>
                <w:tcPr/>
                <w:p>
                  <w:pPr>
                    <w:pStyle w:val="Compact"/>
                    <w:jc w:val="right"/>
                    <w:jc w:val="center"/>
                  </w:pPr>
                  <w:r>
                    <w:t xml:space="preserve">-25.57</w:t>
                  </w:r>
                </w:p>
              </w:tc>
            </w:tr>
            <w:tr>
              <w:tc>
                <w:tcPr/>
                <w:p>
                  <w:pPr>
                    <w:pStyle w:val="Compact"/>
                    <w:jc w:val="right"/>
                    <w:jc w:val="center"/>
                  </w:pPr>
                  <w:r>
                    <w:t xml:space="preserve">15</w:t>
                  </w:r>
                </w:p>
              </w:tc>
              <w:tc>
                <w:tcPr/>
                <w:p>
                  <w:pPr>
                    <w:pStyle w:val="Compact"/>
                    <w:jc w:val="left"/>
                    <w:jc w:val="center"/>
                  </w:pPr>
                  <w:r>
                    <w:t xml:space="preserve">MEGA</w:t>
                  </w:r>
                </w:p>
              </w:tc>
              <w:tc>
                <w:tcPr/>
                <w:p>
                  <w:pPr>
                    <w:pStyle w:val="Compact"/>
                    <w:jc w:val="right"/>
                    <w:jc w:val="center"/>
                  </w:pPr>
                  <w:r>
                    <w:t xml:space="preserve">7.93</w:t>
                  </w:r>
                </w:p>
              </w:tc>
              <w:tc>
                <w:tcPr/>
                <w:p>
                  <w:pPr>
                    <w:pStyle w:val="Compact"/>
                    <w:jc w:val="right"/>
                    <w:jc w:val="center"/>
                  </w:pPr>
                  <w:r>
                    <w:t xml:space="preserve">7.40</w:t>
                  </w:r>
                </w:p>
              </w:tc>
              <w:tc>
                <w:tcPr/>
                <w:p>
                  <w:pPr>
                    <w:pStyle w:val="Compact"/>
                    <w:jc w:val="right"/>
                    <w:jc w:val="center"/>
                  </w:pPr>
                  <w:r>
                    <w:t xml:space="preserve">-0.53</w:t>
                  </w:r>
                </w:p>
              </w:tc>
              <w:tc>
                <w:tcPr/>
                <w:p>
                  <w:pPr>
                    <w:pStyle w:val="Compact"/>
                    <w:jc w:val="right"/>
                    <w:jc w:val="center"/>
                  </w:pPr>
                  <w:r>
                    <w:t xml:space="preserve">105.05</w:t>
                  </w:r>
                </w:p>
              </w:tc>
              <w:tc>
                <w:tcPr/>
                <w:p>
                  <w:pPr>
                    <w:pStyle w:val="Compact"/>
                    <w:jc w:val="right"/>
                    <w:jc w:val="center"/>
                  </w:pPr>
                  <w:r>
                    <w:t xml:space="preserve">124.51</w:t>
                  </w:r>
                </w:p>
              </w:tc>
              <w:tc>
                <w:tcPr/>
                <w:p>
                  <w:pPr>
                    <w:pStyle w:val="Compact"/>
                    <w:jc w:val="right"/>
                    <w:jc w:val="center"/>
                  </w:pPr>
                  <w:r>
                    <w:t xml:space="preserve">19.47</w:t>
                  </w:r>
                </w:p>
              </w:tc>
            </w:tr>
            <w:tr>
              <w:tc>
                <w:tcPr/>
                <w:p>
                  <w:pPr>
                    <w:pStyle w:val="Compact"/>
                    <w:jc w:val="right"/>
                    <w:jc w:val="center"/>
                  </w:pPr>
                  <w:r>
                    <w:t xml:space="preserve">16</w:t>
                  </w:r>
                </w:p>
              </w:tc>
              <w:tc>
                <w:tcPr/>
                <w:p>
                  <w:pPr>
                    <w:pStyle w:val="Compact"/>
                    <w:jc w:val="left"/>
                    <w:jc w:val="center"/>
                  </w:pPr>
                  <w:r>
                    <w:t xml:space="preserve">sLASER</w:t>
                  </w:r>
                </w:p>
              </w:tc>
              <w:tc>
                <w:tcPr/>
                <w:p>
                  <w:pPr>
                    <w:pStyle w:val="Compact"/>
                    <w:jc w:val="right"/>
                    <w:jc w:val="center"/>
                  </w:pPr>
                  <w:r>
                    <w:t xml:space="preserve">9.23</w:t>
                  </w:r>
                </w:p>
              </w:tc>
              <w:tc>
                <w:tcPr/>
                <w:p>
                  <w:pPr>
                    <w:pStyle w:val="Compact"/>
                    <w:jc w:val="right"/>
                    <w:jc w:val="center"/>
                  </w:pPr>
                  <w:r>
                    <w:t xml:space="preserve">9.19</w:t>
                  </w:r>
                </w:p>
              </w:tc>
              <w:tc>
                <w:tcPr/>
                <w:p>
                  <w:pPr>
                    <w:pStyle w:val="Compact"/>
                    <w:jc w:val="right"/>
                    <w:jc w:val="center"/>
                  </w:pPr>
                  <w:r>
                    <w:t xml:space="preserve">-0.04</w:t>
                  </w:r>
                </w:p>
              </w:tc>
              <w:tc>
                <w:tcPr/>
                <w:p>
                  <w:pPr>
                    <w:pStyle w:val="Compact"/>
                    <w:jc w:val="right"/>
                    <w:jc w:val="center"/>
                  </w:pPr>
                  <w:r>
                    <w:t xml:space="preserve">155.48</w:t>
                  </w:r>
                </w:p>
              </w:tc>
              <w:tc>
                <w:tcPr/>
                <w:p>
                  <w:pPr>
                    <w:pStyle w:val="Compact"/>
                    <w:jc w:val="right"/>
                    <w:jc w:val="center"/>
                  </w:pPr>
                  <w:r>
                    <w:t xml:space="preserve">135.41</w:t>
                  </w:r>
                </w:p>
              </w:tc>
              <w:tc>
                <w:tcPr/>
                <w:p>
                  <w:pPr>
                    <w:pStyle w:val="Compact"/>
                    <w:jc w:val="right"/>
                    <w:jc w:val="center"/>
                  </w:pPr>
                  <w:r>
                    <w:t xml:space="preserve">-20.07</w:t>
                  </w:r>
                </w:p>
              </w:tc>
            </w:tr>
            <w:tr>
              <w:tc>
                <w:tcPr/>
                <w:p>
                  <w:pPr>
                    <w:pStyle w:val="Compact"/>
                    <w:jc w:val="right"/>
                    <w:jc w:val="center"/>
                  </w:pPr>
                  <w:r>
                    <w:t xml:space="preserve">16</w:t>
                  </w:r>
                </w:p>
              </w:tc>
              <w:tc>
                <w:tcPr/>
                <w:p>
                  <w:pPr>
                    <w:pStyle w:val="Compact"/>
                    <w:jc w:val="left"/>
                    <w:jc w:val="center"/>
                  </w:pPr>
                  <w:r>
                    <w:t xml:space="preserve">MEGA</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-0.03</w:t>
                  </w:r>
                </w:p>
              </w:tc>
              <w:tc>
                <w:tcPr/>
                <w:p>
                  <w:pPr>
                    <w:pStyle w:val="Compact"/>
                    <w:jc w:val="right"/>
                    <w:jc w:val="center"/>
                  </w:pPr>
                  <w:r>
                    <w:t xml:space="preserve">102.73</w:t>
                  </w:r>
                </w:p>
              </w:tc>
              <w:tc>
                <w:tcPr/>
                <w:p>
                  <w:pPr>
                    <w:pStyle w:val="Compact"/>
                    <w:jc w:val="right"/>
                    <w:jc w:val="center"/>
                  </w:pPr>
                  <w:r>
                    <w:t xml:space="preserve">97.17</w:t>
                  </w:r>
                </w:p>
              </w:tc>
              <w:tc>
                <w:tcPr/>
                <w:p>
                  <w:pPr>
                    <w:pStyle w:val="Compact"/>
                    <w:jc w:val="right"/>
                    <w:jc w:val="center"/>
                  </w:pPr>
                  <w:r>
                    <w:t xml:space="preserve">-5.55</w:t>
                  </w:r>
                </w:p>
              </w:tc>
            </w:tr>
            <w:tr>
              <w:tc>
                <w:tcPr/>
                <w:p>
                  <w:pPr>
                    <w:pStyle w:val="Compact"/>
                    <w:jc w:val="right"/>
                    <w:jc w:val="center"/>
                  </w:pPr>
                  <w:r>
                    <w:t xml:space="preserve">18</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8.33</w:t>
                  </w:r>
                </w:p>
              </w:tc>
              <w:tc>
                <w:tcPr/>
                <w:p>
                  <w:pPr>
                    <w:pStyle w:val="Compact"/>
                    <w:jc w:val="right"/>
                    <w:jc w:val="center"/>
                  </w:pPr>
                  <w:r>
                    <w:t xml:space="preserve">-0.24</w:t>
                  </w:r>
                </w:p>
              </w:tc>
              <w:tc>
                <w:tcPr/>
                <w:p>
                  <w:pPr>
                    <w:pStyle w:val="Compact"/>
                    <w:jc w:val="right"/>
                    <w:jc w:val="center"/>
                  </w:pPr>
                  <w:r>
                    <w:t xml:space="preserve">116.65</w:t>
                  </w:r>
                </w:p>
              </w:tc>
              <w:tc>
                <w:tcPr/>
                <w:p>
                  <w:pPr>
                    <w:pStyle w:val="Compact"/>
                    <w:jc w:val="right"/>
                    <w:jc w:val="center"/>
                  </w:pPr>
                  <w:r>
                    <w:t xml:space="preserve">117.28</w:t>
                  </w:r>
                </w:p>
              </w:tc>
              <w:tc>
                <w:tcPr/>
                <w:p>
                  <w:pPr>
                    <w:pStyle w:val="Compact"/>
                    <w:jc w:val="right"/>
                    <w:jc w:val="center"/>
                  </w:pPr>
                  <w:r>
                    <w:t xml:space="preserve">0.62</w:t>
                  </w:r>
                </w:p>
              </w:tc>
            </w:tr>
            <w:tr>
              <w:tc>
                <w:tcPr/>
                <w:p>
                  <w:pPr>
                    <w:pStyle w:val="Compact"/>
                    <w:jc w:val="right"/>
                    <w:jc w:val="center"/>
                  </w:pPr>
                  <w:r>
                    <w:t xml:space="preserve">18</w:t>
                  </w:r>
                </w:p>
              </w:tc>
              <w:tc>
                <w:tcPr/>
                <w:p>
                  <w:pPr>
                    <w:pStyle w:val="Compact"/>
                    <w:jc w:val="left"/>
                    <w:jc w:val="center"/>
                  </w:pPr>
                  <w:r>
                    <w:t xml:space="preserve">MEGA</w:t>
                  </w:r>
                </w:p>
              </w:tc>
              <w:tc>
                <w:tcPr/>
                <w:p>
                  <w:pPr>
                    <w:pStyle w:val="Compact"/>
                    <w:jc w:val="right"/>
                    <w:jc w:val="center"/>
                  </w:pPr>
                  <w:r>
                    <w:t xml:space="preserve">7.91</w:t>
                  </w:r>
                </w:p>
              </w:tc>
              <w:tc>
                <w:tcPr/>
                <w:p>
                  <w:pPr>
                    <w:pStyle w:val="Compact"/>
                    <w:jc w:val="right"/>
                    <w:jc w:val="center"/>
                  </w:pPr>
                  <w:r>
                    <w:t xml:space="preserve">7.51</w:t>
                  </w:r>
                </w:p>
              </w:tc>
              <w:tc>
                <w:tcPr/>
                <w:p>
                  <w:pPr>
                    <w:pStyle w:val="Compact"/>
                    <w:jc w:val="right"/>
                    <w:jc w:val="center"/>
                  </w:pPr>
                  <w:r>
                    <w:t xml:space="preserve">-0.40</w:t>
                  </w:r>
                </w:p>
              </w:tc>
              <w:tc>
                <w:tcPr/>
                <w:p>
                  <w:pPr>
                    <w:pStyle w:val="Compact"/>
                    <w:jc w:val="right"/>
                    <w:jc w:val="center"/>
                  </w:pPr>
                  <w:r>
                    <w:t xml:space="preserve">75.65</w:t>
                  </w:r>
                </w:p>
              </w:tc>
              <w:tc>
                <w:tcPr/>
                <w:p>
                  <w:pPr>
                    <w:pStyle w:val="Compact"/>
                    <w:jc w:val="right"/>
                    <w:jc w:val="center"/>
                  </w:pPr>
                  <w:r>
                    <w:t xml:space="preserve">83.37</w:t>
                  </w:r>
                </w:p>
              </w:tc>
              <w:tc>
                <w:tcPr/>
                <w:p>
                  <w:pPr>
                    <w:pStyle w:val="Compact"/>
                    <w:jc w:val="right"/>
                    <w:jc w:val="center"/>
                  </w:pPr>
                  <w:r>
                    <w:t xml:space="preserve">7.71</w:t>
                  </w:r>
                </w:p>
              </w:tc>
            </w:tr>
            <w:tr>
              <w:tc>
                <w:tcPr/>
                <w:p>
                  <w:pPr>
                    <w:pStyle w:val="Compact"/>
                    <w:jc w:val="right"/>
                    <w:jc w:val="center"/>
                  </w:pPr>
                  <w:r>
                    <w:t xml:space="preserve">19</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8.57</w:t>
                  </w:r>
                </w:p>
              </w:tc>
              <w:tc>
                <w:tcPr/>
                <w:p>
                  <w:pPr>
                    <w:pStyle w:val="Compact"/>
                    <w:jc w:val="right"/>
                    <w:jc w:val="center"/>
                  </w:pPr>
                  <w:r>
                    <w:t xml:space="preserve">0.18</w:t>
                  </w:r>
                </w:p>
              </w:tc>
              <w:tc>
                <w:tcPr/>
                <w:p>
                  <w:pPr>
                    <w:pStyle w:val="Compact"/>
                    <w:jc w:val="right"/>
                    <w:jc w:val="center"/>
                  </w:pPr>
                  <w:r>
                    <w:t xml:space="preserve">169.98</w:t>
                  </w:r>
                </w:p>
              </w:tc>
              <w:tc>
                <w:tcPr/>
                <w:p>
                  <w:pPr>
                    <w:pStyle w:val="Compact"/>
                    <w:jc w:val="right"/>
                    <w:jc w:val="center"/>
                  </w:pPr>
                  <w:r>
                    <w:t xml:space="preserve">145.07</w:t>
                  </w:r>
                </w:p>
              </w:tc>
              <w:tc>
                <w:tcPr/>
                <w:p>
                  <w:pPr>
                    <w:pStyle w:val="Compact"/>
                    <w:jc w:val="right"/>
                    <w:jc w:val="center"/>
                  </w:pPr>
                  <w:r>
                    <w:t xml:space="preserve">-24.92</w:t>
                  </w:r>
                </w:p>
              </w:tc>
            </w:tr>
            <w:tr>
              <w:tc>
                <w:tcPr/>
                <w:p>
                  <w:pPr>
                    <w:pStyle w:val="Compact"/>
                    <w:jc w:val="right"/>
                    <w:jc w:val="center"/>
                  </w:pPr>
                  <w:r>
                    <w:t xml:space="preserve">19</w:t>
                  </w:r>
                </w:p>
              </w:tc>
              <w:tc>
                <w:tcPr/>
                <w:p>
                  <w:pPr>
                    <w:pStyle w:val="Compact"/>
                    <w:jc w:val="left"/>
                    <w:jc w:val="center"/>
                  </w:pPr>
                  <w:r>
                    <w:t xml:space="preserve">MEGA</w:t>
                  </w:r>
                </w:p>
              </w:tc>
              <w:tc>
                <w:tcPr/>
                <w:p>
                  <w:pPr>
                    <w:pStyle w:val="Compact"/>
                    <w:jc w:val="right"/>
                    <w:jc w:val="center"/>
                  </w:pPr>
                  <w:r>
                    <w:t xml:space="preserve">7.63</w:t>
                  </w:r>
                </w:p>
              </w:tc>
              <w:tc>
                <w:tcPr/>
                <w:p>
                  <w:pPr>
                    <w:pStyle w:val="Compact"/>
                    <w:jc w:val="right"/>
                    <w:jc w:val="center"/>
                  </w:pPr>
                  <w:r>
                    <w:t xml:space="preserve">8.01</w:t>
                  </w:r>
                </w:p>
              </w:tc>
              <w:tc>
                <w:tcPr/>
                <w:p>
                  <w:pPr>
                    <w:pStyle w:val="Compact"/>
                    <w:jc w:val="right"/>
                    <w:jc w:val="center"/>
                  </w:pPr>
                  <w:r>
                    <w:t xml:space="preserve">0.37</w:t>
                  </w:r>
                </w:p>
              </w:tc>
              <w:tc>
                <w:tcPr/>
                <w:p>
                  <w:pPr>
                    <w:pStyle w:val="Compact"/>
                    <w:jc w:val="right"/>
                    <w:jc w:val="center"/>
                  </w:pPr>
                  <w:r>
                    <w:t xml:space="preserve">126.17</w:t>
                  </w:r>
                </w:p>
              </w:tc>
              <w:tc>
                <w:tcPr/>
                <w:p>
                  <w:pPr>
                    <w:pStyle w:val="Compact"/>
                    <w:jc w:val="right"/>
                    <w:jc w:val="center"/>
                  </w:pPr>
                  <w:r>
                    <w:t xml:space="preserve">107.86</w:t>
                  </w:r>
                </w:p>
              </w:tc>
              <w:tc>
                <w:tcPr/>
                <w:p>
                  <w:pPr>
                    <w:pStyle w:val="Compact"/>
                    <w:jc w:val="right"/>
                    <w:jc w:val="center"/>
                  </w:pPr>
                  <w:r>
                    <w:t xml:space="preserve">-18.31</w:t>
                  </w:r>
                </w:p>
              </w:tc>
            </w:tr>
            <w:tr>
              <w:tc>
                <w:tcPr/>
                <w:p>
                  <w:pPr>
                    <w:pStyle w:val="Compact"/>
                    <w:jc w:val="right"/>
                    <w:jc w:val="center"/>
                  </w:pPr>
                  <w:r>
                    <w:t xml:space="preserve">20</w:t>
                  </w:r>
                </w:p>
              </w:tc>
              <w:tc>
                <w:tcPr/>
                <w:p>
                  <w:pPr>
                    <w:pStyle w:val="Compact"/>
                    <w:jc w:val="left"/>
                    <w:jc w:val="center"/>
                  </w:pPr>
                  <w:r>
                    <w:t xml:space="preserve">sLASER</w:t>
                  </w:r>
                </w:p>
              </w:tc>
              <w:tc>
                <w:tcPr/>
                <w:p>
                  <w:pPr>
                    <w:pStyle w:val="Compact"/>
                    <w:jc w:val="right"/>
                    <w:jc w:val="center"/>
                  </w:pPr>
                  <w:r>
                    <w:t xml:space="preserve">7.94</w:t>
                  </w:r>
                </w:p>
              </w:tc>
              <w:tc>
                <w:tcPr/>
                <w:p>
                  <w:pPr>
                    <w:pStyle w:val="Compact"/>
                    <w:jc w:val="right"/>
                    <w:jc w:val="center"/>
                  </w:pPr>
                  <w:r>
                    <w:t xml:space="preserve">7.93</w:t>
                  </w:r>
                </w:p>
              </w:tc>
              <w:tc>
                <w:tcPr/>
                <w:p>
                  <w:pPr>
                    <w:pStyle w:val="Compact"/>
                    <w:jc w:val="right"/>
                    <w:jc w:val="center"/>
                  </w:pPr>
                  <w:r>
                    <w:t xml:space="preserve">0.00</w:t>
                  </w:r>
                </w:p>
              </w:tc>
              <w:tc>
                <w:tcPr/>
                <w:p>
                  <w:pPr>
                    <w:pStyle w:val="Compact"/>
                    <w:jc w:val="right"/>
                    <w:jc w:val="center"/>
                  </w:pPr>
                  <w:r>
                    <w:t xml:space="preserve">146.29</w:t>
                  </w:r>
                </w:p>
              </w:tc>
              <w:tc>
                <w:tcPr/>
                <w:p>
                  <w:pPr>
                    <w:pStyle w:val="Compact"/>
                    <w:jc w:val="right"/>
                    <w:jc w:val="center"/>
                  </w:pPr>
                  <w:r>
                    <w:t xml:space="preserve">156.69</w:t>
                  </w:r>
                </w:p>
              </w:tc>
              <w:tc>
                <w:tcPr/>
                <w:p>
                  <w:pPr>
                    <w:pStyle w:val="Compact"/>
                    <w:jc w:val="right"/>
                    <w:jc w:val="center"/>
                  </w:pPr>
                  <w:r>
                    <w:t xml:space="preserve">10.40</w:t>
                  </w:r>
                </w:p>
              </w:tc>
            </w:tr>
            <w:tr>
              <w:tc>
                <w:tcPr/>
                <w:p>
                  <w:pPr>
                    <w:pStyle w:val="Compact"/>
                    <w:jc w:val="right"/>
                    <w:jc w:val="center"/>
                  </w:pPr>
                  <w:r>
                    <w:t xml:space="preserve">20</w:t>
                  </w:r>
                </w:p>
              </w:tc>
              <w:tc>
                <w:tcPr/>
                <w:p>
                  <w:pPr>
                    <w:pStyle w:val="Compact"/>
                    <w:jc w:val="left"/>
                    <w:jc w:val="center"/>
                  </w:pPr>
                  <w:r>
                    <w:t xml:space="preserve">MEGA</w:t>
                  </w:r>
                </w:p>
              </w:tc>
              <w:tc>
                <w:tcPr/>
                <w:p>
                  <w:pPr>
                    <w:pStyle w:val="Compact"/>
                    <w:jc w:val="right"/>
                    <w:jc w:val="center"/>
                  </w:pPr>
                  <w:r>
                    <w:t xml:space="preserve">7.16</w:t>
                  </w:r>
                </w:p>
              </w:tc>
              <w:tc>
                <w:tcPr/>
                <w:p>
                  <w:pPr>
                    <w:pStyle w:val="Compact"/>
                    <w:jc w:val="right"/>
                    <w:jc w:val="center"/>
                  </w:pPr>
                  <w:r>
                    <w:t xml:space="preserve">8.24</w:t>
                  </w:r>
                </w:p>
              </w:tc>
              <w:tc>
                <w:tcPr/>
                <w:p>
                  <w:pPr>
                    <w:pStyle w:val="Compact"/>
                    <w:jc w:val="right"/>
                    <w:jc w:val="center"/>
                  </w:pPr>
                  <w:r>
                    <w:t xml:space="preserve">1.08</w:t>
                  </w:r>
                </w:p>
              </w:tc>
              <w:tc>
                <w:tcPr/>
                <w:p>
                  <w:pPr>
                    <w:pStyle w:val="Compact"/>
                    <w:jc w:val="right"/>
                    <w:jc w:val="center"/>
                  </w:pPr>
                  <w:r>
                    <w:t xml:space="preserve">100.81</w:t>
                  </w:r>
                </w:p>
              </w:tc>
              <w:tc>
                <w:tcPr/>
                <w:p>
                  <w:pPr>
                    <w:pStyle w:val="Compact"/>
                    <w:jc w:val="right"/>
                    <w:jc w:val="center"/>
                  </w:pPr>
                  <w:r>
                    <w:t xml:space="preserve">85.99</w:t>
                  </w:r>
                </w:p>
              </w:tc>
              <w:tc>
                <w:tcPr/>
                <w:p>
                  <w:pPr>
                    <w:pStyle w:val="Compact"/>
                    <w:jc w:val="right"/>
                    <w:jc w:val="center"/>
                  </w:pPr>
                  <w:r>
                    <w:t xml:space="preserve">-14.82</w:t>
                  </w:r>
                </w:p>
              </w:tc>
            </w:tr>
            <w:tr>
              <w:tc>
                <w:tcPr/>
                <w:p>
                  <w:pPr>
                    <w:pStyle w:val="Compact"/>
                    <w:jc w:val="right"/>
                    <w:jc w:val="center"/>
                  </w:pPr>
                  <w:r>
                    <w:t xml:space="preserve">22</w:t>
                  </w:r>
                </w:p>
              </w:tc>
              <w:tc>
                <w:tcPr/>
                <w:p>
                  <w:pPr>
                    <w:pStyle w:val="Compact"/>
                    <w:jc w:val="left"/>
                    <w:jc w:val="center"/>
                  </w:pPr>
                  <w:r>
                    <w:t xml:space="preserve">sLASER</w:t>
                  </w:r>
                </w:p>
              </w:tc>
              <w:tc>
                <w:tcPr/>
                <w:p>
                  <w:pPr>
                    <w:pStyle w:val="Compact"/>
                    <w:jc w:val="right"/>
                    <w:jc w:val="center"/>
                  </w:pPr>
                  <w:r>
                    <w:t xml:space="preserve">9.51</w:t>
                  </w:r>
                </w:p>
              </w:tc>
              <w:tc>
                <w:tcPr/>
                <w:p>
                  <w:pPr>
                    <w:pStyle w:val="Compact"/>
                    <w:jc w:val="right"/>
                    <w:jc w:val="center"/>
                  </w:pPr>
                  <w:r>
                    <w:t xml:space="preserve">9.86</w:t>
                  </w:r>
                </w:p>
              </w:tc>
              <w:tc>
                <w:tcPr/>
                <w:p>
                  <w:pPr>
                    <w:pStyle w:val="Compact"/>
                    <w:jc w:val="right"/>
                    <w:jc w:val="center"/>
                  </w:pPr>
                  <w:r>
                    <w:t xml:space="preserve">0.35</w:t>
                  </w:r>
                </w:p>
              </w:tc>
              <w:tc>
                <w:tcPr/>
                <w:p>
                  <w:pPr>
                    <w:pStyle w:val="Compact"/>
                    <w:jc w:val="right"/>
                    <w:jc w:val="center"/>
                  </w:pPr>
                  <w:r>
                    <w:t xml:space="preserve">121.74</w:t>
                  </w:r>
                </w:p>
              </w:tc>
              <w:tc>
                <w:tcPr/>
                <w:p>
                  <w:pPr>
                    <w:pStyle w:val="Compact"/>
                    <w:jc w:val="right"/>
                    <w:jc w:val="center"/>
                  </w:pPr>
                  <w:r>
                    <w:t xml:space="preserve">96.63</w:t>
                  </w:r>
                </w:p>
              </w:tc>
              <w:tc>
                <w:tcPr/>
                <w:p>
                  <w:pPr>
                    <w:pStyle w:val="Compact"/>
                    <w:jc w:val="right"/>
                    <w:jc w:val="center"/>
                  </w:pPr>
                  <w:r>
                    <w:t xml:space="preserve">-25.11</w:t>
                  </w:r>
                </w:p>
              </w:tc>
            </w:tr>
            <w:tr>
              <w:tc>
                <w:tcPr/>
                <w:p>
                  <w:pPr>
                    <w:pStyle w:val="Compact"/>
                    <w:jc w:val="right"/>
                    <w:jc w:val="center"/>
                  </w:pPr>
                  <w:r>
                    <w:t xml:space="preserve">22</w:t>
                  </w:r>
                </w:p>
              </w:tc>
              <w:tc>
                <w:tcPr/>
                <w:p>
                  <w:pPr>
                    <w:pStyle w:val="Compact"/>
                    <w:jc w:val="left"/>
                    <w:jc w:val="center"/>
                  </w:pPr>
                  <w:r>
                    <w:t xml:space="preserve">MEGA</w:t>
                  </w:r>
                </w:p>
              </w:tc>
              <w:tc>
                <w:tcPr/>
                <w:p>
                  <w:pPr>
                    <w:pStyle w:val="Compact"/>
                    <w:jc w:val="right"/>
                    <w:jc w:val="center"/>
                  </w:pPr>
                  <w:r>
                    <w:t xml:space="preserve">9.20</w:t>
                  </w:r>
                </w:p>
              </w:tc>
              <w:tc>
                <w:tcPr/>
                <w:p>
                  <w:pPr>
                    <w:pStyle w:val="Compact"/>
                    <w:jc w:val="right"/>
                    <w:jc w:val="center"/>
                  </w:pPr>
                  <w:r>
                    <w:t xml:space="preserve">9.43</w:t>
                  </w:r>
                </w:p>
              </w:tc>
              <w:tc>
                <w:tcPr/>
                <w:p>
                  <w:pPr>
                    <w:pStyle w:val="Compact"/>
                    <w:jc w:val="right"/>
                    <w:jc w:val="center"/>
                  </w:pPr>
                  <w:r>
                    <w:t xml:space="preserve">0.24</w:t>
                  </w:r>
                </w:p>
              </w:tc>
              <w:tc>
                <w:tcPr/>
                <w:p>
                  <w:pPr>
                    <w:pStyle w:val="Compact"/>
                    <w:jc w:val="right"/>
                    <w:jc w:val="center"/>
                  </w:pPr>
                  <w:r>
                    <w:t xml:space="preserve">60.44</w:t>
                  </w:r>
                </w:p>
              </w:tc>
              <w:tc>
                <w:tcPr/>
                <w:p>
                  <w:pPr>
                    <w:pStyle w:val="Compact"/>
                    <w:jc w:val="right"/>
                    <w:jc w:val="center"/>
                  </w:pPr>
                  <w:r>
                    <w:t xml:space="preserve">60.70</w:t>
                  </w:r>
                </w:p>
              </w:tc>
              <w:tc>
                <w:tcPr/>
                <w:p>
                  <w:pPr>
                    <w:pStyle w:val="Compact"/>
                    <w:jc w:val="right"/>
                    <w:jc w:val="center"/>
                  </w:pPr>
                  <w:r>
                    <w:t xml:space="preserve">0.26</w:t>
                  </w:r>
                </w:p>
              </w:tc>
            </w:tr>
            <w:tr>
              <w:tc>
                <w:tcPr/>
                <w:p>
                  <w:pPr>
                    <w:pStyle w:val="Compact"/>
                    <w:jc w:val="right"/>
                    <w:jc w:val="center"/>
                  </w:pPr>
                  <w:r>
                    <w:t xml:space="preserve">24</w:t>
                  </w:r>
                </w:p>
              </w:tc>
              <w:tc>
                <w:tcPr/>
                <w:p>
                  <w:pPr>
                    <w:pStyle w:val="Compact"/>
                    <w:jc w:val="left"/>
                    <w:jc w:val="center"/>
                  </w:pPr>
                  <w:r>
                    <w:t xml:space="preserve">sLASER</w:t>
                  </w:r>
                </w:p>
              </w:tc>
              <w:tc>
                <w:tcPr/>
                <w:p>
                  <w:pPr>
                    <w:pStyle w:val="Compact"/>
                    <w:jc w:val="right"/>
                    <w:jc w:val="center"/>
                  </w:pPr>
                  <w:r>
                    <w:t xml:space="preserve">7.18</w:t>
                  </w:r>
                </w:p>
              </w:tc>
              <w:tc>
                <w:tcPr/>
                <w:p>
                  <w:pPr>
                    <w:pStyle w:val="Compact"/>
                    <w:jc w:val="right"/>
                    <w:jc w:val="center"/>
                  </w:pPr>
                  <w:r>
                    <w:t xml:space="preserve">6.67</w:t>
                  </w:r>
                </w:p>
              </w:tc>
              <w:tc>
                <w:tcPr/>
                <w:p>
                  <w:pPr>
                    <w:pStyle w:val="Compact"/>
                    <w:jc w:val="right"/>
                    <w:jc w:val="center"/>
                  </w:pPr>
                  <w:r>
                    <w:t xml:space="preserve">-0.50</w:t>
                  </w:r>
                </w:p>
              </w:tc>
              <w:tc>
                <w:tcPr/>
                <w:p>
                  <w:pPr>
                    <w:pStyle w:val="Compact"/>
                    <w:jc w:val="right"/>
                    <w:jc w:val="center"/>
                  </w:pPr>
                  <w:r>
                    <w:t xml:space="preserve">138.38</w:t>
                  </w:r>
                </w:p>
              </w:tc>
              <w:tc>
                <w:tcPr/>
                <w:p>
                  <w:pPr>
                    <w:pStyle w:val="Compact"/>
                    <w:jc w:val="right"/>
                    <w:jc w:val="center"/>
                  </w:pPr>
                  <w:r>
                    <w:t xml:space="preserve">121.95</w:t>
                  </w:r>
                </w:p>
              </w:tc>
              <w:tc>
                <w:tcPr/>
                <w:p>
                  <w:pPr>
                    <w:pStyle w:val="Compact"/>
                    <w:jc w:val="right"/>
                    <w:jc w:val="center"/>
                  </w:pPr>
                  <w:r>
                    <w:t xml:space="preserve">-16.43</w:t>
                  </w:r>
                </w:p>
              </w:tc>
            </w:tr>
            <w:tr>
              <w:tc>
                <w:tcPr/>
                <w:p>
                  <w:pPr>
                    <w:pStyle w:val="Compact"/>
                    <w:jc w:val="right"/>
                    <w:jc w:val="center"/>
                  </w:pPr>
                  <w:r>
                    <w:t xml:space="preserve">24</w:t>
                  </w:r>
                </w:p>
              </w:tc>
              <w:tc>
                <w:tcPr/>
                <w:p>
                  <w:pPr>
                    <w:pStyle w:val="Compact"/>
                    <w:jc w:val="left"/>
                    <w:jc w:val="center"/>
                  </w:pPr>
                  <w:r>
                    <w:t xml:space="preserve">MEGA</w:t>
                  </w:r>
                </w:p>
              </w:tc>
              <w:tc>
                <w:tcPr/>
                <w:p>
                  <w:pPr>
                    <w:pStyle w:val="Compact"/>
                    <w:jc w:val="right"/>
                    <w:jc w:val="center"/>
                  </w:pPr>
                  <w:r>
                    <w:t xml:space="preserve">6.73</w:t>
                  </w:r>
                </w:p>
              </w:tc>
              <w:tc>
                <w:tcPr/>
                <w:p>
                  <w:pPr>
                    <w:pStyle w:val="Compact"/>
                    <w:jc w:val="right"/>
                    <w:jc w:val="center"/>
                  </w:pPr>
                  <w:r>
                    <w:t xml:space="preserve">6.44</w:t>
                  </w:r>
                </w:p>
              </w:tc>
              <w:tc>
                <w:tcPr/>
                <w:p>
                  <w:pPr>
                    <w:pStyle w:val="Compact"/>
                    <w:jc w:val="right"/>
                    <w:jc w:val="center"/>
                  </w:pPr>
                  <w:r>
                    <w:t xml:space="preserve">-0.29</w:t>
                  </w:r>
                </w:p>
              </w:tc>
              <w:tc>
                <w:tcPr/>
                <w:p>
                  <w:pPr>
                    <w:pStyle w:val="Compact"/>
                    <w:jc w:val="right"/>
                    <w:jc w:val="center"/>
                  </w:pPr>
                  <w:r>
                    <w:t xml:space="preserve">85.78</w:t>
                  </w:r>
                </w:p>
              </w:tc>
              <w:tc>
                <w:tcPr/>
                <w:p>
                  <w:pPr>
                    <w:pStyle w:val="Compact"/>
                    <w:jc w:val="right"/>
                    <w:jc w:val="center"/>
                  </w:pPr>
                  <w:r>
                    <w:t xml:space="preserve">83.25</w:t>
                  </w:r>
                </w:p>
              </w:tc>
              <w:tc>
                <w:tcPr/>
                <w:p>
                  <w:pPr>
                    <w:pStyle w:val="Compact"/>
                    <w:jc w:val="right"/>
                    <w:jc w:val="center"/>
                  </w:pPr>
                  <w:r>
                    <w:t xml:space="preserve">-2.53</w:t>
                  </w:r>
                </w:p>
              </w:tc>
            </w:tr>
            <w:tr>
              <w:tc>
                <w:tcPr/>
                <w:p>
                  <w:pPr>
                    <w:pStyle w:val="Compact"/>
                    <w:jc w:val="right"/>
                    <w:jc w:val="center"/>
                  </w:pPr>
                  <w:r>
                    <w:t xml:space="preserve">26</w:t>
                  </w:r>
                </w:p>
              </w:tc>
              <w:tc>
                <w:tcPr/>
                <w:p>
                  <w:pPr>
                    <w:pStyle w:val="Compact"/>
                    <w:jc w:val="left"/>
                    <w:jc w:val="center"/>
                  </w:pPr>
                  <w:r>
                    <w:t xml:space="preserve">sLASER</w:t>
                  </w:r>
                </w:p>
              </w:tc>
              <w:tc>
                <w:tcPr/>
                <w:p>
                  <w:pPr>
                    <w:pStyle w:val="Compact"/>
                    <w:jc w:val="right"/>
                    <w:jc w:val="center"/>
                  </w:pPr>
                  <w:r>
                    <w:t xml:space="preserve">8.12</w:t>
                  </w:r>
                </w:p>
              </w:tc>
              <w:tc>
                <w:tcPr/>
                <w:p>
                  <w:pPr>
                    <w:pStyle w:val="Compact"/>
                    <w:jc w:val="right"/>
                    <w:jc w:val="center"/>
                  </w:pPr>
                  <w:r>
                    <w:t xml:space="preserve">8.42</w:t>
                  </w:r>
                </w:p>
              </w:tc>
              <w:tc>
                <w:tcPr/>
                <w:p>
                  <w:pPr>
                    <w:pStyle w:val="Compact"/>
                    <w:jc w:val="right"/>
                    <w:jc w:val="center"/>
                  </w:pPr>
                  <w:r>
                    <w:t xml:space="preserve">0.31</w:t>
                  </w:r>
                </w:p>
              </w:tc>
              <w:tc>
                <w:tcPr/>
                <w:p>
                  <w:pPr>
                    <w:pStyle w:val="Compact"/>
                    <w:jc w:val="right"/>
                    <w:jc w:val="center"/>
                  </w:pPr>
                  <w:r>
                    <w:t xml:space="preserve">140.13</w:t>
                  </w:r>
                </w:p>
              </w:tc>
              <w:tc>
                <w:tcPr/>
                <w:p>
                  <w:pPr>
                    <w:pStyle w:val="Compact"/>
                    <w:jc w:val="right"/>
                    <w:jc w:val="center"/>
                  </w:pPr>
                  <w:r>
                    <w:t xml:space="preserve">148.61</w:t>
                  </w:r>
                </w:p>
              </w:tc>
              <w:tc>
                <w:tcPr/>
                <w:p>
                  <w:pPr>
                    <w:pStyle w:val="Compact"/>
                    <w:jc w:val="right"/>
                    <w:jc w:val="center"/>
                  </w:pPr>
                  <w:r>
                    <w:t xml:space="preserve">8.48</w:t>
                  </w:r>
                </w:p>
              </w:tc>
            </w:tr>
            <w:tr>
              <w:tc>
                <w:tcPr/>
                <w:p>
                  <w:pPr>
                    <w:pStyle w:val="Compact"/>
                    <w:jc w:val="right"/>
                    <w:jc w:val="center"/>
                  </w:pPr>
                  <w:r>
                    <w:t xml:space="preserve">26</w:t>
                  </w:r>
                </w:p>
              </w:tc>
              <w:tc>
                <w:tcPr/>
                <w:p>
                  <w:pPr>
                    <w:pStyle w:val="Compact"/>
                    <w:jc w:val="left"/>
                    <w:jc w:val="center"/>
                  </w:pPr>
                  <w:r>
                    <w:t xml:space="preserve">MEGA</w:t>
                  </w:r>
                </w:p>
              </w:tc>
              <w:tc>
                <w:tcPr/>
                <w:p>
                  <w:pPr>
                    <w:pStyle w:val="Compact"/>
                    <w:jc w:val="right"/>
                    <w:jc w:val="center"/>
                  </w:pPr>
                  <w:r>
                    <w:t xml:space="preserve">8.76</w:t>
                  </w:r>
                </w:p>
              </w:tc>
              <w:tc>
                <w:tcPr/>
                <w:p>
                  <w:pPr>
                    <w:pStyle w:val="Compact"/>
                    <w:jc w:val="right"/>
                    <w:jc w:val="center"/>
                  </w:pPr>
                  <w:r>
                    <w:t xml:space="preserve">9.03</w:t>
                  </w:r>
                </w:p>
              </w:tc>
              <w:tc>
                <w:tcPr/>
                <w:p>
                  <w:pPr>
                    <w:pStyle w:val="Compact"/>
                    <w:jc w:val="right"/>
                    <w:jc w:val="center"/>
                  </w:pPr>
                  <w:r>
                    <w:t xml:space="preserve">0.27</w:t>
                  </w:r>
                </w:p>
              </w:tc>
              <w:tc>
                <w:tcPr/>
                <w:p>
                  <w:pPr>
                    <w:pStyle w:val="Compact"/>
                    <w:jc w:val="right"/>
                    <w:jc w:val="center"/>
                  </w:pPr>
                  <w:r>
                    <w:t xml:space="preserve">93.80</w:t>
                  </w:r>
                </w:p>
              </w:tc>
              <w:tc>
                <w:tcPr/>
                <w:p>
                  <w:pPr>
                    <w:pStyle w:val="Compact"/>
                    <w:jc w:val="right"/>
                    <w:jc w:val="center"/>
                  </w:pPr>
                  <w:r>
                    <w:t xml:space="preserve">88.04</w:t>
                  </w:r>
                </w:p>
              </w:tc>
              <w:tc>
                <w:tcPr/>
                <w:p>
                  <w:pPr>
                    <w:pStyle w:val="Compact"/>
                    <w:jc w:val="right"/>
                    <w:jc w:val="center"/>
                  </w:pPr>
                  <w:r>
                    <w:t xml:space="preserve">-5.76</w:t>
                  </w:r>
                </w:p>
              </w:tc>
            </w:tr>
          </w:tbl>
          <w:p>
            <w:pPr>
              <w:jc w:val="center"/>
            </w:pPr>
            <w:pPr>
              <w:jc w:val="start"/>
              <w:spacing w:before="200"/>
              <w:pStyle w:val="ImageCaption"/>
            </w:pPr>
            <w:r>
              <w:t xml:space="preserve">Table S9</w:t>
            </w:r>
            <w:r>
              <w:rPr>
                <w:b/>
                <w:bCs/>
              </w:rPr>
              <w:t xml:space="preserve">.</w:t>
            </w:r>
            <w:r>
              <w:t xml:space="preserve"> </w:t>
            </w:r>
            <w:r>
              <w:t xml:space="preserve">Subject-level FWHM and CR-SNR values for each sequence (Rest, Movie, and Movie–Rest difference). Sub = Subject; Seq = Sequence; R = Rest; M = Movie; Diff = Difference.</w:t>
            </w:r>
          </w:p>
          <w:bookmarkEnd w:id="398"/>
        </w:tc>
      </w:tr>
    </w:tbl>
    <w:p>
      <w:pPr>
        <w:pStyle w:val="TextBody"/>
      </w:pPr>
      <w:r>
        <w:t xml:space="preserve">Plots of individual water FWHM changes between rest and movie-watching conditions for both MEGA-PRESS and sLASER are shown in</w:t>
      </w:r>
      <w:r>
        <w:t xml:space="preserve"> </w:t>
      </w:r>
      <w:hyperlink w:anchor="suppfig-fwhmdriftplot">
        <w:r>
          <w:rPr>
            <w:rStyle w:val="InternetLink"/>
          </w:rPr>
          <w:t xml:space="preserve">Figure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2" w:name="suppfig-fwhmdriftplot"/>
          <w:p>
            <w:pPr>
              <w:jc w:val="center"/>
            </w:pPr>
            <w:r>
              <w:drawing>
                <wp:inline>
                  <wp:extent cx="4620126" cy="4620126"/>
                  <wp:effectExtent b="0" l="0" r="0" t="0"/>
                  <wp:docPr descr="" title="" id="400" name="Picture"/>
                  <a:graphic>
                    <a:graphicData uri="http://schemas.openxmlformats.org/drawingml/2006/picture">
                      <pic:pic>
                        <pic:nvPicPr>
                          <pic:cNvPr descr="index_files/figure-docx/unnamed-chunk-19-1.png" id="401" name="Picture"/>
                          <pic:cNvPicPr>
                            <a:picLocks noChangeArrowheads="1" noChangeAspect="1"/>
                          </pic:cNvPicPr>
                        </pic:nvPicPr>
                        <pic:blipFill>
                          <a:blip r:embed="rId39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w:t>
            </w:r>
            <w:r>
              <w:rPr>
                <w:b/>
                <w:bCs/>
              </w:rPr>
              <w:t xml:space="preserve">.</w:t>
            </w:r>
            <w:r>
              <w:t xml:space="preserve"> </w:t>
            </w:r>
            <w:r>
              <w:t xml:space="preserve">Plots of individual water full-width half-maximum changes between rest and movie-watching conditions for both MEGA-PRESS and sLASER</w:t>
            </w:r>
          </w:p>
          <w:bookmarkEnd w:id="402"/>
        </w:tc>
      </w:tr>
    </w:tbl>
    <w:p>
      <w:pPr>
        <w:pStyle w:val="TextBody"/>
      </w:pPr>
      <w:r>
        <w:t xml:space="preserve">Frequency shift between rest and movie are shown in</w:t>
      </w:r>
      <w:r>
        <w:t xml:space="preserve"> </w:t>
      </w:r>
      <w:hyperlink w:anchor="suppfig-frequencyshift">
        <w:r>
          <w:rPr>
            <w:rStyle w:val="Internet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6" w:name="suppfig-frequencyshift"/>
          <w:p>
            <w:pPr>
              <w:jc w:val="center"/>
            </w:pPr>
            <w:r>
              <w:drawing>
                <wp:inline>
                  <wp:extent cx="4620126" cy="6468176"/>
                  <wp:effectExtent b="0" l="0" r="0" t="0"/>
                  <wp:docPr descr="" title="" id="404" name="Picture"/>
                  <a:graphic>
                    <a:graphicData uri="http://schemas.openxmlformats.org/drawingml/2006/picture">
                      <pic:pic>
                        <pic:nvPicPr>
                          <pic:cNvPr descr="index_files/figure-docx/unnamed-chunk-20-1.png" id="405" name="Picture"/>
                          <pic:cNvPicPr>
                            <a:picLocks noChangeArrowheads="1" noChangeAspect="1"/>
                          </pic:cNvPicPr>
                        </pic:nvPicPr>
                        <pic:blipFill>
                          <a:blip r:embed="rId40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406"/>
        </w:tc>
      </w:tr>
    </w:tbl>
    <w:bookmarkEnd w:id="407"/>
    <w:bookmarkStart w:id="426"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suppfig-gannet">
        <w:r>
          <w:rPr>
            <w:rStyle w:val="Internet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1" w:name="suppfig-gannet"/>
          <w:p>
            <w:pPr>
              <w:pStyle w:val="Compact"/>
              <w:jc w:val="center"/>
            </w:pPr>
            <w:r>
              <w:drawing>
                <wp:inline>
                  <wp:extent cx="5943600" cy="4592781"/>
                  <wp:effectExtent b="0" l="0" r="0" t="0"/>
                  <wp:docPr descr="" title="" id="409" name="Picture"/>
                  <a:graphic>
                    <a:graphicData uri="http://schemas.openxmlformats.org/drawingml/2006/picture">
                      <pic:pic>
                        <pic:nvPicPr>
                          <pic:cNvPr descr="./Data/megapress/sub-Pilot01/rest_gannet/GannetFit_output/P38912_vox1_fit.png" id="410" name="Picture"/>
                          <pic:cNvPicPr>
                            <a:picLocks noChangeArrowheads="1" noChangeAspect="1"/>
                          </pic:cNvPicPr>
                        </pic:nvPicPr>
                        <pic:blipFill>
                          <a:blip r:embed="rId408"/>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411"/>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supptbl-gannetresults">
        <w:r>
          <w:rPr>
            <w:rStyle w:val="InternetLink"/>
          </w:rPr>
          <w:t xml:space="preserve">Table S10</w:t>
        </w:r>
      </w:hyperlink>
      <w:r>
        <w:t xml:space="preserve">. Boxplots between rest and movie can be seen in</w:t>
      </w:r>
      <w:r>
        <w:t xml:space="preserve"> </w:t>
      </w:r>
      <w:hyperlink w:anchor="suppfig-gannetresults">
        <w:r>
          <w:rPr>
            <w:rStyle w:val="InternetLink"/>
          </w:rPr>
          <w:t xml:space="preserve">Figure S6</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412" w:name="supp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10.84 ± 1.06</w:t>
                  </w:r>
                </w:p>
              </w:tc>
              <w:tc>
                <w:tcPr/>
                <w:p>
                  <w:pPr>
                    <w:pStyle w:val="Compact"/>
                    <w:jc w:val="left"/>
                    <w:jc w:val="center"/>
                  </w:pPr>
                  <w:r>
                    <w:t xml:space="preserve">10.72 ± 0.68</w:t>
                  </w:r>
                </w:p>
              </w:tc>
              <w:tc>
                <w:tcPr/>
                <w:p>
                  <w:pPr>
                    <w:pStyle w:val="Compact"/>
                    <w:jc w:val="left"/>
                    <w:jc w:val="center"/>
                  </w:pPr>
                  <w:r>
                    <w:t xml:space="preserve">0.43</w:t>
                  </w:r>
                </w:p>
              </w:tc>
            </w:tr>
            <w:tr>
              <w:tc>
                <w:tcPr/>
                <w:p>
                  <w:pPr>
                    <w:pStyle w:val="Compact"/>
                    <w:jc w:val="left"/>
                    <w:jc w:val="center"/>
                  </w:pPr>
                  <w:r>
                    <w:rPr>
                      <w:b/>
                      <w:bCs/>
                    </w:rPr>
                    <w:t xml:space="preserve">GABA+</w:t>
                  </w:r>
                </w:p>
              </w:tc>
              <w:tc>
                <w:tcPr/>
                <w:p>
                  <w:pPr>
                    <w:pStyle w:val="Compact"/>
                    <w:jc w:val="left"/>
                    <w:jc w:val="center"/>
                  </w:pPr>
                  <w:r>
                    <w:t xml:space="preserve">3.59 ± 0.38</w:t>
                  </w:r>
                </w:p>
              </w:tc>
              <w:tc>
                <w:tcPr/>
                <w:p>
                  <w:pPr>
                    <w:pStyle w:val="Compact"/>
                    <w:jc w:val="left"/>
                    <w:jc w:val="center"/>
                  </w:pPr>
                  <w:r>
                    <w:t xml:space="preserve">3.53 ± 0.36</w:t>
                  </w:r>
                </w:p>
              </w:tc>
              <w:tc>
                <w:tcPr/>
                <w:p>
                  <w:pPr>
                    <w:pStyle w:val="Compact"/>
                    <w:jc w:val="left"/>
                    <w:jc w:val="center"/>
                  </w:pPr>
                  <w:r>
                    <w:t xml:space="preserve">0.33</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bl>
          <w:p>
            <w:pPr>
              <w:jc w:val="center"/>
            </w:pPr>
            <w:pPr>
              <w:jc w:val="start"/>
              <w:spacing w:before="200"/>
              <w:pStyle w:val="ImageCaption"/>
            </w:pPr>
            <w:r>
              <w:t xml:space="preserve">Table S10</w:t>
            </w:r>
            <w:r>
              <w:rPr>
                <w:b/>
                <w:bCs/>
              </w:rPr>
              <w:t xml:space="preserve">.</w:t>
            </w:r>
            <w:r>
              <w:t xml:space="preserve"> </w:t>
            </w:r>
            <w:r>
              <w:rPr>
                <w:b/>
                <w:bCs/>
              </w:rPr>
              <w:t xml:space="preserve">Summary of main metabolite results using Gannet</w:t>
            </w:r>
          </w:p>
          <w:bookmarkEnd w:id="41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16" w:name="suppfig-gannetresults"/>
          <w:p>
            <w:pPr>
              <w:jc w:val="center"/>
            </w:pPr>
            <w:r>
              <w:drawing>
                <wp:inline>
                  <wp:extent cx="5943600" cy="4754880"/>
                  <wp:effectExtent b="0" l="0" r="0" t="0"/>
                  <wp:docPr descr="" title="" id="414" name="Picture"/>
                  <a:graphic>
                    <a:graphicData uri="http://schemas.openxmlformats.org/drawingml/2006/picture">
                      <pic:pic>
                        <pic:nvPicPr>
                          <pic:cNvPr descr="index_files/figure-docx/unnamed-chunk-21-1.png" id="415" name="Picture"/>
                          <pic:cNvPicPr>
                            <a:picLocks noChangeArrowheads="1" noChangeAspect="1"/>
                          </pic:cNvPicPr>
                        </pic:nvPicPr>
                        <pic:blipFill>
                          <a:blip r:embed="rId41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416"/>
        </w:tc>
      </w:tr>
    </w:tbl>
    <w:p>
      <w:pPr>
        <w:pStyle w:val="TextBody"/>
      </w:pPr>
      <w:r>
        <w:t xml:space="preserve">H was not found to correlate with Glx (Rest: r = 0, p = 0.99; Movie: r = -0.27, p = 0.28), GABA+ (Rest: r = 0.02, p = 0.93; Movie: r = 0.11, p = 0.67), or E:I (Rest: r = -0.04, p = 0.89; Movie: r = -0.32, p = 0.2) (</w:t>
      </w:r>
      <w:hyperlink w:anchor="suppfig-gannetcorrelations">
        <w:r>
          <w:rPr>
            <w:rStyle w:val="Internet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suppfig-gannetcorrelations"/>
          <w:p>
            <w:pPr>
              <w:jc w:val="center"/>
            </w:pPr>
            <w:r>
              <w:drawing>
                <wp:inline>
                  <wp:extent cx="5943600" cy="5094514"/>
                  <wp:effectExtent b="0" l="0" r="0" t="0"/>
                  <wp:docPr descr="" title="" id="418" name="Picture"/>
                  <a:graphic>
                    <a:graphicData uri="http://schemas.openxmlformats.org/drawingml/2006/picture">
                      <pic:pic>
                        <pic:nvPicPr>
                          <pic:cNvPr descr="index_files/figure-docx/unnamed-chunk-22-1.png" id="419" name="Picture"/>
                          <pic:cNvPicPr>
                            <a:picLocks noChangeArrowheads="1" noChangeAspect="1"/>
                          </pic:cNvPicPr>
                        </pic:nvPicPr>
                        <pic:blipFill>
                          <a:blip r:embed="rId417"/>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420"/>
        </w:tc>
      </w:tr>
    </w:tbl>
    <w:p>
      <w:pPr>
        <w:pStyle w:val="TextBody"/>
      </w:pPr>
      <w:r>
        <w:t xml:space="preserve">Glx estimates were not strongly correlated between sLASER and MEGA-PRESS (Rest</w:t>
      </w:r>
      <w:r>
        <w:t xml:space="preserve"> </w:t>
      </w:r>
      <m:oMath>
        <m:r>
          <m:t>r</m:t>
        </m:r>
        <m:r>
          <m:rPr>
            <m:sty m:val="p"/>
          </m:rPr>
          <m:t>=</m:t>
        </m:r>
        <m:r>
          <m:t>0.06</m:t>
        </m:r>
      </m:oMath>
      <w:r>
        <w:t xml:space="preserve">, Movie</w:t>
      </w:r>
      <w:r>
        <w:t xml:space="preserve"> </w:t>
      </w:r>
      <m:oMath>
        <m:r>
          <m:t>r</m:t>
        </m:r>
        <m:r>
          <m:rPr>
            <m:sty m:val="p"/>
          </m:rPr>
          <m:t>=</m:t>
        </m:r>
        <m:r>
          <m:t>0.25</m:t>
        </m:r>
      </m:oMath>
      <w:r>
        <w:t xml:space="preserve">), while mean absolute differences remained under 1 institutional units.</w:t>
      </w:r>
      <w:r>
        <w:t xml:space="preserve"> </w:t>
      </w:r>
      <w:hyperlink w:anchor="supptbl-glxagreement">
        <w:r>
          <w:rPr>
            <w:rStyle w:val="InternetLink"/>
          </w:rPr>
          <w:t xml:space="preserve">Table S11</w:t>
        </w:r>
      </w:hyperlink>
      <w:r>
        <w:t xml:space="preserve"> </w:t>
      </w:r>
      <w:r>
        <w:t xml:space="preserve">reports the paired summary statistics, and</w:t>
      </w:r>
      <w:r>
        <w:t xml:space="preserve"> </w:t>
      </w:r>
      <w:hyperlink w:anchor="suppfig-glxagreementplot">
        <w:r>
          <w:rPr>
            <w:rStyle w:val="InternetLink"/>
          </w:rPr>
          <w:t xml:space="preserve">Figure S8</w:t>
        </w:r>
      </w:hyperlink>
      <w:r>
        <w:t xml:space="preserve"> </w:t>
      </w:r>
      <w:r>
        <w:t xml:space="preserve">visualises the subject-level agreement.</w:t>
      </w:r>
    </w:p>
    <w:p>
      <w:pPr>
        <w:pStyle w:val="TextBody"/>
      </w:pPr>
      <w:r>
        <w:t xml:space="preserve">This finding is consistent with several studies that have directly compared Glx measured from MEGA-PRESS</w:t>
      </w:r>
      <w:r>
        <w:t xml:space="preserve"> </w:t>
      </w:r>
      <w:r>
        <w:t xml:space="preserve">“</w:t>
      </w:r>
      <w:r>
        <w:t xml:space="preserve">OFF</w:t>
      </w:r>
      <w:r>
        <w:t xml:space="preserve">”</w:t>
      </w:r>
      <w:r>
        <w:t xml:space="preserve"> </w:t>
      </w:r>
      <w:r>
        <w:t xml:space="preserve">spectra, with</w:t>
      </w:r>
      <w:r>
        <w:t xml:space="preserve"> </w:t>
      </w:r>
      <w:r>
        <w:t xml:space="preserve">‘</w:t>
      </w:r>
      <w:r>
        <w:t xml:space="preserve">gold standard</w:t>
      </w:r>
      <w:r>
        <w:t xml:space="preserve">’</w:t>
      </w:r>
      <w:r>
        <w:t xml:space="preserve"> </w:t>
      </w:r>
      <w:r>
        <w:t xml:space="preserve">short-TE sequences (PRESS and sLASER), which have consistently reported poor agreement</w:t>
      </w:r>
      <w:r>
        <w:rPr>
          <w:vertAlign w:val="superscript"/>
        </w:rPr>
        <w:t xml:space="preserve">79,145,146</w:t>
      </w:r>
      <w:r>
        <w:t xml:space="preserve">. Reasons for this include the fact that MEGA-PRESS uses a longer TE time (68 ms compared to sLASER’s 35 ms)</w:t>
      </w:r>
      <w:r>
        <w:rPr>
          <w:vertAlign w:val="superscript"/>
        </w:rPr>
        <w:t xml:space="preserve">147</w:t>
      </w:r>
      <w:r>
        <w:t xml:space="preserve">; chemical shift displacement error differences between the two sequences</w:t>
      </w:r>
      <w:r>
        <w:rPr>
          <w:vertAlign w:val="superscript"/>
        </w:rPr>
        <w:t xml:space="preserve">148</w:t>
      </w:r>
      <w:r>
        <w:t xml:space="preserve">; and scanner drift due to MEGA-PRESS being acquired on average 6.43 ± 1.67 (Rest) and 5.89 ± 0.95 minutes (Movie) after sLASER.</w:t>
      </w:r>
    </w:p>
    <w:tbl>
      <w:tblPr>
        <w:tblStyle w:val="Table"/>
        <w:tblW w:type="pct" w:w="5000"/>
        <w:tblLayout w:type="fixed"/>
        <w:tblLook w:firstRow="0" w:lastRow="0" w:firstColumn="0" w:lastColumn="0" w:noHBand="0" w:noVBand="0" w:val="0000"/>
      </w:tblPr>
      <w:tblGrid>
        <w:gridCol w:w="7920"/>
      </w:tblGrid>
      <w:tr>
        <w:tc>
          <w:tcPr/>
          <w:bookmarkStart w:id="421" w:name="supptbl-glxagreement"/>
          <w:tbl>
            <w:tblPr>
              <w:tblStyle w:val="Table"/>
              <w:tblW w:type="pct" w:w="5000"/>
              <w:tblLayout w:type="fixed"/>
              <w:tblLook w:firstRow="1" w:lastRow="0" w:firstColumn="0" w:lastColumn="0" w:noHBand="0" w:noVBand="0" w:val="0020"/>
            </w:tblPr>
            <w:tblGrid>
              <w:gridCol w:w="625"/>
              <w:gridCol w:w="312"/>
              <w:gridCol w:w="1042"/>
              <w:gridCol w:w="833"/>
              <w:gridCol w:w="833"/>
              <w:gridCol w:w="833"/>
              <w:gridCol w:w="1042"/>
              <w:gridCol w:w="521"/>
              <w:gridCol w:w="521"/>
              <w:gridCol w:w="625"/>
              <w:gridCol w:w="729"/>
            </w:tblGrid>
            <w:tr>
              <w:trPr>
                <w:tblHeader w:val="on"/>
              </w:trPr>
              <w:tc>
                <w:tcPr/>
                <w:p>
                  <w:pPr>
                    <w:pStyle w:val="Compact"/>
                    <w:jc w:val="left"/>
                    <w:jc w:val="center"/>
                  </w:pPr>
                  <w:r>
                    <w:t xml:space="preserve">Cond</w:t>
                  </w:r>
                </w:p>
              </w:tc>
              <w:tc>
                <w:tcPr/>
                <w:p>
                  <w:pPr>
                    <w:pStyle w:val="Compact"/>
                    <w:jc w:val="right"/>
                    <w:jc w:val="center"/>
                  </w:pPr>
                  <w:r>
                    <w:t xml:space="preserve">n</w:t>
                  </w:r>
                </w:p>
              </w:tc>
              <w:tc>
                <w:tcPr/>
                <w:p>
                  <w:pPr>
                    <w:pStyle w:val="Compact"/>
                    <w:jc w:val="right"/>
                    <w:jc w:val="center"/>
                  </w:pPr>
                  <w:r>
                    <w:t xml:space="preserve">m. sLASER</w:t>
                  </w:r>
                </w:p>
              </w:tc>
              <w:tc>
                <w:tcPr/>
                <w:p>
                  <w:pPr>
                    <w:pStyle w:val="Compact"/>
                    <w:jc w:val="right"/>
                    <w:jc w:val="center"/>
                  </w:pPr>
                  <w:r>
                    <w:t xml:space="preserve">m. MEGA</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m.a. diff</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Movie</w:t>
                  </w:r>
                </w:p>
              </w:tc>
              <w:tc>
                <w:tcPr/>
                <w:p>
                  <w:pPr>
                    <w:pStyle w:val="Compact"/>
                    <w:jc w:val="right"/>
                    <w:jc w:val="center"/>
                  </w:pPr>
                  <w:r>
                    <w:t xml:space="preserve">18</w:t>
                  </w:r>
                </w:p>
              </w:tc>
              <w:tc>
                <w:tcPr/>
                <w:p>
                  <w:pPr>
                    <w:pStyle w:val="Compact"/>
                    <w:jc w:val="right"/>
                    <w:jc w:val="center"/>
                  </w:pPr>
                  <w:r>
                    <w:t xml:space="preserve">10.04</w:t>
                  </w:r>
                </w:p>
              </w:tc>
              <w:tc>
                <w:tcPr/>
                <w:p>
                  <w:pPr>
                    <w:pStyle w:val="Compact"/>
                    <w:jc w:val="right"/>
                    <w:jc w:val="center"/>
                  </w:pPr>
                  <w:r>
                    <w:t xml:space="preserve">10.72</w:t>
                  </w:r>
                </w:p>
              </w:tc>
              <w:tc>
                <w:tcPr/>
                <w:p>
                  <w:pPr>
                    <w:pStyle w:val="Compact"/>
                    <w:jc w:val="right"/>
                    <w:jc w:val="center"/>
                  </w:pPr>
                  <w:r>
                    <w:t xml:space="preserve">-0.67</w:t>
                  </w:r>
                </w:p>
              </w:tc>
              <w:tc>
                <w:tcPr/>
                <w:p>
                  <w:pPr>
                    <w:pStyle w:val="Compact"/>
                    <w:jc w:val="right"/>
                    <w:jc w:val="center"/>
                  </w:pPr>
                  <w:r>
                    <w:t xml:space="preserve">0.90</w:t>
                  </w:r>
                </w:p>
              </w:tc>
              <w:tc>
                <w:tcPr/>
                <w:p>
                  <w:pPr>
                    <w:pStyle w:val="Compact"/>
                    <w:jc w:val="right"/>
                    <w:jc w:val="center"/>
                  </w:pPr>
                  <w:r>
                    <w:t xml:space="preserve">0.91</w:t>
                  </w:r>
                </w:p>
              </w:tc>
              <w:tc>
                <w:tcPr/>
                <w:p>
                  <w:pPr>
                    <w:pStyle w:val="Compact"/>
                    <w:jc w:val="right"/>
                    <w:jc w:val="center"/>
                  </w:pPr>
                  <w:r>
                    <w:t xml:space="preserve">0.25</w:t>
                  </w:r>
                </w:p>
              </w:tc>
              <w:tc>
                <w:tcPr/>
                <w:p>
                  <w:pPr>
                    <w:pStyle w:val="Compact"/>
                    <w:jc w:val="right"/>
                    <w:jc w:val="center"/>
                  </w:pPr>
                  <w:r>
                    <w:t xml:space="preserve">0.31</w:t>
                  </w:r>
                </w:p>
              </w:tc>
              <w:tc>
                <w:tcPr/>
                <w:p>
                  <w:pPr>
                    <w:pStyle w:val="Compact"/>
                    <w:jc w:val="right"/>
                    <w:jc w:val="center"/>
                  </w:pPr>
                  <w:r>
                    <w:t xml:space="preserve">-0.24</w:t>
                  </w:r>
                </w:p>
              </w:tc>
              <w:tc>
                <w:tcPr/>
                <w:p>
                  <w:pPr>
                    <w:pStyle w:val="Compact"/>
                    <w:jc w:val="right"/>
                    <w:jc w:val="center"/>
                  </w:pPr>
                  <w:r>
                    <w:t xml:space="preserve">0.64</w:t>
                  </w:r>
                </w:p>
              </w:tc>
            </w:tr>
            <w:tr>
              <w:tc>
                <w:tcPr/>
                <w:p>
                  <w:pPr>
                    <w:pStyle w:val="Compact"/>
                    <w:jc w:val="left"/>
                    <w:jc w:val="center"/>
                  </w:pPr>
                  <w:r>
                    <w:t xml:space="preserve">Rest</w:t>
                  </w:r>
                </w:p>
              </w:tc>
              <w:tc>
                <w:tcPr/>
                <w:p>
                  <w:pPr>
                    <w:pStyle w:val="Compact"/>
                    <w:jc w:val="right"/>
                    <w:jc w:val="center"/>
                  </w:pPr>
                  <w:r>
                    <w:t xml:space="preserve">18</w:t>
                  </w:r>
                </w:p>
              </w:tc>
              <w:tc>
                <w:tcPr/>
                <w:p>
                  <w:pPr>
                    <w:pStyle w:val="Compact"/>
                    <w:jc w:val="right"/>
                    <w:jc w:val="center"/>
                  </w:pPr>
                  <w:r>
                    <w:t xml:space="preserve">9.84</w:t>
                  </w:r>
                </w:p>
              </w:tc>
              <w:tc>
                <w:tcPr/>
                <w:p>
                  <w:pPr>
                    <w:pStyle w:val="Compact"/>
                    <w:jc w:val="right"/>
                    <w:jc w:val="center"/>
                  </w:pPr>
                  <w:r>
                    <w:t xml:space="preserve">10.84</w:t>
                  </w:r>
                </w:p>
              </w:tc>
              <w:tc>
                <w:tcPr/>
                <w:p>
                  <w:pPr>
                    <w:pStyle w:val="Compact"/>
                    <w:jc w:val="right"/>
                    <w:jc w:val="center"/>
                  </w:pPr>
                  <w:r>
                    <w:t xml:space="preserve">-1.00</w:t>
                  </w:r>
                </w:p>
              </w:tc>
              <w:tc>
                <w:tcPr/>
                <w:p>
                  <w:pPr>
                    <w:pStyle w:val="Compact"/>
                    <w:jc w:val="right"/>
                    <w:jc w:val="center"/>
                  </w:pPr>
                  <w:r>
                    <w:t xml:space="preserve">1.45</w:t>
                  </w:r>
                </w:p>
              </w:tc>
              <w:tc>
                <w:tcPr/>
                <w:p>
                  <w:pPr>
                    <w:pStyle w:val="Compact"/>
                    <w:jc w:val="right"/>
                    <w:jc w:val="center"/>
                  </w:pPr>
                  <w:r>
                    <w:t xml:space="preserve">1.28</w:t>
                  </w:r>
                </w:p>
              </w:tc>
              <w:tc>
                <w:tcPr/>
                <w:p>
                  <w:pPr>
                    <w:pStyle w:val="Compact"/>
                    <w:jc w:val="right"/>
                    <w:jc w:val="center"/>
                  </w:pPr>
                  <w:r>
                    <w:t xml:space="preserve">0.06</w:t>
                  </w:r>
                </w:p>
              </w:tc>
              <w:tc>
                <w:tcPr/>
                <w:p>
                  <w:pPr>
                    <w:pStyle w:val="Compact"/>
                    <w:jc w:val="right"/>
                    <w:jc w:val="center"/>
                  </w:pPr>
                  <w:r>
                    <w:t xml:space="preserve">0.80</w:t>
                  </w:r>
                </w:p>
              </w:tc>
              <w:tc>
                <w:tcPr/>
                <w:p>
                  <w:pPr>
                    <w:pStyle w:val="Compact"/>
                    <w:jc w:val="right"/>
                    <w:jc w:val="center"/>
                  </w:pPr>
                  <w:r>
                    <w:t xml:space="preserve">-0.42</w:t>
                  </w:r>
                </w:p>
              </w:tc>
              <w:tc>
                <w:tcPr/>
                <w:p>
                  <w:pPr>
                    <w:pStyle w:val="Compact"/>
                    <w:jc w:val="right"/>
                    <w:jc w:val="center"/>
                  </w:pPr>
                  <w:r>
                    <w:t xml:space="preserve">0.51</w:t>
                  </w:r>
                </w:p>
              </w:tc>
            </w:tr>
          </w:tbl>
          <w:p>
            <w:pPr>
              <w:jc w:val="center"/>
            </w:pPr>
            <w:pPr>
              <w:jc w:val="start"/>
              <w:spacing w:before="200"/>
              <w:pStyle w:val="ImageCaption"/>
            </w:pPr>
            <w:r>
              <w:t xml:space="preserve">Table S11</w:t>
            </w:r>
            <w:r>
              <w:rPr>
                <w:b/>
                <w:bCs/>
              </w:rPr>
              <w:t xml:space="preserve">.</w:t>
            </w:r>
            <w:r>
              <w:t xml:space="preserve"> </w:t>
            </w:r>
            <w:r>
              <w:t xml:space="preserve">Agreement between sLASER- and MEGA-PRESS-derived Glx within each condition. Cond = condition; n = number of subjects; m. = mean; m.a. = mean absolute; r = Pearson correlation; p = p-value; CIlow = lower confidence interval; CIhigh = higher confidence interval.</w:t>
            </w:r>
          </w:p>
          <w:bookmarkEnd w:id="42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25" w:name="suppfig-glxagreementplot"/>
          <w:p>
            <w:pPr>
              <w:jc w:val="center"/>
            </w:pPr>
            <w:r>
              <w:drawing>
                <wp:inline>
                  <wp:extent cx="4620126" cy="3696101"/>
                  <wp:effectExtent b="0" l="0" r="0" t="0"/>
                  <wp:docPr descr="" title="" id="423" name="Picture"/>
                  <a:graphic>
                    <a:graphicData uri="http://schemas.openxmlformats.org/drawingml/2006/picture">
                      <pic:pic>
                        <pic:nvPicPr>
                          <pic:cNvPr descr="index_files/figure-docx/unnamed-chunk-24-1.png" id="424" name="Picture"/>
                          <pic:cNvPicPr>
                            <a:picLocks noChangeArrowheads="1" noChangeAspect="1"/>
                          </pic:cNvPicPr>
                        </pic:nvPicPr>
                        <pic:blipFill>
                          <a:blip r:embed="rId42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w:t>
            </w:r>
            <w:r>
              <w:rPr>
                <w:b/>
                <w:bCs/>
              </w:rPr>
              <w:t xml:space="preserve">.</w:t>
            </w:r>
            <w:r>
              <w:t xml:space="preserve"> </w:t>
            </w:r>
            <w:r>
              <w:t xml:space="preserve">Glx from MEGA-PRESS plotted against Glx from sLASER, during both rest (green) and movie-watching (orange). Dashed line represents perfect agreement.</w:t>
            </w:r>
          </w:p>
          <w:bookmarkEnd w:id="425"/>
        </w:tc>
      </w:tr>
    </w:tbl>
    <w:bookmarkEnd w:id="426"/>
    <w:bookmarkEnd w:id="42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8" Target="media/rId408.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380" Target="media/rId380.png" /><Relationship Type="http://schemas.openxmlformats.org/officeDocument/2006/relationships/image" Id="rId392" Target="media/rId392.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3" Target="media/rId413.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2026-04-23T00:17:33Z</dcterms:created>
  <dcterms:modified xsi:type="dcterms:W3CDTF">2026-04-23T00:17:33Z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2026-04-10</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