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2.png" ContentType="image/png"/>
  <Override PartName="/word/media/rId42.png" ContentType="image/png"/>
  <Override PartName="/word/media/rId57.png" ContentType="image/png"/>
  <Override PartName="/word/media/rId69.png" ContentType="image/png"/>
  <Override PartName="/word/media/rId381.png" ContentType="image/png"/>
  <Override PartName="/word/media/rId386.png" ContentType="image/png"/>
  <Override PartName="/word/media/rId402.png" ContentType="image/png"/>
  <Override PartName="/word/media/rId397.png" ContentType="image/png"/>
  <Override PartName="/word/media/rId52.png" ContentType="image/png"/>
  <Override PartName="/word/media/rId370.png" ContentType="image/png"/>
  <Override PartName="/word/media/rId25.png" ContentType="image/png"/>
  <Override PartName="/word/media/rId4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2025-12-03</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‘critical point’</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‘control parameter’</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negatively correlated with E:I in both conditions</w:t>
      </w:r>
      <w:r>
        <w:rPr>
          <w:vertAlign w:val="superscript"/>
        </w:rPr>
        <w:t xml:space="preserve">11</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“Jungles”</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Spectral width = 5,000 Hz; Data points = 4,096</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ON, 128 OFF; Spectral width = 5,000 Hz; Data points = 4,096</w:t>
                  </w:r>
                </w:p>
              </w:tc>
              <w:tc>
                <w:tcPr/>
                <w:p>
                  <w:pPr>
                    <w:pStyle w:val="Compact"/>
                    <w:jc w:val="center"/>
                  </w:pPr>
                  <w:r>
                    <w:t xml:space="preserve">8</w:t>
                  </w:r>
                </w:p>
              </w:tc>
            </w:tr>
          </w:tbl>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tbl-metabolites">
        <w:r>
          <w:rPr>
            <w:rStyle w:val="InternetLink"/>
          </w:rPr>
          <w:t xml:space="preserve">Table 6</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tbl-megapressmetabs">
        <w:r>
          <w:rPr>
            <w:rStyle w:val="InternetLink"/>
          </w:rPr>
          <w:t xml:space="preserve">Table 7</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‘power’</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‘extended Hurst’</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sepChr m:val=""/>
                    <m:end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tbl-quality">
        <w:r>
          <w:rPr>
            <w:rStyle w:val="InternetLink"/>
          </w:rPr>
          <w:t xml:space="preserve">Table 4</w:t>
        </w:r>
      </w:hyperlink>
      <w:r>
        <w:t xml:space="preserve">.</w:t>
      </w:r>
    </w:p>
    <w:p>
      <w:pPr>
        <w:pStyle w:val="TextBody"/>
      </w:pPr>
      <w:r>
        <w:t xml:space="preserve">Average voxel rotation along the x-axis, along with average tissue fractions are reported in Supplementary Material</w:t>
      </w:r>
      <w:r>
        <w:t xml:space="preserve"> </w:t>
      </w:r>
      <w:hyperlink w:anchor="tbl-singlevoxel">
        <w:r>
          <w:rPr>
            <w:rStyle w:val="InternetLink"/>
          </w:rPr>
          <w:t xml:space="preserve">Table 5</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(check for normality) can be found in the Supplementary Materials (</w:t>
      </w:r>
      <w:hyperlink w:anchor="fig-lmemdiag">
        <w:r>
          <w:rPr>
            <w:rStyle w:val="InternetLink"/>
          </w:rPr>
          <w:t xml:space="preserve">Figure 8</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 62.7%, and 92.9%,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9.84 ± 1.06</w:t>
                  </w:r>
                </w:p>
              </w:tc>
              <w:tc>
                <w:tcPr/>
                <w:p>
                  <w:pPr>
                    <w:pStyle w:val="Compact"/>
                    <w:jc w:val="center"/>
                  </w:pPr>
                  <w:r>
                    <w:t xml:space="preserve">10.04 ± 0.79</w:t>
                  </w:r>
                </w:p>
              </w:tc>
              <w:tc>
                <w:tcPr/>
                <w:p>
                  <w:pPr>
                    <w:pStyle w:val="Compact"/>
                    <w:jc w:val="center"/>
                  </w:pPr>
                  <w:r>
                    <w:t xml:space="preserve">0.26</w:t>
                  </w:r>
                </w:p>
              </w:tc>
            </w:tr>
            <w:tr>
              <w:tc>
                <w:tcPr/>
                <w:p>
                  <w:pPr>
                    <w:pStyle w:val="Compact"/>
                    <w:jc w:val="center"/>
                  </w:pPr>
                  <w:r>
                    <w:rPr>
                      <w:b/>
                      <w:bCs/>
                    </w:rPr>
                    <w:t xml:space="preserve">GABA+</w:t>
                  </w:r>
                </w:p>
              </w:tc>
              <w:tc>
                <w:tcPr/>
                <w:p>
                  <w:pPr>
                    <w:pStyle w:val="Compact"/>
                    <w:jc w:val="center"/>
                  </w:pPr>
                  <w:r>
                    <w:t xml:space="preserve">5.48 ± 0.77</w:t>
                  </w:r>
                </w:p>
              </w:tc>
              <w:tc>
                <w:tcPr/>
                <w:p>
                  <w:pPr>
                    <w:pStyle w:val="Compact"/>
                    <w:jc w:val="center"/>
                  </w:pPr>
                  <w:r>
                    <w:t xml:space="preserve">5.23 ± 0.71</w:t>
                  </w:r>
                </w:p>
              </w:tc>
              <w:tc>
                <w:tcPr/>
                <w:p>
                  <w:pPr>
                    <w:pStyle w:val="Compact"/>
                    <w:jc w:val="center"/>
                  </w:pPr>
                  <w:r>
                    <w:t xml:space="preserve">0.17</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fig-dataquality">
        <w:r>
          <w:rPr>
            <w:rStyle w:val="InternetLink"/>
          </w:rPr>
          <w:t xml:space="preserve">Figure 9</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fig-dataquality">
        <w:r>
          <w:rPr>
            <w:rStyle w:val="InternetLink"/>
          </w:rPr>
          <w:t xml:space="preserve">Figure 9</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fig-dataquality">
        <w:r>
          <w:rPr>
            <w:rStyle w:val="InternetLink"/>
          </w:rPr>
          <w:t xml:space="preserve">Figure 9</w:t>
        </w:r>
      </w:hyperlink>
      <w:r>
        <w:t xml:space="preserve"> </w:t>
      </w:r>
      <w:r>
        <w:t xml:space="preserve">D and E).</w:t>
      </w:r>
    </w:p>
    <w:p>
      <w:pPr>
        <w:pStyle w:val="TextBody"/>
      </w:pPr>
      <w:r>
        <w:t xml:space="preserve">Furthermore, a group averaged plot of the frequency shift between rest and movie can be found in the Supplementary Materials (</w:t>
      </w:r>
      <w:hyperlink w:anchor="fig-frequencyshift">
        <w:r>
          <w:rPr>
            <w:rStyle w:val="InternetLink"/>
          </w:rPr>
          <w:t xml:space="preserve">Figure 10</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Positive linear</w:t>
                  </w:r>
                </w:p>
              </w:tc>
            </w:tr>
          </w:tbl>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Future studies may also wish to acquire high resolution anatomical scans before each MRS run in order to re-align the MRS voxel.</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133,139–141</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142</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77,143</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66" w:name="references"/>
    <w:p>
      <w:pPr>
        <w:pStyle w:val="Heading1"/>
      </w:pPr>
      <w:r>
        <w:t xml:space="preserve">References</w:t>
      </w:r>
    </w:p>
    <w:bookmarkStart w:id="36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26b7d4573f0556cbc62cf28188553d7f7b79fa4"/>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ref-mullinsNovelTechniqueStudy2005"/>
    <w:p>
      <w:pPr>
        <w:pStyle w:val="Bibliography"/>
      </w:pPr>
      <w:r>
        <w:t xml:space="preserve">139.</w:t>
      </w:r>
      <w:r>
        <w:t xml:space="preserve"> </w:t>
      </w:r>
      <w:r>
        <w:t xml:space="preserve">	</w:t>
      </w:r>
      <w:r>
        <w:t xml:space="preserve">Mullins, P. G., Rowland, L. M., Jung, R. E. &amp; Sibbitt, W. L.</w:t>
      </w:r>
      <w:r>
        <w:t xml:space="preserve"> </w:t>
      </w:r>
      <w:hyperlink r:id="rId355">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6"/>
    <w:bookmarkStart w:id="358" w:name="ref-gussewTimeresolvedFunctional1H2010"/>
    <w:p>
      <w:pPr>
        <w:pStyle w:val="Bibliography"/>
      </w:pPr>
      <w:r>
        <w:t xml:space="preserve">140.</w:t>
      </w:r>
      <w:r>
        <w:t xml:space="preserve"> </w:t>
      </w:r>
      <w:r>
        <w:t xml:space="preserve">	</w:t>
      </w:r>
      <w:r>
        <w:t xml:space="preserve">Gussew, A.</w:t>
      </w:r>
      <w:r>
        <w:t xml:space="preserve"> </w:t>
      </w:r>
      <w:r>
        <w:rPr>
          <w:i/>
          <w:iCs/>
        </w:rPr>
        <w:t xml:space="preserve">et al.</w:t>
      </w:r>
      <w:r>
        <w:t xml:space="preserve"> </w:t>
      </w:r>
      <w:hyperlink r:id="rId357">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58"/>
    <w:bookmarkStart w:id="360" w:name="X80e31e083a8695b6c4a3f9174931ee68430de4b"/>
    <w:p>
      <w:pPr>
        <w:pStyle w:val="Bibliography"/>
      </w:pPr>
      <w:r>
        <w:t xml:space="preserve">141.</w:t>
      </w:r>
      <w:r>
        <w:t xml:space="preserve"> </w:t>
      </w:r>
      <w:r>
        <w:t xml:space="preserve">	</w:t>
      </w:r>
      <w:r>
        <w:t xml:space="preserve">Gutzeit, A.</w:t>
      </w:r>
      <w:r>
        <w:t xml:space="preserve"> </w:t>
      </w:r>
      <w:r>
        <w:rPr>
          <w:i/>
          <w:iCs/>
        </w:rPr>
        <w:t xml:space="preserve">et al.</w:t>
      </w:r>
      <w:r>
        <w:t xml:space="preserve"> </w:t>
      </w:r>
      <w:hyperlink r:id="rId359">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0"/>
    <w:bookmarkStart w:id="362" w:name="ref-mullinsTheoryFunctionalMagnetic2018"/>
    <w:p>
      <w:pPr>
        <w:pStyle w:val="Bibliography"/>
      </w:pPr>
      <w:r>
        <w:t xml:space="preserve">142.</w:t>
      </w:r>
      <w:r>
        <w:t xml:space="preserve"> </w:t>
      </w:r>
      <w:r>
        <w:t xml:space="preserve">	</w:t>
      </w:r>
      <w:r>
        <w:t xml:space="preserve">Mullins, P. G.</w:t>
      </w:r>
      <w:r>
        <w:t xml:space="preserve"> </w:t>
      </w:r>
      <w:hyperlink r:id="rId361">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2"/>
    <w:bookmarkStart w:id="364" w:name="ref-dwyerSimultaneousMeasurementBOLD2021"/>
    <w:p>
      <w:pPr>
        <w:pStyle w:val="Bibliography"/>
      </w:pPr>
      <w:r>
        <w:t xml:space="preserve">143.</w:t>
      </w:r>
      <w:r>
        <w:t xml:space="preserve"> </w:t>
      </w:r>
      <w:r>
        <w:t xml:space="preserve">	</w:t>
      </w:r>
      <w:r>
        <w:t xml:space="preserve">Dwyer, G. E.</w:t>
      </w:r>
      <w:r>
        <w:t xml:space="preserve"> </w:t>
      </w:r>
      <w:r>
        <w:rPr>
          <w:i/>
          <w:iCs/>
        </w:rPr>
        <w:t xml:space="preserve">et al.</w:t>
      </w:r>
      <w:r>
        <w:t xml:space="preserve"> </w:t>
      </w:r>
      <w:hyperlink r:id="rId363">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4"/>
    <w:bookmarkEnd w:id="365"/>
    <w:bookmarkEnd w:id="366"/>
    <w:bookmarkStart w:id="408" w:name="supplementary-material"/>
    <w:p>
      <w:pPr>
        <w:pStyle w:val="Heading1"/>
      </w:pPr>
      <w:r>
        <w:t xml:space="preserve">Supplementary Material</w:t>
      </w:r>
    </w:p>
    <w:bookmarkStart w:id="369" w:name="mrs-quality"/>
    <w:p>
      <w:pPr>
        <w:pStyle w:val="Heading2"/>
      </w:pPr>
      <w:r>
        <w:t xml:space="preserve">MRS quality</w:t>
      </w:r>
    </w:p>
    <w:tbl>
      <w:tblPr>
        <w:tblStyle w:val="Table"/>
        <w:tblW w:type="pct" w:w="5000"/>
        <w:tblLayout w:type="fixed"/>
        <w:tblLook w:firstRow="0" w:lastRow="0" w:firstColumn="0" w:lastColumn="0" w:noHBand="0" w:noVBand="0" w:val="0000"/>
      </w:tblPr>
      <w:tblGrid>
        <w:gridCol w:w="7920"/>
      </w:tblGrid>
      <w:tr>
        <w:tc>
          <w:tcPr/>
          <w:bookmarkStart w:id="367" w:name="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Measure</w:t>
                  </w:r>
                </w:p>
              </w:tc>
              <w:tc>
                <w:tcPr/>
                <w:p>
                  <w:pPr>
                    <w:pStyle w:val="Compact"/>
                    <w:jc w:val="center"/>
                  </w:pPr>
                  <w:r>
                    <w:t xml:space="preserve">Rest sLASER</w:t>
                  </w:r>
                </w:p>
              </w:tc>
              <w:tc>
                <w:tcPr/>
                <w:p>
                  <w:pPr>
                    <w:pStyle w:val="Compact"/>
                    <w:jc w:val="center"/>
                  </w:pPr>
                  <w:r>
                    <w:t xml:space="preserve">Rest MEGA-PRESS</w:t>
                  </w:r>
                </w:p>
              </w:tc>
              <w:tc>
                <w:tcPr/>
                <w:p>
                  <w:pPr>
                    <w:pStyle w:val="Compact"/>
                    <w:jc w:val="center"/>
                  </w:pPr>
                  <w:r>
                    <w:t xml:space="preserve">Movie sLASER</w:t>
                  </w:r>
                </w:p>
              </w:tc>
              <w:tc>
                <w:tcPr/>
                <w:p>
                  <w:pPr>
                    <w:pStyle w:val="Compact"/>
                    <w:jc w:val="center"/>
                  </w:pPr>
                  <w:r>
                    <w:t xml:space="preserve">Movie MEGA-PRESS</w:t>
                  </w:r>
                </w:p>
              </w:tc>
            </w:tr>
            <w:tr>
              <w:tc>
                <w:tcPr/>
                <w:p>
                  <w:pPr>
                    <w:pStyle w:val="Compact"/>
                    <w:jc w:val="center"/>
                  </w:pPr>
                  <w:r>
                    <w:t xml:space="preserve">water FWHM (Hz)</w:t>
                  </w:r>
                </w:p>
              </w:tc>
              <w:tc>
                <w:tcPr/>
                <w:p>
                  <w:pPr>
                    <w:pStyle w:val="Compact"/>
                    <w:jc w:val="center"/>
                  </w:pPr>
                  <w:r>
                    <w:t xml:space="preserve">8.47 ± 0.66</w:t>
                  </w:r>
                </w:p>
              </w:tc>
              <w:tc>
                <w:tcPr/>
                <w:p>
                  <w:pPr>
                    <w:pStyle w:val="Compact"/>
                    <w:jc w:val="center"/>
                  </w:pPr>
                  <w:r>
                    <w:t xml:space="preserve">7.86 ± 0.8</w:t>
                  </w:r>
                </w:p>
              </w:tc>
              <w:tc>
                <w:tcPr/>
                <w:p>
                  <w:pPr>
                    <w:pStyle w:val="Compact"/>
                    <w:jc w:val="center"/>
                  </w:pPr>
                  <w:r>
                    <w:t xml:space="preserve">8.32 ± 0.72</w:t>
                  </w:r>
                </w:p>
              </w:tc>
              <w:tc>
                <w:tcPr/>
                <w:p>
                  <w:pPr>
                    <w:pStyle w:val="Compact"/>
                    <w:jc w:val="center"/>
                  </w:pPr>
                  <w:r>
                    <w:t xml:space="preserve">7.95 ± 0.82</w:t>
                  </w:r>
                </w:p>
              </w:tc>
            </w:tr>
            <w:tr>
              <w:tc>
                <w:tcPr/>
                <w:p>
                  <w:pPr>
                    <w:pStyle w:val="Compact"/>
                    <w:jc w:val="center"/>
                  </w:pPr>
                  <w:r>
                    <w:t xml:space="preserve">Cr SNR</w:t>
                  </w:r>
                </w:p>
              </w:tc>
              <w:tc>
                <w:tcPr/>
                <w:p>
                  <w:pPr>
                    <w:pStyle w:val="Compact"/>
                    <w:jc w:val="center"/>
                  </w:pPr>
                  <w:r>
                    <w:t xml:space="preserve">147.61 ± 20.46</w:t>
                  </w:r>
                </w:p>
              </w:tc>
              <w:tc>
                <w:tcPr/>
                <w:p>
                  <w:pPr>
                    <w:pStyle w:val="Compact"/>
                    <w:jc w:val="center"/>
                  </w:pPr>
                  <w:r>
                    <w:t xml:space="preserve">101.05 ± 21.42</w:t>
                  </w:r>
                </w:p>
              </w:tc>
              <w:tc>
                <w:tcPr/>
                <w:p>
                  <w:pPr>
                    <w:pStyle w:val="Compact"/>
                    <w:jc w:val="center"/>
                  </w:pPr>
                  <w:r>
                    <w:t xml:space="preserve">140.6 ± 26</w:t>
                  </w:r>
                </w:p>
              </w:tc>
              <w:tc>
                <w:tcPr/>
                <w:p>
                  <w:pPr>
                    <w:pStyle w:val="Compact"/>
                    <w:jc w:val="center"/>
                  </w:pPr>
                  <w:r>
                    <w:t xml:space="preserve">98.75 ± 20.01</w:t>
                  </w:r>
                </w:p>
              </w:tc>
            </w:tr>
            <w:tr>
              <w:tc>
                <w:tcPr/>
                <w:p>
                  <w:pPr>
                    <w:pStyle w:val="Compact"/>
                    <w:jc w:val="center"/>
                  </w:pPr>
                  <w:r>
                    <w:t xml:space="preserve">Frequency Shift (ppm)</w:t>
                  </w:r>
                </w:p>
              </w:tc>
              <w:tc>
                <w:tcPr/>
                <w:p>
                  <w:pPr>
                    <w:pStyle w:val="Compact"/>
                    <w:jc w:val="center"/>
                  </w:pPr>
                  <w:r>
                    <w:t xml:space="preserve">-3.08 ± 0.81</w:t>
                  </w:r>
                </w:p>
              </w:tc>
              <w:tc>
                <w:tcPr/>
                <w:p>
                  <w:pPr>
                    <w:pStyle w:val="Compact"/>
                    <w:jc w:val="center"/>
                  </w:pPr>
                  <w:r>
                    <w:t xml:space="preserve">-3.98 ± 0.94</w:t>
                  </w:r>
                </w:p>
              </w:tc>
              <w:tc>
                <w:tcPr/>
                <w:p>
                  <w:pPr>
                    <w:pStyle w:val="Compact"/>
                    <w:jc w:val="center"/>
                  </w:pPr>
                  <w:r>
                    <w:t xml:space="preserve">-3.12 ± 0.76</w:t>
                  </w:r>
                </w:p>
              </w:tc>
              <w:tc>
                <w:tcPr/>
                <w:p>
                  <w:pPr>
                    <w:pStyle w:val="Compact"/>
                    <w:jc w:val="center"/>
                  </w:pPr>
                  <w:r>
                    <w:t xml:space="preserve">-3.85 ± 1.05</w:t>
                  </w:r>
                </w:p>
              </w:tc>
            </w:tr>
          </w:tbl>
          <w:p>
            <w:pPr>
              <w:jc w:val="center"/>
            </w:pPr>
            <w:pPr>
              <w:jc w:val="left"/>
              <w:spacing w:before="200"/>
              <w:pStyle w:val="ImageCaption"/>
            </w:pPr>
            <w:r>
              <w:rPr>
                <w:b/>
                <w:bCs/>
              </w:rPr>
              <w:t xml:space="preserve">Table</w:t>
            </w:r>
            <w:r>
              <w:t xml:space="preserve"> 4</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Measure</w:t>
                  </w:r>
                </w:p>
              </w:tc>
              <w:tc>
                <w:tcPr/>
                <w:p>
                  <w:pPr>
                    <w:pStyle w:val="Compact"/>
                    <w:jc w:val="center"/>
                  </w:pPr>
                  <w:r>
                    <w:t xml:space="preserve">Amount</w:t>
                  </w:r>
                </w:p>
              </w:tc>
            </w:tr>
            <w:tr>
              <w:tc>
                <w:tcPr/>
                <w:p>
                  <w:pPr>
                    <w:pStyle w:val="Compact"/>
                    <w:jc w:val="center"/>
                  </w:pPr>
                  <w:r>
                    <w:t xml:space="preserve">Voxel Rotation (degrees)</w:t>
                  </w:r>
                </w:p>
              </w:tc>
              <w:tc>
                <w:tcPr/>
                <w:p>
                  <w:pPr>
                    <w:pStyle w:val="Compact"/>
                    <w:jc w:val="center"/>
                  </w:pPr>
                  <w:r>
                    <w:t xml:space="preserve">-39 ± 8.13</w:t>
                  </w:r>
                </w:p>
              </w:tc>
            </w:tr>
            <w:tr>
              <w:tc>
                <w:tcPr/>
                <w:p>
                  <w:pPr>
                    <w:pStyle w:val="Compact"/>
                    <w:jc w:val="center"/>
                  </w:pPr>
                  <w:r>
                    <w:t xml:space="preserve">GM Tissue Fraction</w:t>
                  </w:r>
                </w:p>
              </w:tc>
              <w:tc>
                <w:tcPr/>
                <w:p>
                  <w:pPr>
                    <w:pStyle w:val="Compact"/>
                    <w:jc w:val="center"/>
                  </w:pPr>
                  <w:r>
                    <w:t xml:space="preserve">0.64 ± 0.04</w:t>
                  </w:r>
                </w:p>
              </w:tc>
            </w:tr>
            <w:tr>
              <w:tc>
                <w:tcPr/>
                <w:p>
                  <w:pPr>
                    <w:pStyle w:val="Compact"/>
                    <w:jc w:val="center"/>
                  </w:pPr>
                  <w:r>
                    <w:t xml:space="preserve">WM Tissue Fraction</w:t>
                  </w:r>
                </w:p>
              </w:tc>
              <w:tc>
                <w:tcPr/>
                <w:p>
                  <w:pPr>
                    <w:pStyle w:val="Compact"/>
                    <w:jc w:val="center"/>
                  </w:pPr>
                  <w:r>
                    <w:t xml:space="preserve">0.24 ± 0.04</w:t>
                  </w:r>
                </w:p>
              </w:tc>
            </w:tr>
            <w:tr>
              <w:tc>
                <w:tcPr/>
                <w:p>
                  <w:pPr>
                    <w:pStyle w:val="Compact"/>
                    <w:jc w:val="center"/>
                  </w:pPr>
                  <w:r>
                    <w:t xml:space="preserve">CSF Tissue Fraction</w:t>
                  </w:r>
                </w:p>
              </w:tc>
              <w:tc>
                <w:tcPr/>
                <w:p>
                  <w:pPr>
                    <w:pStyle w:val="Compact"/>
                    <w:jc w:val="center"/>
                  </w:pPr>
                  <w:r>
                    <w:t xml:space="preserve">0.12 ± 0.03</w:t>
                  </w:r>
                </w:p>
              </w:tc>
            </w:tr>
          </w:tbl>
          <w:p>
            <w:pPr>
              <w:jc w:val="center"/>
            </w:pPr>
            <w:pPr>
              <w:jc w:val="left"/>
              <w:spacing w:before="200"/>
              <w:pStyle w:val="ImageCaption"/>
            </w:pPr>
            <w:r>
              <w:rPr>
                <w:b/>
                <w:bCs/>
              </w:rPr>
              <w:t xml:space="preserve">Table</w:t>
            </w:r>
            <w:r>
              <w:t xml:space="preserve"> 5</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68"/>
        </w:tc>
      </w:tr>
    </w:tbl>
    <w:bookmarkEnd w:id="369"/>
    <w:bookmarkStart w:id="375" w:name="linear-mixed-effects-model-diagnostics"/>
    <w:p>
      <w:pPr>
        <w:pStyle w:val="Heading2"/>
      </w:pPr>
      <w:r>
        <w:t xml:space="preserve">Linear-mixed effects model diagnostics</w:t>
      </w:r>
    </w:p>
    <w:bookmarkStart w:id="374" w:name="cell-fig-lmemdiag"/>
    <w:tbl>
      <w:tblPr>
        <w:tblStyle w:val="Table"/>
        <w:tblW w:type="pct" w:w="5000"/>
        <w:tblLayout w:type="fixed"/>
        <w:tblLook w:firstRow="0" w:lastRow="0" w:firstColumn="0" w:lastColumn="0" w:noHBand="0" w:noVBand="0" w:val="0000"/>
      </w:tblPr>
      <w:tblGrid>
        <w:gridCol w:w="7920"/>
      </w:tblGrid>
      <w:tr>
        <w:tc>
          <w:tcPr/>
          <w:bookmarkStart w:id="373" w:name="fig-lmemdiag"/>
          <w:p>
            <w:pPr>
              <w:pStyle w:val="Compact"/>
              <w:jc w:val="center"/>
            </w:pPr>
            <w:r>
              <w:drawing>
                <wp:inline>
                  <wp:extent cx="4620126" cy="4620126"/>
                  <wp:effectExtent b="0" l="0" r="0" t="0"/>
                  <wp:docPr descr="" title="" id="371" name="Picture"/>
                  <a:graphic>
                    <a:graphicData uri="http://schemas.openxmlformats.org/drawingml/2006/picture">
                      <pic:pic>
                        <pic:nvPicPr>
                          <pic:cNvPr descr="index_files/figure-docx/fig-lmemdiag-1.png" id="372" name="Picture"/>
                          <pic:cNvPicPr>
                            <a:picLocks noChangeArrowheads="1" noChangeAspect="1"/>
                          </pic:cNvPicPr>
                        </pic:nvPicPr>
                        <pic:blipFill>
                          <a:blip r:embed="rId37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8</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73"/>
        </w:tc>
      </w:tr>
    </w:tbl>
    <w:bookmarkEnd w:id="374"/>
    <w:bookmarkEnd w:id="375"/>
    <w:bookmarkStart w:id="380" w:name="metabolites"/>
    <w:p>
      <w:pPr>
        <w:pStyle w:val="Heading2"/>
      </w:pPr>
      <w:r>
        <w:t xml:space="preserve">Metabolites</w:t>
      </w:r>
    </w:p>
    <w:bookmarkStart w:id="377" w:name="slaser"/>
    <w:p>
      <w:pPr>
        <w:pStyle w:val="Heading3"/>
      </w:pPr>
      <w:r>
        <w:t xml:space="preserve">sLASER</w:t>
      </w:r>
    </w:p>
    <w:tbl>
      <w:tblPr>
        <w:tblStyle w:val="Table"/>
        <w:tblW w:type="pct" w:w="5000"/>
        <w:tblLayout w:type="fixed"/>
        <w:tblLook w:firstRow="0" w:lastRow="0" w:firstColumn="0" w:lastColumn="0" w:noHBand="0" w:noVBand="0" w:val="0000"/>
      </w:tblPr>
      <w:tblGrid>
        <w:gridCol w:w="7920"/>
      </w:tblGrid>
      <w:tr>
        <w:tc>
          <w:tcPr/>
          <w:bookmarkStart w:id="376" w:name="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left"/>
              <w:spacing w:before="200"/>
              <w:pStyle w:val="ImageCaption"/>
            </w:pPr>
            <w:r>
              <w:rPr>
                <w:b/>
                <w:bCs/>
              </w:rPr>
              <w:t xml:space="preserve">Table</w:t>
            </w:r>
            <w:r>
              <w:t xml:space="preserve"> 6</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76"/>
        </w:tc>
      </w:tr>
    </w:tbl>
    <w:bookmarkEnd w:id="377"/>
    <w:bookmarkStart w:id="379" w:name="mega-press"/>
    <w:p>
      <w:pPr>
        <w:pStyle w:val="Heading3"/>
      </w:pPr>
      <w:r>
        <w:t xml:space="preserve">MEGA-PRESS</w:t>
      </w:r>
    </w:p>
    <w:tbl>
      <w:tblPr>
        <w:tblStyle w:val="Table"/>
        <w:tblW w:type="pct" w:w="5000"/>
        <w:tblLayout w:type="fixed"/>
        <w:tblLook w:firstRow="0" w:lastRow="0" w:firstColumn="0" w:lastColumn="0" w:noHBand="0" w:noVBand="0" w:val="0000"/>
      </w:tblPr>
      <w:tblGrid>
        <w:gridCol w:w="7920"/>
      </w:tblGrid>
      <w:tr>
        <w:tc>
          <w:tcPr/>
          <w:bookmarkStart w:id="378" w:name="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left"/>
              <w:spacing w:before="200"/>
              <w:pStyle w:val="ImageCaption"/>
            </w:pPr>
            <w:r>
              <w:rPr>
                <w:b/>
                <w:bCs/>
              </w:rPr>
              <w:t xml:space="preserve">Table</w:t>
            </w:r>
            <w:r>
              <w:t xml:space="preserve"> 7</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78"/>
        </w:tc>
      </w:tr>
    </w:tbl>
    <w:bookmarkEnd w:id="379"/>
    <w:bookmarkEnd w:id="380"/>
    <w:bookmarkStart w:id="391" w:name="data-quality-1"/>
    <w:p>
      <w:pPr>
        <w:pStyle w:val="Heading2"/>
      </w:pPr>
      <w:r>
        <w:t xml:space="preserve">Data quality</w:t>
      </w:r>
    </w:p>
    <w:bookmarkStart w:id="385" w:name="cell-fig-dataquality"/>
    <w:tbl>
      <w:tblPr>
        <w:tblStyle w:val="Table"/>
        <w:tblW w:type="pct" w:w="5000"/>
        <w:tblLayout w:type="fixed"/>
        <w:tblLook w:firstRow="0" w:lastRow="0" w:firstColumn="0" w:lastColumn="0" w:noHBand="0" w:noVBand="0" w:val="0000"/>
      </w:tblPr>
      <w:tblGrid>
        <w:gridCol w:w="7920"/>
      </w:tblGrid>
      <w:tr>
        <w:tc>
          <w:tcPr/>
          <w:bookmarkStart w:id="384" w:name="fig-dataquality"/>
          <w:p>
            <w:pPr>
              <w:pStyle w:val="Compact"/>
              <w:jc w:val="center"/>
            </w:pPr>
            <w:r>
              <w:drawing>
                <wp:inline>
                  <wp:extent cx="5544151" cy="7392202"/>
                  <wp:effectExtent b="0" l="0" r="0" t="0"/>
                  <wp:docPr descr="" title="" id="382" name="Picture"/>
                  <a:graphic>
                    <a:graphicData uri="http://schemas.openxmlformats.org/drawingml/2006/picture">
                      <pic:pic>
                        <pic:nvPicPr>
                          <pic:cNvPr descr="index_files/figure-docx/fig-dataquality-1.png" id="383" name="Picture"/>
                          <pic:cNvPicPr>
                            <a:picLocks noChangeArrowheads="1" noChangeAspect="1"/>
                          </pic:cNvPicPr>
                        </pic:nvPicPr>
                        <pic:blipFill>
                          <a:blip r:embed="rId381"/>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9</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84"/>
        </w:tc>
      </w:tr>
    </w:tbl>
    <w:bookmarkEnd w:id="385"/>
    <w:bookmarkStart w:id="390" w:name="cell-fig-frequencyshift"/>
    <w:tbl>
      <w:tblPr>
        <w:tblStyle w:val="Table"/>
        <w:tblW w:type="pct" w:w="5000"/>
        <w:tblLayout w:type="fixed"/>
        <w:tblLook w:firstRow="0" w:lastRow="0" w:firstColumn="0" w:lastColumn="0" w:noHBand="0" w:noVBand="0" w:val="0000"/>
      </w:tblPr>
      <w:tblGrid>
        <w:gridCol w:w="7920"/>
      </w:tblGrid>
      <w:tr>
        <w:tc>
          <w:tcPr/>
          <w:bookmarkStart w:id="389" w:name="fig-frequencyshift"/>
          <w:p>
            <w:pPr>
              <w:pStyle w:val="Compact"/>
              <w:jc w:val="center"/>
            </w:pPr>
            <w:r>
              <w:drawing>
                <wp:inline>
                  <wp:extent cx="4620126" cy="6468176"/>
                  <wp:effectExtent b="0" l="0" r="0" t="0"/>
                  <wp:docPr descr="" title="" id="387" name="Picture"/>
                  <a:graphic>
                    <a:graphicData uri="http://schemas.openxmlformats.org/drawingml/2006/picture">
                      <pic:pic>
                        <pic:nvPicPr>
                          <pic:cNvPr descr="index_files/figure-docx/fig-frequencyshift-1.png" id="388" name="Picture"/>
                          <pic:cNvPicPr>
                            <a:picLocks noChangeArrowheads="1" noChangeAspect="1"/>
                          </pic:cNvPicPr>
                        </pic:nvPicPr>
                        <pic:blipFill>
                          <a:blip r:embed="rId38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10</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389"/>
        </w:tc>
      </w:tr>
    </w:tbl>
    <w:bookmarkEnd w:id="390"/>
    <w:bookmarkEnd w:id="391"/>
    <w:bookmarkStart w:id="407"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fig-gannet">
        <w:r>
          <w:rPr>
            <w:rStyle w:val="Internet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fig-gannet"/>
          <w:p>
            <w:pPr>
              <w:pStyle w:val="Compact"/>
              <w:jc w:val="center"/>
            </w:pPr>
            <w:r>
              <w:drawing>
                <wp:inline>
                  <wp:extent cx="5943600" cy="4592781"/>
                  <wp:effectExtent b="0" l="0" r="0" t="0"/>
                  <wp:docPr descr="" title="" id="393" name="Picture"/>
                  <a:graphic>
                    <a:graphicData uri="http://schemas.openxmlformats.org/drawingml/2006/picture">
                      <pic:pic>
                        <pic:nvPicPr>
                          <pic:cNvPr descr="./Data/megapress/sub-Pilot01/rest_gannet/GannetFit_output/P38912_vox1_fit.png" id="394" name="Picture"/>
                          <pic:cNvPicPr>
                            <a:picLocks noChangeArrowheads="1" noChangeAspect="1"/>
                          </pic:cNvPicPr>
                        </pic:nvPicPr>
                        <pic:blipFill>
                          <a:blip r:embed="rId392"/>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11</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395"/>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tbl-gannetresults">
        <w:r>
          <w:rPr>
            <w:rStyle w:val="InternetLink"/>
          </w:rPr>
          <w:t xml:space="preserve">Table 8</w:t>
        </w:r>
      </w:hyperlink>
      <w:r>
        <w:t xml:space="preserve">. Boxplots between rest and movie can be seen in</w:t>
      </w:r>
      <w:r>
        <w:t xml:space="preserve"> </w:t>
      </w:r>
      <w:hyperlink w:anchor="fig-gannetresults">
        <w:r>
          <w:rPr>
            <w:rStyle w:val="InternetLink"/>
          </w:rPr>
          <w:t xml:space="preserve">Figure 12</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396" w:name="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10.84 ± 1.06</w:t>
                  </w:r>
                </w:p>
              </w:tc>
              <w:tc>
                <w:tcPr/>
                <w:p>
                  <w:pPr>
                    <w:pStyle w:val="Compact"/>
                    <w:jc w:val="center"/>
                  </w:pPr>
                  <w:r>
                    <w:t xml:space="preserve">10.72 ± 0.68</w:t>
                  </w:r>
                </w:p>
              </w:tc>
              <w:tc>
                <w:tcPr/>
                <w:p>
                  <w:pPr>
                    <w:pStyle w:val="Compact"/>
                    <w:jc w:val="center"/>
                  </w:pPr>
                  <w:r>
                    <w:t xml:space="preserve">0.43</w:t>
                  </w:r>
                </w:p>
              </w:tc>
            </w:tr>
            <w:tr>
              <w:tc>
                <w:tcPr/>
                <w:p>
                  <w:pPr>
                    <w:pStyle w:val="Compact"/>
                    <w:jc w:val="center"/>
                  </w:pPr>
                  <w:r>
                    <w:rPr>
                      <w:b/>
                      <w:bCs/>
                    </w:rPr>
                    <w:t xml:space="preserve">GABA+</w:t>
                  </w:r>
                </w:p>
              </w:tc>
              <w:tc>
                <w:tcPr/>
                <w:p>
                  <w:pPr>
                    <w:pStyle w:val="Compact"/>
                    <w:jc w:val="center"/>
                  </w:pPr>
                  <w:r>
                    <w:t xml:space="preserve">3.59 ± 0.38</w:t>
                  </w:r>
                </w:p>
              </w:tc>
              <w:tc>
                <w:tcPr/>
                <w:p>
                  <w:pPr>
                    <w:pStyle w:val="Compact"/>
                    <w:jc w:val="center"/>
                  </w:pPr>
                  <w:r>
                    <w:t xml:space="preserve">3.53 ± 0.36</w:t>
                  </w:r>
                </w:p>
              </w:tc>
              <w:tc>
                <w:tcPr/>
                <w:p>
                  <w:pPr>
                    <w:pStyle w:val="Compact"/>
                    <w:jc w:val="center"/>
                  </w:pPr>
                  <w:r>
                    <w:t xml:space="preserve">0.33</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bl>
          <w:p>
            <w:pPr>
              <w:jc w:val="center"/>
            </w:pPr>
            <w:pPr>
              <w:jc w:val="left"/>
              <w:spacing w:before="200"/>
              <w:pStyle w:val="ImageCaption"/>
            </w:pPr>
            <w:r>
              <w:rPr>
                <w:b/>
                <w:bCs/>
              </w:rPr>
              <w:t xml:space="preserve">Table</w:t>
            </w:r>
            <w:r>
              <w:t xml:space="preserve"> 8</w:t>
            </w:r>
            <w:r>
              <w:rPr>
                <w:b/>
                <w:bCs/>
              </w:rPr>
              <w:t xml:space="preserve">.</w:t>
            </w:r>
            <w:r>
              <w:t xml:space="preserve"> </w:t>
            </w:r>
            <w:r>
              <w:rPr>
                <w:b/>
                <w:bCs/>
              </w:rPr>
              <w:t xml:space="preserve">Summary of main metabolite results using Gannet</w:t>
            </w:r>
          </w:p>
          <w:bookmarkEnd w:id="396"/>
        </w:tc>
      </w:tr>
    </w:tbl>
    <w:bookmarkStart w:id="401" w:name="cell-fig-gannetresults"/>
    <w:tbl>
      <w:tblPr>
        <w:tblStyle w:val="Table"/>
        <w:tblW w:type="pct" w:w="5000"/>
        <w:tblLayout w:type="fixed"/>
        <w:tblLook w:firstRow="0" w:lastRow="0" w:firstColumn="0" w:lastColumn="0" w:noHBand="0" w:noVBand="0" w:val="0000"/>
      </w:tblPr>
      <w:tblGrid>
        <w:gridCol w:w="7920"/>
      </w:tblGrid>
      <w:tr>
        <w:tc>
          <w:tcPr/>
          <w:bookmarkStart w:id="400" w:name="fig-gannetresults"/>
          <w:p>
            <w:pPr>
              <w:pStyle w:val="Compact"/>
              <w:jc w:val="center"/>
            </w:pPr>
            <w:r>
              <w:drawing>
                <wp:inline>
                  <wp:extent cx="5943600" cy="4754880"/>
                  <wp:effectExtent b="0" l="0" r="0" t="0"/>
                  <wp:docPr descr="" title="" id="398" name="Picture"/>
                  <a:graphic>
                    <a:graphicData uri="http://schemas.openxmlformats.org/drawingml/2006/picture">
                      <pic:pic>
                        <pic:nvPicPr>
                          <pic:cNvPr descr="index_files/figure-docx/fig-gannetresults-1.png" id="399" name="Picture"/>
                          <pic:cNvPicPr>
                            <a:picLocks noChangeArrowheads="1" noChangeAspect="1"/>
                          </pic:cNvPicPr>
                        </pic:nvPicPr>
                        <pic:blipFill>
                          <a:blip r:embed="rId39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12</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00"/>
        </w:tc>
      </w:tr>
    </w:tbl>
    <w:bookmarkEnd w:id="401"/>
    <w:p>
      <w:pPr>
        <w:pStyle w:val="TextBody"/>
      </w:pPr>
      <w:r>
        <w:t xml:space="preserve">H was not found to correlate with Glx (Rest: r = 0, p = 0.99; Movie: r = -0.27, p = 0.28), GABA+ (Rest: r = 0.02, p = 0.93; Movie: r = 0.11, p = 0.67), or E:I (Rest: r = -0.04, p = 0.89; Movie: r = -0.32, p = 0.2) (</w:t>
      </w:r>
      <w:hyperlink w:anchor="fig-gannetcorrelations">
        <w:r>
          <w:rPr>
            <w:rStyle w:val="InternetLink"/>
          </w:rPr>
          <w:t xml:space="preserve">Figure 13</w:t>
        </w:r>
      </w:hyperlink>
      <w:r>
        <w:t xml:space="preserve">).</w:t>
      </w:r>
    </w:p>
    <w:bookmarkStart w:id="406" w:name="cell-fig-gannetcorrelations"/>
    <w:tbl>
      <w:tblPr>
        <w:tblStyle w:val="Table"/>
        <w:tblW w:type="pct" w:w="5000"/>
        <w:tblLayout w:type="fixed"/>
        <w:tblLook w:firstRow="0" w:lastRow="0" w:firstColumn="0" w:lastColumn="0" w:noHBand="0" w:noVBand="0" w:val="0000"/>
      </w:tblPr>
      <w:tblGrid>
        <w:gridCol w:w="7920"/>
      </w:tblGrid>
      <w:tr>
        <w:tc>
          <w:tcPr/>
          <w:bookmarkStart w:id="405" w:name="fig-gannetcorrelations"/>
          <w:p>
            <w:pPr>
              <w:pStyle w:val="Compact"/>
              <w:jc w:val="center"/>
            </w:pPr>
            <w:r>
              <w:drawing>
                <wp:inline>
                  <wp:extent cx="5943600" cy="5094514"/>
                  <wp:effectExtent b="0" l="0" r="0" t="0"/>
                  <wp:docPr descr="" title="" id="403" name="Picture"/>
                  <a:graphic>
                    <a:graphicData uri="http://schemas.openxmlformats.org/drawingml/2006/picture">
                      <pic:pic>
                        <pic:nvPicPr>
                          <pic:cNvPr descr="index_files/figure-docx/fig-gannetcorrelations-1.png" id="404" name="Picture"/>
                          <pic:cNvPicPr>
                            <a:picLocks noChangeArrowheads="1" noChangeAspect="1"/>
                          </pic:cNvPicPr>
                        </pic:nvPicPr>
                        <pic:blipFill>
                          <a:blip r:embed="rId40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13</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05"/>
        </w:tc>
      </w:tr>
    </w:tbl>
    <w:bookmarkEnd w:id="406"/>
    <w:bookmarkEnd w:id="407"/>
    <w:bookmarkEnd w:id="408"/>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2" Target="media/rId392.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381" Target="media/rId381.png" /><Relationship Type="http://schemas.openxmlformats.org/officeDocument/2006/relationships/image" Id="rId386" Target="media/rId386.png" /><Relationship Type="http://schemas.openxmlformats.org/officeDocument/2006/relationships/image" Id="rId402" Target="media/rId402.png" /><Relationship Type="http://schemas.openxmlformats.org/officeDocument/2006/relationships/image" Id="rId397" Target="media/rId397.png" /><Relationship Type="http://schemas.openxmlformats.org/officeDocument/2006/relationships/image" Id="rId52" Target="media/rId52.png" /><Relationship Type="http://schemas.openxmlformats.org/officeDocument/2006/relationships/image" Id="rId370" Target="media/rId370.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59"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5" Target="https://doi.org/10.1016/j.neuroimage.2005.02.001" TargetMode="External" /><Relationship Type="http://schemas.openxmlformats.org/officeDocument/2006/relationships/hyperlink" Id="rId357"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1"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3"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59"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5" Target="https://doi.org/10.1016/j.neuroimage.2005.02.001" TargetMode="External" /><Relationship Type="http://schemas.openxmlformats.org/officeDocument/2006/relationships/hyperlink" Id="rId357"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1"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3"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2025-12-03T00:37:24Z</dcterms:created>
  <dcterms:modified xsi:type="dcterms:W3CDTF">2025-12-03T00:37:24Z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2025-12-03</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