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8.png" ContentType="image/png"/>
  <Override PartName="/word/media/rId42.png" ContentType="image/png"/>
  <Override PartName="/word/media/rId57.png" ContentType="image/png"/>
  <Override PartName="/word/media/rId69.png" ContentType="image/png"/>
  <Override PartName="/word/media/rId52.png" ContentType="image/png"/>
  <Override PartName="/word/media/rId25.png" ContentType="image/png"/>
  <Override PartName="/word/media/rId47.png" ContentType="image/png"/>
  <Override PartName="/word/media/rId64.png" ContentType="image/png"/>
  <Override PartName="/word/media/rId380.png" ContentType="image/png"/>
  <Override PartName="/word/media/rId392.png" ContentType="image/png"/>
  <Override PartName="/word/media/rId399.png" ContentType="image/png"/>
  <Override PartName="/word/media/rId403.png" ContentType="image/png"/>
  <Override PartName="/word/media/rId413.png" ContentType="image/png"/>
  <Override PartName="/word/media/rId417.png" ContentType="image/png"/>
  <Override PartName="/word/media/rId4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the</w:t>
      </w:r>
      <w:r>
        <w:t xml:space="preserve"> </w:t>
      </w:r>
      <w:r>
        <w:t xml:space="preserve">Brain’s</w:t>
      </w:r>
      <w:r>
        <w:t xml:space="preserve"> </w:t>
      </w:r>
      <w:r>
        <w:t xml:space="preserve">E:I</w:t>
      </w:r>
      <w:r>
        <w:t xml:space="preserve"> </w:t>
      </w:r>
      <w:r>
        <w:t xml:space="preserve">Balance</w:t>
      </w:r>
      <w:r>
        <w:t xml:space="preserve"> </w:t>
      </w:r>
      <w:r>
        <w:t xml:space="preserve">Really</w:t>
      </w:r>
      <w:r>
        <w:t xml:space="preserve"> </w:t>
      </w:r>
      <w:r>
        <w:t xml:space="preserve">Shape</w:t>
      </w:r>
      <w:r>
        <w:t xml:space="preserve"> </w:t>
      </w:r>
      <w:r>
        <w:t xml:space="preserve">Long-Range</w:t>
      </w:r>
      <w:r>
        <w:t xml:space="preserve"> </w:t>
      </w:r>
      <w:r>
        <w:t xml:space="preserve">Temporal</w:t>
      </w:r>
      <w:r>
        <w:t xml:space="preserve"> </w:t>
      </w:r>
      <w:r>
        <w:t xml:space="preserve">Correlations?</w:t>
      </w:r>
      <w:r>
        <w:t xml:space="preserve"> </w:t>
      </w:r>
      <w:r>
        <w:t xml:space="preserve">Lessons</w:t>
      </w:r>
      <w:r>
        <w:t xml:space="preserve"> </w:t>
      </w:r>
      <w:r>
        <w:t xml:space="preserve">Learned</w:t>
      </w:r>
      <w:r>
        <w:t xml:space="preserve"> </w:t>
      </w:r>
      <w:r>
        <w:t xml:space="preserve">from</w:t>
      </w:r>
      <w:r>
        <w:t xml:space="preserve"> </w:t>
      </w:r>
      <w:r>
        <w:t xml:space="preserve">3T</w:t>
      </w:r>
      <w:r>
        <w:t xml:space="preserve"> </w:t>
      </w:r>
      <w:r>
        <w:t xml:space="preserve">MRI</w:t>
      </w:r>
    </w:p>
    <w:p>
      <w:pPr>
        <w:pStyle w:val="Author"/>
      </w:pPr>
      <w:r>
        <w:t xml:space="preserve">Lydia</w:t>
      </w:r>
      <w:r>
        <w:t xml:space="preserve"> </w:t>
      </w:r>
      <w:r>
        <w:t xml:space="preserve">Sochan</w:t>
      </w:r>
      <w:r>
        <w:rPr>
          <w:vertAlign w:val="superscript"/>
        </w:rPr>
        <w:t xml:space="preserve">1</w:t>
      </w:r>
      <w:r>
        <w:t xml:space="preserve">,</w:t>
      </w:r>
      <w:r>
        <w:t xml:space="preserve"> </w:t>
      </w:r>
      <w:r>
        <w:t xml:space="preserve">Jessica</w:t>
      </w:r>
      <w:r>
        <w:t xml:space="preserve"> </w:t>
      </w:r>
      <w:r>
        <w:t xml:space="preserve">Archibald</w:t>
      </w:r>
      <w:r>
        <w:rPr>
          <w:vertAlign w:val="superscript"/>
        </w:rPr>
        <w:t xml:space="preserve">4</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3</w:t>
      </w:r>
      <w:r>
        <w:rPr>
          <w:vertAlign w:val="superscript"/>
        </w:rPr>
        <w:t xml:space="preserve">,</w:t>
      </w:r>
      <w:r>
        <w:rPr>
          <w:vertAlign w:val="superscript"/>
        </w:rPr>
        <w:t xml:space="preserve">✉</w:t>
      </w:r>
    </w:p>
    <w:p>
      <w:pPr>
        <w:pStyle w:val="Date"/>
      </w:pPr>
      <w:r>
        <w:t xml:space="preserve">2026-04-10</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w:t>
      </w:r>
      <w:r>
        <w:t xml:space="preserve">critical point</w:t>
      </w:r>
      <w:r>
        <w:t xml:space="preserve">’</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w:t>
      </w:r>
      <w:r>
        <w:t xml:space="preserve">control parameter</w:t>
      </w:r>
      <w:r>
        <w:t xml:space="preserve">’</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22"/>
    <w:bookmarkStart w:id="41"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w:t>
      </w:r>
      <w:r>
        <w:t xml:space="preserve">Jungles</w:t>
      </w:r>
      <w:r>
        <w:t xml:space="preserve">”</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left"/>
                    <w:jc w:val="center"/>
                  </w:pPr>
                  <w:r>
                    <w:t xml:space="preserve">Sequence</w:t>
                  </w:r>
                </w:p>
              </w:tc>
              <w:tc>
                <w:tcPr/>
                <w:p>
                  <w:pPr>
                    <w:pStyle w:val="Compact"/>
                    <w:jc w:val="left"/>
                    <w:jc w:val="center"/>
                  </w:pPr>
                  <w:r>
                    <w:t xml:space="preserve">TE (ms)</w:t>
                  </w:r>
                </w:p>
              </w:tc>
              <w:tc>
                <w:tcPr/>
                <w:p>
                  <w:pPr>
                    <w:pStyle w:val="Compact"/>
                    <w:jc w:val="left"/>
                    <w:jc w:val="center"/>
                  </w:pPr>
                  <w:r>
                    <w:t xml:space="preserve">TR (ms)</w:t>
                  </w:r>
                </w:p>
              </w:tc>
              <w:tc>
                <w:tcPr/>
                <w:p>
                  <w:pPr>
                    <w:pStyle w:val="Compact"/>
                    <w:jc w:val="left"/>
                    <w:jc w:val="center"/>
                  </w:pPr>
                  <w:r>
                    <w:t xml:space="preserve">Flip Angle</w:t>
                  </w:r>
                </w:p>
              </w:tc>
              <w:tc>
                <w:tcPr/>
                <w:p>
                  <w:pPr>
                    <w:pStyle w:val="Compact"/>
                    <w:jc w:val="left"/>
                    <w:jc w:val="center"/>
                  </w:pPr>
                  <w:r>
                    <w:t xml:space="preserve">FOV</w:t>
                  </w:r>
                </w:p>
              </w:tc>
              <w:tc>
                <w:tcPr/>
                <w:p>
                  <w:pPr>
                    <w:pStyle w:val="Compact"/>
                    <w:jc w:val="left"/>
                    <w:jc w:val="center"/>
                  </w:pPr>
                  <w:r>
                    <w:t xml:space="preserve">Slice Thickness (mm)</w:t>
                  </w:r>
                </w:p>
              </w:tc>
              <w:tc>
                <w:tcPr/>
                <w:p>
                  <w:pPr>
                    <w:pStyle w:val="Compact"/>
                    <w:jc w:val="left"/>
                    <w:jc w:val="center"/>
                  </w:pPr>
                  <w:r>
                    <w:t xml:space="preserve">In-Plane Resolution (mm²)</w:t>
                  </w:r>
                </w:p>
              </w:tc>
              <w:tc>
                <w:tcPr/>
                <w:p>
                  <w:pPr>
                    <w:pStyle w:val="Compact"/>
                    <w:jc w:val="left"/>
                    <w:jc w:val="center"/>
                  </w:pPr>
                  <w:r>
                    <w:t xml:space="preserve">Other Parameters</w:t>
                  </w:r>
                </w:p>
              </w:tc>
              <w:tc>
                <w:tcPr/>
                <w:p>
                  <w:pPr>
                    <w:pStyle w:val="Compact"/>
                    <w:jc w:val="left"/>
                    <w:jc w:val="center"/>
                  </w:pPr>
                  <w:r>
                    <w:t xml:space="preserve">Time (mins)</w:t>
                  </w:r>
                </w:p>
              </w:tc>
            </w:tr>
            <w:tr>
              <w:tc>
                <w:tcPr/>
                <w:p>
                  <w:pPr>
                    <w:pStyle w:val="Compact"/>
                    <w:jc w:val="left"/>
                    <w:jc w:val="center"/>
                  </w:pPr>
                  <w:r>
                    <w:t xml:space="preserve">3D T1-weighted FSPGR</w:t>
                  </w:r>
                </w:p>
              </w:tc>
              <w:tc>
                <w:tcPr/>
                <w:p>
                  <w:pPr>
                    <w:pStyle w:val="Compact"/>
                    <w:jc w:val="left"/>
                    <w:jc w:val="center"/>
                  </w:pPr>
                  <w:r>
                    <w:t xml:space="preserve">2.176</w:t>
                  </w:r>
                </w:p>
              </w:tc>
              <w:tc>
                <w:tcPr/>
                <w:p>
                  <w:pPr>
                    <w:pStyle w:val="Compact"/>
                    <w:jc w:val="left"/>
                    <w:jc w:val="center"/>
                  </w:pPr>
                  <w:r>
                    <w:t xml:space="preserve">7.216</w:t>
                  </w:r>
                </w:p>
              </w:tc>
              <w:tc>
                <w:tcPr/>
                <w:p>
                  <w:pPr>
                    <w:pStyle w:val="Compact"/>
                    <w:jc w:val="left"/>
                    <w:jc w:val="center"/>
                  </w:pPr>
                  <w:r>
                    <w:t xml:space="preserve">12</w:t>
                  </w:r>
                </w:p>
              </w:tc>
              <w:tc>
                <w:tcPr/>
                <w:p>
                  <w:pPr>
                    <w:pStyle w:val="Compact"/>
                    <w:jc w:val="left"/>
                    <w:jc w:val="center"/>
                  </w:pPr>
                  <w:r>
                    <w:t xml:space="preserve">256 ×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5</w:t>
                  </w:r>
                </w:p>
              </w:tc>
            </w:tr>
            <w:tr>
              <w:tc>
                <w:tcPr/>
                <w:p>
                  <w:pPr>
                    <w:pStyle w:val="Compact"/>
                    <w:jc w:val="left"/>
                    <w:jc w:val="center"/>
                  </w:pPr>
                  <w:r>
                    <w:t xml:space="preserve">3D T2-weighted CUBE</w:t>
                  </w:r>
                </w:p>
              </w:tc>
              <w:tc>
                <w:tcPr/>
                <w:p>
                  <w:pPr>
                    <w:pStyle w:val="Compact"/>
                    <w:jc w:val="left"/>
                    <w:jc w:val="center"/>
                  </w:pPr>
                  <w:r>
                    <w:t xml:space="preserve">75.242</w:t>
                  </w:r>
                </w:p>
              </w:tc>
              <w:tc>
                <w:tcPr/>
                <w:p>
                  <w:pPr>
                    <w:pStyle w:val="Compact"/>
                    <w:jc w:val="left"/>
                    <w:jc w:val="center"/>
                  </w:pPr>
                  <w:r>
                    <w:t xml:space="preserve">2,504.0</w:t>
                  </w:r>
                </w:p>
              </w:tc>
              <w:tc>
                <w:tcPr/>
                <w:p>
                  <w:pPr>
                    <w:pStyle w:val="Compact"/>
                    <w:jc w:val="left"/>
                    <w:jc w:val="center"/>
                  </w:pPr>
                  <w:r>
                    <w:t xml:space="preserve">90</w:t>
                  </w:r>
                </w:p>
              </w:tc>
              <w:tc>
                <w:tcPr/>
                <w:p>
                  <w:pPr>
                    <w:pStyle w:val="Compact"/>
                    <w:jc w:val="left"/>
                    <w:jc w:val="center"/>
                  </w:pPr>
                  <w:r>
                    <w:t xml:space="preserve">256 x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2D EPI Multi-Echo fMRI</w:t>
                  </w:r>
                </w:p>
              </w:tc>
              <w:tc>
                <w:tcPr/>
                <w:p>
                  <w:pPr>
                    <w:pStyle w:val="Compact"/>
                    <w:jc w:val="left"/>
                    <w:jc w:val="center"/>
                  </w:pPr>
                  <w:r>
                    <w:t xml:space="preserve">12.2, 35.352, 58.504</w:t>
                  </w:r>
                </w:p>
              </w:tc>
              <w:tc>
                <w:tcPr/>
                <w:p>
                  <w:pPr>
                    <w:pStyle w:val="Compact"/>
                    <w:jc w:val="left"/>
                    <w:jc w:val="center"/>
                  </w:pPr>
                  <w:r>
                    <w:t xml:space="preserve">1,500</w:t>
                  </w:r>
                </w:p>
              </w:tc>
              <w:tc>
                <w:tcPr/>
                <w:p>
                  <w:pPr>
                    <w:pStyle w:val="Compact"/>
                    <w:jc w:val="left"/>
                    <w:jc w:val="center"/>
                  </w:pPr>
                  <w:r>
                    <w:t xml:space="preserve">52</w:t>
                  </w:r>
                </w:p>
              </w:tc>
              <w:tc>
                <w:tcPr/>
                <w:p>
                  <w:pPr>
                    <w:pStyle w:val="Compact"/>
                    <w:jc w:val="left"/>
                    <w:jc w:val="center"/>
                  </w:pPr>
                  <w:r>
                    <w:t xml:space="preserve">64 x 64</w:t>
                  </w:r>
                </w:p>
              </w:tc>
              <w:tc>
                <w:tcPr/>
                <w:p>
                  <w:pPr>
                    <w:pStyle w:val="Compact"/>
                    <w:jc w:val="left"/>
                    <w:jc w:val="center"/>
                  </w:pPr>
                  <w:r>
                    <w:t xml:space="preserve">3.6</w:t>
                  </w:r>
                </w:p>
              </w:tc>
              <w:tc>
                <w:tcPr/>
                <w:p>
                  <w:pPr>
                    <w:pStyle w:val="Compact"/>
                    <w:jc w:val="left"/>
                    <w:jc w:val="center"/>
                  </w:pPr>
                  <w:r>
                    <w:t xml:space="preserve">3.5938 × 3.5938</w:t>
                  </w:r>
                </w:p>
              </w:tc>
              <w:tc>
                <w:tcPr/>
                <w:p>
                  <w:pPr>
                    <w:pStyle w:val="Compact"/>
                    <w:jc w:val="left"/>
                    <w:jc w:val="center"/>
                  </w:pPr>
                  <w:r>
                    <w:t xml:space="preserve">Acceleration factor = 6</w:t>
                  </w:r>
                </w:p>
              </w:tc>
              <w:tc>
                <w:tcPr/>
                <w:p>
                  <w:pPr>
                    <w:pStyle w:val="Compact"/>
                    <w:jc w:val="left"/>
                    <w:jc w:val="center"/>
                  </w:pPr>
                  <w:r>
                    <w:t xml:space="preserve">12</w:t>
                  </w:r>
                </w:p>
              </w:tc>
            </w:tr>
            <w:tr>
              <w:tc>
                <w:tcPr/>
                <w:p>
                  <w:pPr>
                    <w:pStyle w:val="Compact"/>
                    <w:jc w:val="left"/>
                    <w:jc w:val="center"/>
                  </w:pPr>
                  <w:r>
                    <w:t xml:space="preserve">sLASER</w:t>
                  </w:r>
                </w:p>
              </w:tc>
              <w:tc>
                <w:tcPr/>
                <w:p>
                  <w:pPr>
                    <w:pStyle w:val="Compact"/>
                    <w:jc w:val="left"/>
                    <w:jc w:val="center"/>
                  </w:pPr>
                  <w:r>
                    <w:t xml:space="preserve">35</w:t>
                  </w:r>
                </w:p>
              </w:tc>
              <w:tc>
                <w:tcPr/>
                <w:p>
                  <w:pPr>
                    <w:pStyle w:val="Compact"/>
                    <w:jc w:val="left"/>
                    <w:jc w:val="center"/>
                  </w:pPr>
                  <w:r>
                    <w:t xml:space="preserve">2,000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Spectral width = 5,000 Hz; Data points = 4,096</w:t>
                  </w:r>
                </w:p>
              </w:tc>
              <w:tc>
                <w:tcPr/>
                <w:p>
                  <w:pPr>
                    <w:pStyle w:val="Compact"/>
                    <w:jc w:val="left"/>
                    <w:jc w:val="center"/>
                  </w:pPr>
                  <w:r>
                    <w:t xml:space="preserve">4</w:t>
                  </w:r>
                </w:p>
              </w:tc>
            </w:tr>
            <w:tr>
              <w:tc>
                <w:tcPr/>
                <w:p>
                  <w:pPr>
                    <w:pStyle w:val="Compact"/>
                    <w:jc w:val="left"/>
                    <w:jc w:val="center"/>
                  </w:pPr>
                  <w:r>
                    <w:t xml:space="preserve">MEGA-PRESS</w:t>
                  </w:r>
                </w:p>
              </w:tc>
              <w:tc>
                <w:tcPr/>
                <w:p>
                  <w:pPr>
                    <w:pStyle w:val="Compact"/>
                    <w:jc w:val="left"/>
                    <w:jc w:val="center"/>
                  </w:pPr>
                  <w:r>
                    <w:t xml:space="preserve">68</w:t>
                  </w:r>
                </w:p>
              </w:tc>
              <w:tc>
                <w:tcPr/>
                <w:p>
                  <w:pPr>
                    <w:pStyle w:val="Compact"/>
                    <w:jc w:val="left"/>
                    <w:jc w:val="center"/>
                  </w:pPr>
                  <w:r>
                    <w:t xml:space="preserve">1,800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ON, 128 OFF; Spectral width = 5,000 Hz; Data points = 4,096</w:t>
                  </w:r>
                </w:p>
              </w:tc>
              <w:tc>
                <w:tcPr/>
                <w:p>
                  <w:pPr>
                    <w:pStyle w:val="Compact"/>
                    <w:jc w:val="lef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31"/>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8"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37"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37"/>
    <w:bookmarkEnd w:id="38"/>
    <w:bookmarkStart w:id="39"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w:t>
      </w:r>
      <w:r>
        <w:t xml:space="preserve">power</w:t>
      </w:r>
      <w:r>
        <w:t xml:space="preserve">’</w:t>
      </w:r>
      <w:r>
        <w:t xml:space="preserve">)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w:t>
      </w:r>
      <w:r>
        <w:t xml:space="preserve">extended Hurst</w:t>
      </w:r>
      <w:r>
        <w:t xml:space="preserve">’</w:t>
      </w:r>
      <w:r>
        <w:t xml:space="preserve"> </w:t>
      </w:r>
      <w:r>
        <w:t xml:space="preserve">(H’)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9"/>
    <w:bookmarkStart w:id="40"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m>
            <m:mPr>
              <m:baseJc m:val="center"/>
              <m:plcHide m:val="on"/>
              <m:mcs>
                <m:mc>
                  <m:mcPr>
                    <m:mcJc m:val="right"/>
                    <m:count m:val="1"/>
                  </m:mcPr>
                </m:mc>
                <m:mc>
                  <m:mcPr>
                    <m:mcJc m:val="left"/>
                    <m:count m:val="1"/>
                  </m:mcPr>
                </m:mc>
              </m:mcs>
            </m:mPr>
            <m:mr>
              <m:e>
                <m:r>
                  <m:rPr>
                    <m:sty m:val="p"/>
                  </m:rPr>
                  <m:t>H</m:t>
                </m:r>
                <m:r>
                  <m:rPr>
                    <m:sty m:val="p"/>
                  </m:rPr>
                  <m:t>∼</m:t>
                </m:r>
                <m:r>
                  <m:t> </m:t>
                </m:r>
              </m:e>
              <m:e>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mr>
            <m:mr>
              <m:e/>
              <m:e>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e>
            </m:mr>
          </m:m>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40"/>
    <w:bookmarkEnd w:id="41"/>
    <w:bookmarkStart w:id="77" w:name="results"/>
    <w:p>
      <w:pPr>
        <w:pStyle w:val="Heading1"/>
      </w:pPr>
      <w:r>
        <w:t xml:space="preserve">3. Results</w:t>
      </w:r>
    </w:p>
    <w:bookmarkStart w:id="46"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artflow"/>
          <w:p>
            <w:pPr>
              <w:pStyle w:val="Compact"/>
              <w:jc w:val="center"/>
            </w:pPr>
            <w:r>
              <w:drawing>
                <wp:inline>
                  <wp:extent cx="5943600" cy="2547257"/>
                  <wp:effectExtent b="0" l="0" r="0" t="0"/>
                  <wp:docPr descr="" title="" id="43" name="Picture"/>
                  <a:graphic>
                    <a:graphicData uri="http://schemas.openxmlformats.org/drawingml/2006/picture">
                      <pic:pic>
                        <pic:nvPicPr>
                          <pic:cNvPr descr="./images/ParticipantFlow.png" id="44" name="Picture"/>
                          <pic:cNvPicPr>
                            <a:picLocks noChangeArrowheads="1" noChangeAspect="1"/>
                          </pic:cNvPicPr>
                        </pic:nvPicPr>
                        <pic:blipFill>
                          <a:blip r:embed="rId42"/>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45"/>
        </w:tc>
      </w:tr>
    </w:tbl>
    <w:p>
      <w:pPr>
        <w:pStyle w:val="TextBody"/>
      </w:pPr>
      <w:r>
        <w:t xml:space="preserve">The final study sample included 8 males and 10 females between ages 21.3 and 53.4, with a mean age and standard deviation of 29.6 ± 8.7 years.</w:t>
      </w:r>
    </w:p>
    <w:bookmarkEnd w:id="46"/>
    <w:bookmarkStart w:id="61"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51" w:name="cell-fig-mrsquality"/>
    <w:tbl>
      <w:tblPr>
        <w:tblStyle w:val="Table"/>
        <w:tblW w:type="pct" w:w="5000"/>
        <w:tblLayout w:type="fixed"/>
        <w:tblLook w:firstRow="0" w:lastRow="0" w:firstColumn="0" w:lastColumn="0" w:noHBand="0" w:noVBand="0" w:val="0000"/>
      </w:tblPr>
      <w:tblGrid>
        <w:gridCol w:w="7920"/>
      </w:tblGrid>
      <w:tr>
        <w:tc>
          <w:tcPr/>
          <w:bookmarkStart w:id="50" w:name="fig-mrsquality"/>
          <w:p>
            <w:pPr>
              <w:pStyle w:val="Compact"/>
              <w:jc w:val="center"/>
            </w:pPr>
            <w:r>
              <w:drawing>
                <wp:inline>
                  <wp:extent cx="5544151" cy="4620126"/>
                  <wp:effectExtent b="0" l="0" r="0" t="0"/>
                  <wp:docPr descr="" title="" id="48" name="Picture"/>
                  <a:graphic>
                    <a:graphicData uri="http://schemas.openxmlformats.org/drawingml/2006/picture">
                      <pic:pic>
                        <pic:nvPicPr>
                          <pic:cNvPr descr="index_files/figure-docx/fig-mrsquality-1.png" id="49" name="Picture"/>
                          <pic:cNvPicPr>
                            <a:picLocks noChangeArrowheads="1" noChangeAspect="1"/>
                          </pic:cNvPicPr>
                        </pic:nvPicPr>
                        <pic:blipFill>
                          <a:blip r:embed="rId47"/>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50"/>
        </w:tc>
      </w:tr>
    </w:tbl>
    <w:bookmarkEnd w:id="51"/>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56" w:name="cell-fig-hurstsamp"/>
    <w:tbl>
      <w:tblPr>
        <w:tblStyle w:val="Table"/>
        <w:tblW w:type="pct" w:w="5000"/>
        <w:tblLayout w:type="fixed"/>
        <w:tblLook w:firstRow="0" w:lastRow="0" w:firstColumn="0" w:lastColumn="0" w:noHBand="0" w:noVBand="0" w:val="0000"/>
      </w:tblPr>
      <w:tblGrid>
        <w:gridCol w:w="7920"/>
      </w:tblGrid>
      <w:tr>
        <w:tc>
          <w:tcPr/>
          <w:bookmarkStart w:id="55" w:name="fig-hurstsamp"/>
          <w:p>
            <w:pPr>
              <w:pStyle w:val="Compact"/>
              <w:jc w:val="center"/>
            </w:pPr>
            <w:r>
              <w:drawing>
                <wp:inline>
                  <wp:extent cx="5544151" cy="5544151"/>
                  <wp:effectExtent b="0" l="0" r="0" t="0"/>
                  <wp:docPr descr="" title="" id="53" name="Picture"/>
                  <a:graphic>
                    <a:graphicData uri="http://schemas.openxmlformats.org/drawingml/2006/picture">
                      <pic:pic>
                        <pic:nvPicPr>
                          <pic:cNvPr descr="index_files/figure-docx/fig-hurstsamp-1.png" id="54" name="Picture"/>
                          <pic:cNvPicPr>
                            <a:picLocks noChangeArrowheads="1" noChangeAspect="1"/>
                          </pic:cNvPicPr>
                        </pic:nvPicPr>
                        <pic:blipFill>
                          <a:blip r:embed="rId52"/>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55"/>
        </w:tc>
      </w:tr>
    </w:tbl>
    <w:bookmarkEnd w:id="56"/>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60" w:name="fig-averagehurst"/>
          <w:p>
            <w:pPr>
              <w:pStyle w:val="Compact"/>
              <w:jc w:val="center"/>
            </w:pPr>
            <w:r>
              <w:drawing>
                <wp:inline>
                  <wp:extent cx="4754880" cy="3572639"/>
                  <wp:effectExtent b="0" l="0" r="0" t="0"/>
                  <wp:docPr descr="" title="" id="58" name="Picture"/>
                  <a:graphic>
                    <a:graphicData uri="http://schemas.openxmlformats.org/drawingml/2006/picture">
                      <pic:pic>
                        <pic:nvPicPr>
                          <pic:cNvPr descr="./images/RestMovieHurstAverage.png" id="59" name="Picture"/>
                          <pic:cNvPicPr>
                            <a:picLocks noChangeArrowheads="1" noChangeAspect="1"/>
                          </pic:cNvPicPr>
                        </pic:nvPicPr>
                        <pic:blipFill>
                          <a:blip r:embed="rId57"/>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60"/>
        </w:tc>
      </w:tr>
    </w:tbl>
    <w:bookmarkEnd w:id="61"/>
    <w:bookmarkStart w:id="62"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62"/>
    <w:bookmarkStart w:id="75"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25.7%, 64.2%, and 93%,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63"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9.84 ± 1.06</w:t>
                  </w:r>
                </w:p>
              </w:tc>
              <w:tc>
                <w:tcPr/>
                <w:p>
                  <w:pPr>
                    <w:pStyle w:val="Compact"/>
                    <w:jc w:val="left"/>
                    <w:jc w:val="center"/>
                  </w:pPr>
                  <w:r>
                    <w:t xml:space="preserve">10.04 ± 0.79</w:t>
                  </w:r>
                </w:p>
              </w:tc>
              <w:tc>
                <w:tcPr/>
                <w:p>
                  <w:pPr>
                    <w:pStyle w:val="Compact"/>
                    <w:jc w:val="left"/>
                    <w:jc w:val="center"/>
                  </w:pPr>
                  <w:r>
                    <w:t xml:space="preserve">0.26</w:t>
                  </w:r>
                </w:p>
              </w:tc>
            </w:tr>
            <w:tr>
              <w:tc>
                <w:tcPr/>
                <w:p>
                  <w:pPr>
                    <w:pStyle w:val="Compact"/>
                    <w:jc w:val="left"/>
                    <w:jc w:val="center"/>
                  </w:pPr>
                  <w:r>
                    <w:rPr>
                      <w:b/>
                      <w:bCs/>
                    </w:rPr>
                    <w:t xml:space="preserve">GABA+</w:t>
                  </w:r>
                </w:p>
              </w:tc>
              <w:tc>
                <w:tcPr/>
                <w:p>
                  <w:pPr>
                    <w:pStyle w:val="Compact"/>
                    <w:jc w:val="left"/>
                    <w:jc w:val="center"/>
                  </w:pPr>
                  <w:r>
                    <w:t xml:space="preserve">5.48 ± 0.77</w:t>
                  </w:r>
                </w:p>
              </w:tc>
              <w:tc>
                <w:tcPr/>
                <w:p>
                  <w:pPr>
                    <w:pStyle w:val="Compact"/>
                    <w:jc w:val="left"/>
                    <w:jc w:val="center"/>
                  </w:pPr>
                  <w:r>
                    <w:t xml:space="preserve">5.23 ± 0.71</w:t>
                  </w:r>
                </w:p>
              </w:tc>
              <w:tc>
                <w:tcPr/>
                <w:p>
                  <w:pPr>
                    <w:pStyle w:val="Compact"/>
                    <w:jc w:val="left"/>
                    <w:jc w:val="center"/>
                  </w:pPr>
                  <w:r>
                    <w:t xml:space="preserve">0.17</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r>
              <w:tc>
                <w:tcPr/>
                <w:p>
                  <w:pPr>
                    <w:pStyle w:val="Compact"/>
                    <w:jc w:val="left"/>
                    <w:jc w:val="center"/>
                  </w:pPr>
                  <w:r>
                    <w:rPr>
                      <w:b/>
                      <w:bCs/>
                    </w:rPr>
                    <w:t xml:space="preserve">H</w:t>
                  </w:r>
                </w:p>
              </w:tc>
              <w:tc>
                <w:tcPr/>
                <w:p>
                  <w:pPr>
                    <w:pStyle w:val="Compact"/>
                    <w:jc w:val="left"/>
                    <w:jc w:val="center"/>
                  </w:pPr>
                  <w:r>
                    <w:t xml:space="preserve">0.98 ± 0.98</w:t>
                  </w:r>
                </w:p>
              </w:tc>
              <w:tc>
                <w:tcPr/>
                <w:p>
                  <w:pPr>
                    <w:pStyle w:val="Compact"/>
                    <w:jc w:val="left"/>
                    <w:jc w:val="center"/>
                  </w:pPr>
                  <w:r>
                    <w:t xml:space="preserve">1.05 ± 1.05</w:t>
                  </w:r>
                </w:p>
              </w:tc>
              <w:tc>
                <w:tcPr/>
                <w:p>
                  <w:pPr>
                    <w:pStyle w:val="Compact"/>
                    <w:jc w:val="lef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63"/>
        </w:tc>
      </w:tr>
    </w:tbl>
    <w:bookmarkStart w:id="68" w:name="cell-fig-results"/>
    <w:tbl>
      <w:tblPr>
        <w:tblStyle w:val="Table"/>
        <w:tblW w:type="pct" w:w="5000"/>
        <w:tblLayout w:type="fixed"/>
        <w:tblLook w:firstRow="0" w:lastRow="0" w:firstColumn="0" w:lastColumn="0" w:noHBand="0" w:noVBand="0" w:val="0000"/>
      </w:tblPr>
      <w:tblGrid>
        <w:gridCol w:w="7920"/>
      </w:tblGrid>
      <w:tr>
        <w:tc>
          <w:tcPr/>
          <w:bookmarkStart w:id="67" w:name="fig-results"/>
          <w:p>
            <w:pPr>
              <w:pStyle w:val="Compact"/>
              <w:jc w:val="center"/>
            </w:pPr>
            <w:r>
              <w:drawing>
                <wp:inline>
                  <wp:extent cx="5943600" cy="4754880"/>
                  <wp:effectExtent b="0" l="0" r="0" t="0"/>
                  <wp:docPr descr="" title="" id="65" name="Picture"/>
                  <a:graphic>
                    <a:graphicData uri="http://schemas.openxmlformats.org/drawingml/2006/picture">
                      <pic:pic>
                        <pic:nvPicPr>
                          <pic:cNvPr descr="index_files/figure-docx/fig-results-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67"/>
        </w:tc>
      </w:tr>
    </w:tbl>
    <w:bookmarkEnd w:id="68"/>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73" w:name="cell-fig-correlations"/>
    <w:tbl>
      <w:tblPr>
        <w:tblStyle w:val="Table"/>
        <w:tblW w:type="pct" w:w="5000"/>
        <w:tblLayout w:type="fixed"/>
        <w:tblLook w:firstRow="0" w:lastRow="0" w:firstColumn="0" w:lastColumn="0" w:noHBand="0" w:noVBand="0" w:val="0000"/>
      </w:tblPr>
      <w:tblGrid>
        <w:gridCol w:w="7920"/>
      </w:tblGrid>
      <w:tr>
        <w:tc>
          <w:tcPr/>
          <w:bookmarkStart w:id="72" w:name="fig-correlations"/>
          <w:p>
            <w:pPr>
              <w:pStyle w:val="Compact"/>
              <w:jc w:val="center"/>
            </w:pPr>
            <w:r>
              <w:drawing>
                <wp:inline>
                  <wp:extent cx="5943600" cy="5094514"/>
                  <wp:effectExtent b="0" l="0" r="0" t="0"/>
                  <wp:docPr descr="" title="" id="70" name="Picture"/>
                  <a:graphic>
                    <a:graphicData uri="http://schemas.openxmlformats.org/drawingml/2006/picture">
                      <pic:pic>
                        <pic:nvPicPr>
                          <pic:cNvPr descr="index_files/figure-docx/fig-correlations-1.png" id="71" name="Picture"/>
                          <pic:cNvPicPr>
                            <a:picLocks noChangeArrowheads="1" noChangeAspect="1"/>
                          </pic:cNvPicPr>
                        </pic:nvPicPr>
                        <pic:blipFill>
                          <a:blip r:embed="rId6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72"/>
        </w:tc>
      </w:tr>
    </w:tbl>
    <w:bookmarkEnd w:id="73"/>
    <w:bookmarkStart w:id="74"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74"/>
    <w:bookmarkEnd w:id="75"/>
    <w:bookmarkStart w:id="76"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76"/>
    <w:bookmarkEnd w:id="77"/>
    <w:bookmarkStart w:id="81"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78"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left"/>
                    <w:jc w:val="center"/>
                  </w:pPr>
                  <w:r>
                    <w:t xml:space="preserve">Citation</w:t>
                  </w:r>
                </w:p>
              </w:tc>
              <w:tc>
                <w:tcPr/>
                <w:p>
                  <w:pPr>
                    <w:pStyle w:val="Compact"/>
                    <w:jc w:val="left"/>
                    <w:jc w:val="center"/>
                  </w:pPr>
                  <w:r>
                    <w:t xml:space="preserve">Study Type</w:t>
                  </w:r>
                </w:p>
              </w:tc>
              <w:tc>
                <w:tcPr/>
                <w:p>
                  <w:pPr>
                    <w:pStyle w:val="Compact"/>
                    <w:jc w:val="left"/>
                    <w:jc w:val="center"/>
                  </w:pPr>
                  <w:r>
                    <w:t xml:space="preserve">H Data Type</w:t>
                  </w:r>
                </w:p>
              </w:tc>
              <w:tc>
                <w:tcPr/>
                <w:p>
                  <w:pPr>
                    <w:pStyle w:val="Compact"/>
                    <w:jc w:val="left"/>
                    <w:jc w:val="center"/>
                  </w:pPr>
                  <w:r>
                    <w:t xml:space="preserve">H Calculation Method</w:t>
                  </w:r>
                </w:p>
              </w:tc>
              <w:tc>
                <w:tcPr/>
                <w:p>
                  <w:pPr>
                    <w:pStyle w:val="Compact"/>
                    <w:jc w:val="left"/>
                    <w:jc w:val="center"/>
                  </w:pPr>
                  <w:r>
                    <w:t xml:space="preserve">E:I Type</w:t>
                  </w:r>
                </w:p>
              </w:tc>
              <w:tc>
                <w:tcPr/>
                <w:p>
                  <w:pPr>
                    <w:pStyle w:val="Compact"/>
                    <w:jc w:val="left"/>
                    <w:jc w:val="center"/>
                  </w:pPr>
                  <w:r>
                    <w:t xml:space="preserve">E:I-Hurst Relationship</w:t>
                  </w:r>
                </w:p>
              </w:tc>
            </w:tr>
            <w:tr>
              <w:tc>
                <w:tcPr/>
                <w:p>
                  <w:pPr>
                    <w:pStyle w:val="Compact"/>
                    <w:jc w:val="left"/>
                    <w:jc w:val="center"/>
                  </w:pPr>
                  <w:r>
                    <w:t xml:space="preserve">Poil et al. (2012)</w:t>
                  </w:r>
                  <w:r>
                    <w:rPr>
                      <w:vertAlign w:val="superscript"/>
                    </w:rPr>
                    <w:t xml:space="preserve">7</w:t>
                  </w:r>
                </w:p>
              </w:tc>
              <w:tc>
                <w:tcPr/>
                <w:p>
                  <w:pPr>
                    <w:pStyle w:val="Compact"/>
                    <w:jc w:val="left"/>
                    <w:jc w:val="center"/>
                  </w:pPr>
                  <w:r>
                    <w:t xml:space="preserve">Computational with in-house simulated model</w:t>
                  </w:r>
                </w:p>
              </w:tc>
              <w:tc>
                <w:tcPr/>
                <w:p>
                  <w:pPr>
                    <w:pStyle w:val="Compact"/>
                    <w:jc w:val="left"/>
                    <w:jc w:val="center"/>
                  </w:pPr>
                  <w:r>
                    <w:t xml:space="preserve">Neuronal avalanche size</w:t>
                  </w:r>
                </w:p>
              </w:tc>
              <w:tc>
                <w:tcPr/>
                <w:p>
                  <w:pPr>
                    <w:pStyle w:val="Compact"/>
                    <w:jc w:val="left"/>
                    <w:jc w:val="center"/>
                  </w:pPr>
                  <w:r>
                    <w:t xml:space="preserve">Detrendend fluctuation analysis (DFA)</w:t>
                  </w:r>
                </w:p>
              </w:tc>
              <w:tc>
                <w:tcPr/>
                <w:p>
                  <w:pPr>
                    <w:pStyle w:val="Compact"/>
                    <w:jc w:val="left"/>
                    <w:jc w:val="center"/>
                  </w:pPr>
                  <w:r>
                    <w:t xml:space="preserve">Structural: number of E-to-I neurons</w:t>
                  </w:r>
                </w:p>
              </w:tc>
              <w:tc>
                <w:tcPr/>
                <w:p>
                  <w:pPr>
                    <w:pStyle w:val="Compact"/>
                    <w:jc w:val="left"/>
                    <w:jc w:val="center"/>
                  </w:pPr>
                  <w:r>
                    <w:t xml:space="preserve">Inverse U</w:t>
                  </w:r>
                </w:p>
              </w:tc>
            </w:tr>
            <w:tr>
              <w:tc>
                <w:tcPr/>
                <w:p>
                  <w:pPr>
                    <w:pStyle w:val="Compact"/>
                    <w:jc w:val="left"/>
                    <w:jc w:val="center"/>
                  </w:pPr>
                  <w:r>
                    <w:t xml:space="preserve">Bruining et al. (2020)</w:t>
                  </w:r>
                  <w:r>
                    <w:rPr>
                      <w:vertAlign w:val="superscript"/>
                    </w:rPr>
                    <w:t xml:space="preserve">10</w:t>
                  </w:r>
                </w:p>
              </w:tc>
              <w:tc>
                <w:tcPr/>
                <w:p>
                  <w:pPr>
                    <w:pStyle w:val="Compact"/>
                    <w:jc w:val="left"/>
                    <w:jc w:val="center"/>
                  </w:pPr>
                  <w:r>
                    <w:t xml:space="preserve">Computational with model by Poil et al. (2012); modified in-house</w:t>
                  </w:r>
                </w:p>
              </w:tc>
              <w:tc>
                <w:tcPr/>
                <w:p>
                  <w:pPr>
                    <w:pStyle w:val="Compact"/>
                    <w:jc w:val="left"/>
                    <w:jc w:val="center"/>
                  </w:pPr>
                  <w:r>
                    <w:t xml:space="preserve">Neuronal oscillation amplitude</w:t>
                  </w:r>
                </w:p>
              </w:tc>
              <w:tc>
                <w:tcPr/>
                <w:p>
                  <w:pPr>
                    <w:pStyle w:val="Compact"/>
                    <w:jc w:val="left"/>
                    <w:jc w:val="center"/>
                  </w:pPr>
                  <w:r>
                    <w:t xml:space="preserve">DFA</w:t>
                  </w:r>
                </w:p>
              </w:tc>
              <w:tc>
                <w:tcPr/>
                <w:p>
                  <w:pPr>
                    <w:pStyle w:val="Compact"/>
                    <w:jc w:val="left"/>
                    <w:jc w:val="center"/>
                  </w:pPr>
                  <w:r>
                    <w:t xml:space="preserve">Structural: number of E-to-I synapses</w:t>
                  </w:r>
                </w:p>
              </w:tc>
              <w:tc>
                <w:tcPr/>
                <w:p>
                  <w:pPr>
                    <w:pStyle w:val="Compact"/>
                    <w:jc w:val="left"/>
                    <w:jc w:val="center"/>
                  </w:pPr>
                  <w:r>
                    <w:t xml:space="preserve">Inverse U</w:t>
                  </w:r>
                </w:p>
              </w:tc>
            </w:tr>
            <w:tr>
              <w:tc>
                <w:tcPr/>
                <w:p>
                  <w:pPr>
                    <w:pStyle w:val="Compact"/>
                    <w:jc w:val="left"/>
                    <w:jc w:val="center"/>
                  </w:pPr>
                  <w:r>
                    <w:t xml:space="preserve">Gao et al. (2017)</w:t>
                  </w:r>
                  <w:r>
                    <w:rPr>
                      <w:vertAlign w:val="superscript"/>
                    </w:rPr>
                    <w:t xml:space="preserve">12</w:t>
                  </w:r>
                </w:p>
              </w:tc>
              <w:tc>
                <w:tcPr/>
                <w:p>
                  <w:pPr>
                    <w:pStyle w:val="Compact"/>
                    <w:jc w:val="left"/>
                    <w:jc w:val="center"/>
                  </w:pPr>
                  <w:r>
                    <w:t xml:space="preserve">Computational; in vivo in rats and macaques</w:t>
                  </w:r>
                </w:p>
              </w:tc>
              <w:tc>
                <w:tcPr/>
                <w:p>
                  <w:pPr>
                    <w:pStyle w:val="Compact"/>
                    <w:jc w:val="left"/>
                    <w:jc w:val="center"/>
                  </w:pPr>
                  <w:r>
                    <w:t xml:space="preserve">Local field potential (LFP)</w:t>
                  </w:r>
                </w:p>
              </w:tc>
              <w:tc>
                <w:tcPr/>
                <w:p>
                  <w:pPr>
                    <w:pStyle w:val="Compact"/>
                    <w:jc w:val="left"/>
                    <w:jc w:val="center"/>
                  </w:pPr>
                  <w:r>
                    <w:t xml:space="preserve">PSD</w:t>
                  </w:r>
                </w:p>
              </w:tc>
              <w:tc>
                <w:tcPr/>
                <w:p>
                  <w:pPr>
                    <w:pStyle w:val="Compact"/>
                    <w:jc w:val="left"/>
                    <w:jc w:val="center"/>
                  </w:pPr>
                  <w:r>
                    <w:t xml:space="preserve">Estimated from LFP</w:t>
                  </w:r>
                </w:p>
              </w:tc>
              <w:tc>
                <w:tcPr/>
                <w:p>
                  <w:pPr>
                    <w:pStyle w:val="Compact"/>
                    <w:jc w:val="left"/>
                    <w:jc w:val="center"/>
                  </w:pPr>
                  <w:r>
                    <w:t xml:space="preserve">Positive linear</w:t>
                  </w:r>
                </w:p>
              </w:tc>
            </w:tr>
            <w:tr>
              <w:tc>
                <w:tcPr/>
                <w:p>
                  <w:pPr>
                    <w:pStyle w:val="Compact"/>
                    <w:jc w:val="left"/>
                    <w:jc w:val="center"/>
                  </w:pPr>
                  <w:r>
                    <w:t xml:space="preserve">Lombardi et al. (2017)</w:t>
                  </w:r>
                  <w:r>
                    <w:rPr>
                      <w:vertAlign w:val="superscript"/>
                    </w:rPr>
                    <w:t xml:space="preserve">8</w:t>
                  </w:r>
                </w:p>
              </w:tc>
              <w:tc>
                <w:tcPr/>
                <w:p>
                  <w:pPr>
                    <w:pStyle w:val="Compact"/>
                    <w:jc w:val="left"/>
                    <w:jc w:val="center"/>
                  </w:pPr>
                  <w:r>
                    <w:t xml:space="preserve">Computational with in-house model</w:t>
                  </w:r>
                </w:p>
              </w:tc>
              <w:tc>
                <w:tcPr/>
                <w:p>
                  <w:pPr>
                    <w:pStyle w:val="Compact"/>
                    <w:jc w:val="left"/>
                    <w:jc w:val="center"/>
                  </w:pPr>
                  <w:r>
                    <w:t xml:space="preserve">Neuronal avalanche size</w:t>
                  </w:r>
                </w:p>
              </w:tc>
              <w:tc>
                <w:tcPr/>
                <w:p>
                  <w:pPr>
                    <w:pStyle w:val="Compact"/>
                    <w:jc w:val="left"/>
                    <w:jc w:val="center"/>
                  </w:pPr>
                  <w:r>
                    <w:t xml:space="preserve">PSD</w:t>
                  </w:r>
                </w:p>
              </w:tc>
              <w:tc>
                <w:tcPr/>
                <w:p>
                  <w:pPr>
                    <w:pStyle w:val="Compact"/>
                    <w:jc w:val="left"/>
                    <w:jc w:val="center"/>
                  </w:pPr>
                  <w:r>
                    <w:t xml:space="preserve">Structural: number of E-to-I neurons</w:t>
                  </w:r>
                </w:p>
              </w:tc>
              <w:tc>
                <w:tcPr/>
                <w:p>
                  <w:pPr>
                    <w:pStyle w:val="Compact"/>
                    <w:jc w:val="left"/>
                    <w:jc w:val="center"/>
                  </w:pPr>
                  <w:r>
                    <w:t xml:space="preserve">Negative linear</w:t>
                  </w:r>
                </w:p>
              </w:tc>
            </w:tr>
            <w:tr>
              <w:tc>
                <w:tcPr/>
                <w:p>
                  <w:pPr>
                    <w:pStyle w:val="Compact"/>
                    <w:jc w:val="left"/>
                    <w:jc w:val="center"/>
                  </w:pPr>
                  <w:r>
                    <w:t xml:space="preserve">Trakoshis et al. (2020)</w:t>
                  </w:r>
                  <w:r>
                    <w:rPr>
                      <w:vertAlign w:val="superscript"/>
                    </w:rPr>
                    <w:t xml:space="preserve">11</w:t>
                  </w:r>
                </w:p>
              </w:tc>
              <w:tc>
                <w:tcPr/>
                <w:p>
                  <w:pPr>
                    <w:pStyle w:val="Compact"/>
                    <w:jc w:val="left"/>
                    <w:jc w:val="center"/>
                  </w:pPr>
                  <w:r>
                    <w:t xml:space="preserve">Computational with simulated data; in vivo in mice</w:t>
                  </w:r>
                </w:p>
              </w:tc>
              <w:tc>
                <w:tcPr/>
                <w:p>
                  <w:pPr>
                    <w:pStyle w:val="Compact"/>
                    <w:jc w:val="left"/>
                    <w:jc w:val="center"/>
                  </w:pPr>
                  <w:r>
                    <w:t xml:space="preserve">fMRI BOLD signal</w:t>
                  </w:r>
                </w:p>
              </w:tc>
              <w:tc>
                <w:tcPr/>
                <w:p>
                  <w:pPr>
                    <w:pStyle w:val="Compact"/>
                    <w:jc w:val="left"/>
                    <w:jc w:val="center"/>
                  </w:pPr>
                  <w:r>
                    <w:t xml:space="preserve">Wavelet-based maximum likelihood method</w:t>
                  </w:r>
                </w:p>
              </w:tc>
              <w:tc>
                <w:tcPr/>
                <w:p>
                  <w:pPr>
                    <w:pStyle w:val="Compact"/>
                    <w:jc w:val="left"/>
                    <w:jc w:val="center"/>
                  </w:pPr>
                  <w:r>
                    <w:t xml:space="preserve">E-to-I synaptic conductance</w:t>
                  </w:r>
                </w:p>
              </w:tc>
              <w:tc>
                <w:tcPr/>
                <w:p>
                  <w:pPr>
                    <w:pStyle w:val="Compact"/>
                    <w:jc w:val="left"/>
                    <w:jc w:val="center"/>
                  </w:pPr>
                  <w:r>
                    <w:t xml:space="preserve">Negative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8"/>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79"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w:t>
      </w:r>
      <w:r>
        <w:t xml:space="preserve">cloning</w:t>
      </w:r>
      <w:r>
        <w:t xml:space="preserve">’</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79"/>
    <w:bookmarkStart w:id="80"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80"/>
    <w:bookmarkEnd w:id="81"/>
    <w:bookmarkStart w:id="82"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82"/>
    <w:bookmarkStart w:id="84"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here:</w:t>
      </w:r>
      <w:r>
        <w:t xml:space="preserve"> </w:t>
      </w:r>
      <w:hyperlink r:id="rId83">
        <w:r>
          <w:rPr>
            <w:rStyle w:val="InternetLink"/>
          </w:rPr>
          <w:t xml:space="preserve">weberlab.github.io/EI_Hurst_Manuscript/</w:t>
        </w:r>
      </w:hyperlink>
    </w:p>
    <w:bookmarkEnd w:id="84"/>
    <w:bookmarkStart w:id="85" w:name="competing-interests"/>
    <w:p>
      <w:pPr>
        <w:pStyle w:val="Heading1"/>
      </w:pPr>
      <w:r>
        <w:t xml:space="preserve">Competing interests</w:t>
      </w:r>
    </w:p>
    <w:p>
      <w:pPr>
        <w:pStyle w:val="FirstParagraph"/>
      </w:pPr>
      <w:r>
        <w:t xml:space="preserve">The authors declare they have no known competing interests.</w:t>
      </w:r>
    </w:p>
    <w:bookmarkEnd w:id="85"/>
    <w:bookmarkStart w:id="86"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86"/>
    <w:bookmarkStart w:id="87"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87"/>
    <w:bookmarkStart w:id="376" w:name="references"/>
    <w:p>
      <w:pPr>
        <w:pStyle w:val="Heading1"/>
      </w:pPr>
      <w:r>
        <w:t xml:space="preserve">References</w:t>
      </w:r>
    </w:p>
    <w:bookmarkStart w:id="375" w:name="refs"/>
    <w:bookmarkStart w:id="89" w:name="ref-decoRestingBrainsNever2013"/>
    <w:p>
      <w:pPr>
        <w:pStyle w:val="Bibliography"/>
      </w:pPr>
      <w:r>
        <w:t xml:space="preserve">1.</w:t>
      </w:r>
      <w:r>
        <w:t xml:space="preserve"> </w:t>
      </w:r>
      <w:r>
        <w:t xml:space="preserve">	</w:t>
      </w:r>
      <w:r>
        <w:t xml:space="preserve">Deco, G., Jirsa, V. K. &amp; McIntosh, A. R.</w:t>
      </w:r>
      <w:r>
        <w:t xml:space="preserve"> </w:t>
      </w:r>
      <w:hyperlink r:id="rId88">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9"/>
    <w:bookmarkStart w:id="90"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0"/>
    <w:bookmarkStart w:id="91"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91"/>
    <w:bookmarkStart w:id="93" w:name="X3987a7f9f2843d143a6b08774176d9ab9bc4f8d"/>
    <w:p>
      <w:pPr>
        <w:pStyle w:val="Bibliography"/>
      </w:pPr>
      <w:r>
        <w:t xml:space="preserve">4.</w:t>
      </w:r>
      <w:r>
        <w:t xml:space="preserve"> </w:t>
      </w:r>
      <w:r>
        <w:t xml:space="preserve">	</w:t>
      </w:r>
      <w:r>
        <w:t xml:space="preserve">Bassett, D. S. &amp; Gazzaniga, M. S.</w:t>
      </w:r>
      <w:r>
        <w:t xml:space="preserve"> </w:t>
      </w:r>
      <w:hyperlink r:id="rId92">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93"/>
    <w:bookmarkStart w:id="94"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94"/>
    <w:bookmarkStart w:id="96"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95">
        <w:r>
          <w:rPr>
            <w:rStyle w:val="InternetLink"/>
          </w:rPr>
          <w:t xml:space="preserve">10.1177/10738584231221766</w:t>
        </w:r>
      </w:hyperlink>
      <w:r>
        <w:t xml:space="preserve">.</w:t>
      </w:r>
    </w:p>
    <w:bookmarkEnd w:id="96"/>
    <w:bookmarkStart w:id="98"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7">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8"/>
    <w:bookmarkStart w:id="100"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9">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0"/>
    <w:bookmarkStart w:id="102" w:name="Xfe4345fc4d266d969d4559abe9321e337b060ba"/>
    <w:p>
      <w:pPr>
        <w:pStyle w:val="Bibliography"/>
      </w:pPr>
      <w:r>
        <w:t xml:space="preserve">9.</w:t>
      </w:r>
      <w:r>
        <w:t xml:space="preserve"> </w:t>
      </w:r>
      <w:r>
        <w:t xml:space="preserve">	</w:t>
      </w:r>
      <w:r>
        <w:t xml:space="preserve">Baumgarten, L. &amp; Bornholdt, S.</w:t>
      </w:r>
      <w:r>
        <w:t xml:space="preserve"> </w:t>
      </w:r>
      <w:hyperlink r:id="rId101">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02"/>
    <w:bookmarkStart w:id="104"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03">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04"/>
    <w:bookmarkStart w:id="106"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05">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106"/>
    <w:bookmarkStart w:id="108" w:name="ref-gaoInferringSynapticExcitation2017"/>
    <w:p>
      <w:pPr>
        <w:pStyle w:val="Bibliography"/>
      </w:pPr>
      <w:r>
        <w:t xml:space="preserve">12.</w:t>
      </w:r>
      <w:r>
        <w:t xml:space="preserve"> </w:t>
      </w:r>
      <w:r>
        <w:t xml:space="preserve">	</w:t>
      </w:r>
      <w:r>
        <w:t xml:space="preserve">Gao, R., Peterson, E. J. &amp; Voytek, B.</w:t>
      </w:r>
      <w:r>
        <w:t xml:space="preserve"> </w:t>
      </w:r>
      <w:hyperlink r:id="rId107">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8"/>
    <w:bookmarkStart w:id="110"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9">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0"/>
    <w:bookmarkStart w:id="112"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11">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12"/>
    <w:bookmarkStart w:id="114" w:name="ref-langtonComputationEdgeChaos1990"/>
    <w:p>
      <w:pPr>
        <w:pStyle w:val="Bibliography"/>
      </w:pPr>
      <w:r>
        <w:t xml:space="preserve">15.</w:t>
      </w:r>
      <w:r>
        <w:t xml:space="preserve"> </w:t>
      </w:r>
      <w:r>
        <w:t xml:space="preserve">	</w:t>
      </w:r>
      <w:r>
        <w:t xml:space="preserve">Langton, C. G.</w:t>
      </w:r>
      <w:r>
        <w:t xml:space="preserve"> </w:t>
      </w:r>
      <w:hyperlink r:id="rId113">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14"/>
    <w:bookmarkStart w:id="116"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15">
        <w:r>
          <w:rPr>
            <w:rStyle w:val="InternetLink"/>
          </w:rPr>
          <w:t xml:space="preserve">10.1007/978-1-4757-5426-1</w:t>
        </w:r>
      </w:hyperlink>
      <w:r>
        <w:t xml:space="preserve">.</w:t>
      </w:r>
    </w:p>
    <w:bookmarkEnd w:id="116"/>
    <w:bookmarkStart w:id="118" w:name="ref-rubensteinModelAutismIncreased2003"/>
    <w:p>
      <w:pPr>
        <w:pStyle w:val="Bibliography"/>
      </w:pPr>
      <w:r>
        <w:t xml:space="preserve">17.</w:t>
      </w:r>
      <w:r>
        <w:t xml:space="preserve"> </w:t>
      </w:r>
      <w:r>
        <w:t xml:space="preserve">	</w:t>
      </w:r>
      <w:r>
        <w:t xml:space="preserve">Rubenstein, J. L. R. &amp; Merzenich, M. M.</w:t>
      </w:r>
      <w:r>
        <w:t xml:space="preserve"> </w:t>
      </w:r>
      <w:hyperlink r:id="rId117">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18"/>
    <w:bookmarkStart w:id="120"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19">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20"/>
    <w:bookmarkStart w:id="122" w:name="X64994448b976e637152e47fbc640fd4797f44ad"/>
    <w:p>
      <w:pPr>
        <w:pStyle w:val="Bibliography"/>
      </w:pPr>
      <w:r>
        <w:t xml:space="preserve">19.</w:t>
      </w:r>
      <w:r>
        <w:t xml:space="preserve"> </w:t>
      </w:r>
      <w:r>
        <w:t xml:space="preserve">	</w:t>
      </w:r>
      <w:r>
        <w:t xml:space="preserve">Sohal, V. S. &amp; Rubenstein, J. L. R.</w:t>
      </w:r>
      <w:r>
        <w:t xml:space="preserve"> </w:t>
      </w:r>
      <w:hyperlink r:id="rId121">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22"/>
    <w:bookmarkStart w:id="124" w:name="X15522e51d4999d4481434cec6c8927ac1afe02d"/>
    <w:p>
      <w:pPr>
        <w:pStyle w:val="Bibliography"/>
      </w:pPr>
      <w:r>
        <w:t xml:space="preserve">20.</w:t>
      </w:r>
      <w:r>
        <w:t xml:space="preserve"> </w:t>
      </w:r>
      <w:r>
        <w:t xml:space="preserve">	</w:t>
      </w:r>
      <w:r>
        <w:t xml:space="preserve">Muñoz, M. A.</w:t>
      </w:r>
      <w:r>
        <w:t xml:space="preserve"> </w:t>
      </w:r>
      <w:hyperlink r:id="rId123">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4"/>
    <w:bookmarkStart w:id="126"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25">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6"/>
    <w:bookmarkStart w:id="128"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27">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8"/>
    <w:bookmarkStart w:id="130"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29">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30"/>
    <w:bookmarkStart w:id="132" w:name="ref-bedardMacroscopicModelsLocal2009"/>
    <w:p>
      <w:pPr>
        <w:pStyle w:val="Bibliography"/>
      </w:pPr>
      <w:r>
        <w:t xml:space="preserve">24.</w:t>
      </w:r>
      <w:r>
        <w:t xml:space="preserve"> </w:t>
      </w:r>
      <w:r>
        <w:t xml:space="preserve">	</w:t>
      </w:r>
      <w:r>
        <w:t xml:space="preserve">Bédard, C. &amp; Destexhe, A.</w:t>
      </w:r>
      <w:r>
        <w:t xml:space="preserve"> </w:t>
      </w:r>
      <w:hyperlink r:id="rId131">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2"/>
    <w:bookmarkStart w:id="134"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33">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4"/>
    <w:bookmarkStart w:id="136" w:name="ref-zarahnEmpiricalAnalysesBOLD1997"/>
    <w:p>
      <w:pPr>
        <w:pStyle w:val="Bibliography"/>
      </w:pPr>
      <w:r>
        <w:t xml:space="preserve">26.</w:t>
      </w:r>
      <w:r>
        <w:t xml:space="preserve"> </w:t>
      </w:r>
      <w:r>
        <w:t xml:space="preserve">	</w:t>
      </w:r>
      <w:r>
        <w:t xml:space="preserve">Zarahn, E., Aguirre, G. K. &amp; D’Esposito, M.</w:t>
      </w:r>
      <w:r>
        <w:t xml:space="preserve"> </w:t>
      </w:r>
      <w:hyperlink r:id="rId135">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6"/>
    <w:bookmarkStart w:id="138" w:name="Xd7b015f33a1488d89f221ec12f970e1003b9efe"/>
    <w:p>
      <w:pPr>
        <w:pStyle w:val="Bibliography"/>
      </w:pPr>
      <w:r>
        <w:t xml:space="preserve">27.</w:t>
      </w:r>
      <w:r>
        <w:t xml:space="preserve"> </w:t>
      </w:r>
      <w:r>
        <w:t xml:space="preserve">	</w:t>
      </w:r>
      <w:r>
        <w:t xml:space="preserve">Fadili, M. J. &amp; Bullmore, E. T.</w:t>
      </w:r>
      <w:r>
        <w:t xml:space="preserve"> </w:t>
      </w:r>
      <w:hyperlink r:id="rId137">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8"/>
    <w:bookmarkStart w:id="140" w:name="X790fe44bee6d974469e7b4e816b8211f69a1fdd"/>
    <w:p>
      <w:pPr>
        <w:pStyle w:val="Bibliography"/>
      </w:pPr>
      <w:r>
        <w:t xml:space="preserve">28.</w:t>
      </w:r>
      <w:r>
        <w:t xml:space="preserve"> </w:t>
      </w:r>
      <w:r>
        <w:t xml:space="preserve">	</w:t>
      </w:r>
      <w:r>
        <w:t xml:space="preserve">Campbell, O. L. &amp; Weber, A. M.</w:t>
      </w:r>
      <w:r>
        <w:t xml:space="preserve"> </w:t>
      </w:r>
      <w:hyperlink r:id="rId139">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40"/>
    <w:bookmarkStart w:id="142"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41">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2"/>
    <w:bookmarkStart w:id="144" w:name="ref-hurstLongTermStorageCapacity1951"/>
    <w:p>
      <w:pPr>
        <w:pStyle w:val="Bibliography"/>
      </w:pPr>
      <w:r>
        <w:t xml:space="preserve">30.</w:t>
      </w:r>
      <w:r>
        <w:t xml:space="preserve"> </w:t>
      </w:r>
      <w:r>
        <w:t xml:space="preserve">	</w:t>
      </w:r>
      <w:r>
        <w:t xml:space="preserve">Hurst, H. E.</w:t>
      </w:r>
      <w:r>
        <w:t xml:space="preserve"> </w:t>
      </w:r>
      <w:hyperlink r:id="rId143">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4"/>
    <w:bookmarkStart w:id="145"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5"/>
    <w:bookmarkStart w:id="147"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46">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7"/>
    <w:bookmarkStart w:id="149" w:name="X67f88f309fcd2f4a1598267ccaa3cd1cbb49c50"/>
    <w:p>
      <w:pPr>
        <w:pStyle w:val="Bibliography"/>
      </w:pPr>
      <w:r>
        <w:t xml:space="preserve">33.</w:t>
      </w:r>
      <w:r>
        <w:t xml:space="preserve"> </w:t>
      </w:r>
      <w:r>
        <w:t xml:space="preserve">	</w:t>
      </w:r>
      <w:r>
        <w:t xml:space="preserve">Ciuciu, P., Abry, P. &amp; He, B. J.</w:t>
      </w:r>
      <w:r>
        <w:t xml:space="preserve"> </w:t>
      </w:r>
      <w:hyperlink r:id="rId148">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9"/>
    <w:bookmarkStart w:id="151" w:name="ref-heScaleFreePropertiesFunctional2011"/>
    <w:p>
      <w:pPr>
        <w:pStyle w:val="Bibliography"/>
      </w:pPr>
      <w:r>
        <w:t xml:space="preserve">34.</w:t>
      </w:r>
      <w:r>
        <w:t xml:space="preserve"> </w:t>
      </w:r>
      <w:r>
        <w:t xml:space="preserve">	</w:t>
      </w:r>
      <w:r>
        <w:t xml:space="preserve">He, B. J.</w:t>
      </w:r>
      <w:r>
        <w:t xml:space="preserve"> </w:t>
      </w:r>
      <w:hyperlink r:id="rId150">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1"/>
    <w:bookmarkStart w:id="152"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2"/>
    <w:bookmarkStart w:id="154"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53">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4"/>
    <w:bookmarkStart w:id="156"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55">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6"/>
    <w:bookmarkStart w:id="158"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57">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8"/>
    <w:bookmarkStart w:id="160"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59">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60"/>
    <w:bookmarkStart w:id="162" w:name="ref-warsiCorrelatingBrainBlood2012"/>
    <w:p>
      <w:pPr>
        <w:pStyle w:val="Bibliography"/>
      </w:pPr>
      <w:r>
        <w:t xml:space="preserve">40.</w:t>
      </w:r>
      <w:r>
        <w:t xml:space="preserve"> </w:t>
      </w:r>
      <w:r>
        <w:t xml:space="preserve">	</w:t>
      </w:r>
      <w:r>
        <w:t xml:space="preserve">Warsi, M. A., Molloy, W. &amp; Noseworthy, M. D.</w:t>
      </w:r>
      <w:r>
        <w:t xml:space="preserve"> </w:t>
      </w:r>
      <w:hyperlink r:id="rId161">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2"/>
    <w:bookmarkStart w:id="164" w:name="ref-donaTemporalFractalAnalysis2017"/>
    <w:p>
      <w:pPr>
        <w:pStyle w:val="Bibliography"/>
      </w:pPr>
      <w:r>
        <w:t xml:space="preserve">41.</w:t>
      </w:r>
      <w:r>
        <w:t xml:space="preserve"> </w:t>
      </w:r>
      <w:r>
        <w:t xml:space="preserve">	</w:t>
      </w:r>
      <w:r>
        <w:t xml:space="preserve">Dona, O., Hall, G. B. &amp; Noseworthy, M. D.</w:t>
      </w:r>
      <w:r>
        <w:t xml:space="preserve"> </w:t>
      </w:r>
      <w:hyperlink r:id="rId163">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4"/>
    <w:bookmarkStart w:id="166"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65">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6"/>
    <w:bookmarkStart w:id="168"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7">
        <w:r>
          <w:rPr>
            <w:rStyle w:val="InternetLink"/>
          </w:rPr>
          <w:t xml:space="preserve">10.1016/j.bpsc.2024.09.003</w:t>
        </w:r>
      </w:hyperlink>
      <w:r>
        <w:t xml:space="preserve">.</w:t>
      </w:r>
    </w:p>
    <w:bookmarkEnd w:id="168"/>
    <w:bookmarkStart w:id="170"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9">
        <w:r>
          <w:rPr>
            <w:rStyle w:val="InternetLink"/>
          </w:rPr>
          <w:t xml:space="preserve">10.1101/2022.05.24.22275531</w:t>
        </w:r>
      </w:hyperlink>
      <w:r>
        <w:t xml:space="preserve">.</w:t>
      </w:r>
    </w:p>
    <w:bookmarkEnd w:id="170"/>
    <w:bookmarkStart w:id="172"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71">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2"/>
    <w:bookmarkStart w:id="174"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73">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4"/>
    <w:bookmarkStart w:id="176"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75">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6"/>
    <w:bookmarkStart w:id="178"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77">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8"/>
    <w:bookmarkStart w:id="180"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79">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0"/>
    <w:bookmarkStart w:id="182"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81">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2"/>
    <w:bookmarkStart w:id="184" w:name="X195a6a133ec6fab0acbef6fbf212c03ad0ed323"/>
    <w:p>
      <w:pPr>
        <w:pStyle w:val="Bibliography"/>
      </w:pPr>
      <w:r>
        <w:t xml:space="preserve">51.</w:t>
      </w:r>
      <w:r>
        <w:t xml:space="preserve"> </w:t>
      </w:r>
      <w:r>
        <w:t xml:space="preserve">	</w:t>
      </w:r>
      <w:r>
        <w:t xml:space="preserve">Page, C. E. &amp; Coutellier, L.</w:t>
      </w:r>
      <w:r>
        <w:t xml:space="preserve"> </w:t>
      </w:r>
      <w:hyperlink r:id="rId183">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4"/>
    <w:bookmarkStart w:id="186"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85">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6"/>
    <w:bookmarkStart w:id="188"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87">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88"/>
    <w:bookmarkStart w:id="190" w:name="X33af55f10e3529ea3b703273ed55b97973a9c47"/>
    <w:p>
      <w:pPr>
        <w:pStyle w:val="Bibliography"/>
      </w:pPr>
      <w:r>
        <w:t xml:space="preserve">54.</w:t>
      </w:r>
      <w:r>
        <w:t xml:space="preserve"> </w:t>
      </w:r>
      <w:r>
        <w:t xml:space="preserve">	</w:t>
      </w:r>
      <w:r>
        <w:t xml:space="preserve">Stanley, J. A. &amp; Raz, N.</w:t>
      </w:r>
      <w:r>
        <w:t xml:space="preserve"> </w:t>
      </w:r>
      <w:hyperlink r:id="rId189">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0"/>
    <w:bookmarkStart w:id="192" w:name="ref-harrisEdited1Magnetic2017"/>
    <w:p>
      <w:pPr>
        <w:pStyle w:val="Bibliography"/>
      </w:pPr>
      <w:r>
        <w:t xml:space="preserve">55.</w:t>
      </w:r>
      <w:r>
        <w:t xml:space="preserve"> </w:t>
      </w:r>
      <w:r>
        <w:t xml:space="preserve">	</w:t>
      </w:r>
      <w:r>
        <w:t xml:space="preserve">Harris, A. D., Saleh, M. G. &amp; Edden, R. A. E.</w:t>
      </w:r>
      <w:r>
        <w:t xml:space="preserve"> </w:t>
      </w:r>
      <w:hyperlink r:id="rId191">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2"/>
    <w:bookmarkStart w:id="194"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93">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4"/>
    <w:bookmarkStart w:id="196"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95">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96"/>
    <w:bookmarkStart w:id="198"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97">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98"/>
    <w:bookmarkStart w:id="200" w:name="X57bd0e2605c22795c5bd8ffc8a5c4acda84f88f"/>
    <w:p>
      <w:pPr>
        <w:pStyle w:val="Bibliography"/>
      </w:pPr>
      <w:r>
        <w:t xml:space="preserve">59.</w:t>
      </w:r>
      <w:r>
        <w:t xml:space="preserve"> </w:t>
      </w:r>
      <w:r>
        <w:t xml:space="preserve">	</w:t>
      </w:r>
      <w:r>
        <w:t xml:space="preserve">Beggs, J. M. &amp; Plenz, D.</w:t>
      </w:r>
      <w:r>
        <w:t xml:space="preserve"> </w:t>
      </w:r>
      <w:hyperlink r:id="rId199">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200"/>
    <w:bookmarkStart w:id="202" w:name="Xdb649a1852d5606ef37cf9435a5ad42696389d3"/>
    <w:p>
      <w:pPr>
        <w:pStyle w:val="Bibliography"/>
      </w:pPr>
      <w:r>
        <w:t xml:space="preserve">60.</w:t>
      </w:r>
      <w:r>
        <w:t xml:space="preserve"> </w:t>
      </w:r>
      <w:r>
        <w:t xml:space="preserve">	</w:t>
      </w:r>
      <w:r>
        <w:t xml:space="preserve">Gireesh, E. D. &amp; Plenz, D.</w:t>
      </w:r>
      <w:r>
        <w:t xml:space="preserve"> </w:t>
      </w:r>
      <w:hyperlink r:id="rId201">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202"/>
    <w:bookmarkStart w:id="204" w:name="ref-yangMaximalVariabilityPhase2012"/>
    <w:p>
      <w:pPr>
        <w:pStyle w:val="Bibliography"/>
      </w:pPr>
      <w:r>
        <w:t xml:space="preserve">61.</w:t>
      </w:r>
      <w:r>
        <w:t xml:space="preserve"> </w:t>
      </w:r>
      <w:r>
        <w:t xml:space="preserve">	</w:t>
      </w:r>
      <w:r>
        <w:t xml:space="preserve">Yang, H., Shew, W. L., Roy, R. &amp; Plenz, D.</w:t>
      </w:r>
      <w:r>
        <w:t xml:space="preserve"> </w:t>
      </w:r>
      <w:hyperlink r:id="rId203">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204"/>
    <w:bookmarkStart w:id="206" w:name="ref-obyrneHowCriticalBrain2022"/>
    <w:p>
      <w:pPr>
        <w:pStyle w:val="Bibliography"/>
      </w:pPr>
      <w:r>
        <w:t xml:space="preserve">62.</w:t>
      </w:r>
      <w:r>
        <w:t xml:space="preserve"> </w:t>
      </w:r>
      <w:r>
        <w:t xml:space="preserve">	</w:t>
      </w:r>
      <w:r>
        <w:t xml:space="preserve">O’Byrne, J. &amp; Jerbi, K.</w:t>
      </w:r>
      <w:r>
        <w:t xml:space="preserve"> </w:t>
      </w:r>
      <w:hyperlink r:id="rId205">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206"/>
    <w:bookmarkStart w:id="208"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207">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208"/>
    <w:bookmarkStart w:id="210"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209">
        <w:r>
          <w:rPr>
            <w:rStyle w:val="InternetLink"/>
          </w:rPr>
          <w:t xml:space="preserve">10.5463/thesis.144</w:t>
        </w:r>
      </w:hyperlink>
      <w:r>
        <w:t xml:space="preserve">.</w:t>
      </w:r>
    </w:p>
    <w:bookmarkEnd w:id="210"/>
    <w:bookmarkStart w:id="212"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11">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12"/>
    <w:bookmarkStart w:id="214" w:name="X53ee3219835bedd3e8024e256fb42bd968bf7fb"/>
    <w:p>
      <w:pPr>
        <w:pStyle w:val="Bibliography"/>
      </w:pPr>
      <w:r>
        <w:t xml:space="preserve">66.</w:t>
      </w:r>
      <w:r>
        <w:t xml:space="preserve"> </w:t>
      </w:r>
      <w:r>
        <w:t xml:space="preserve">	</w:t>
      </w:r>
      <w:r>
        <w:t xml:space="preserve">Ikeda, N., Akita, D. &amp; Takahashi, H.</w:t>
      </w:r>
      <w:r>
        <w:t xml:space="preserve"> </w:t>
      </w:r>
      <w:hyperlink r:id="rId213">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14"/>
    <w:bookmarkStart w:id="216"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15">
        <w:r>
          <w:rPr>
            <w:rStyle w:val="InternetLink"/>
          </w:rPr>
          <w:t xml:space="preserve">10.1101/2024.04.22.590555</w:t>
        </w:r>
      </w:hyperlink>
      <w:r>
        <w:t xml:space="preserve">.</w:t>
      </w:r>
    </w:p>
    <w:bookmarkEnd w:id="216"/>
    <w:bookmarkStart w:id="218"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17">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18"/>
    <w:bookmarkStart w:id="220"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19">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20"/>
    <w:bookmarkStart w:id="222"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21">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22"/>
    <w:bookmarkStart w:id="224"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23">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24"/>
    <w:bookmarkStart w:id="226"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25">
        <w:r>
          <w:rPr>
            <w:rStyle w:val="InternetLink"/>
          </w:rPr>
          <w:t xml:space="preserve">10.58530/2024/1922</w:t>
        </w:r>
      </w:hyperlink>
      <w:r>
        <w:t xml:space="preserve">.</w:t>
      </w:r>
    </w:p>
    <w:bookmarkEnd w:id="226"/>
    <w:bookmarkStart w:id="228"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27">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28"/>
    <w:bookmarkStart w:id="230" w:name="X2deb2be2adb62c9f33832d8596f4171cb63eb82"/>
    <w:p>
      <w:pPr>
        <w:pStyle w:val="Bibliography"/>
      </w:pPr>
      <w:r>
        <w:t xml:space="preserve">74.</w:t>
      </w:r>
      <w:r>
        <w:t xml:space="preserve"> </w:t>
      </w:r>
      <w:r>
        <w:t xml:space="preserve">	</w:t>
      </w:r>
      <w:r>
        <w:t xml:space="preserve">Oz, G. &amp; Tkáč, I.</w:t>
      </w:r>
      <w:r>
        <w:t xml:space="preserve"> </w:t>
      </w:r>
      <w:hyperlink r:id="rId229">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30"/>
    <w:bookmarkStart w:id="232"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31">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32"/>
    <w:bookmarkStart w:id="233"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33"/>
    <w:bookmarkStart w:id="235"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34">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35"/>
    <w:bookmarkStart w:id="237"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3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37"/>
    <w:bookmarkStart w:id="239"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38">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39"/>
    <w:bookmarkStart w:id="241"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40">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41"/>
    <w:bookmarkStart w:id="243"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42">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43"/>
    <w:bookmarkStart w:id="245"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44">
        <w:r>
          <w:rPr>
            <w:rStyle w:val="InternetLink"/>
          </w:rPr>
          <w:t xml:space="preserve">10.5281/zenodo.8436509</w:t>
        </w:r>
      </w:hyperlink>
      <w:r>
        <w:t xml:space="preserve">.</w:t>
      </w:r>
    </w:p>
    <w:bookmarkEnd w:id="245"/>
    <w:bookmarkStart w:id="247"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46">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47"/>
    <w:bookmarkStart w:id="249"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48">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49"/>
    <w:bookmarkStart w:id="251"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50">
        <w:r>
          <w:rPr>
            <w:rStyle w:val="InternetLink"/>
          </w:rPr>
          <w:t xml:space="preserve">10.5281/zenodo.50186</w:t>
        </w:r>
      </w:hyperlink>
      <w:r>
        <w:t xml:space="preserve">.</w:t>
      </w:r>
    </w:p>
    <w:bookmarkEnd w:id="251"/>
    <w:bookmarkStart w:id="253" w:name="ref-zhangSegmentationBrainMR2001"/>
    <w:p>
      <w:pPr>
        <w:pStyle w:val="Bibliography"/>
      </w:pPr>
      <w:r>
        <w:t xml:space="preserve">86.</w:t>
      </w:r>
      <w:r>
        <w:t xml:space="preserve"> </w:t>
      </w:r>
      <w:r>
        <w:t xml:space="preserve">	</w:t>
      </w:r>
      <w:r>
        <w:t xml:space="preserve">Zhang, Y., Brady, M. &amp; Smith, S.</w:t>
      </w:r>
      <w:r>
        <w:t xml:space="preserve"> </w:t>
      </w:r>
      <w:hyperlink r:id="rId252">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53"/>
    <w:bookmarkStart w:id="255"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54">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55"/>
    <w:bookmarkStart w:id="257" w:name="ref-daleCorticalSurfacebasedAnalysis1999"/>
    <w:p>
      <w:pPr>
        <w:pStyle w:val="Bibliography"/>
      </w:pPr>
      <w:r>
        <w:t xml:space="preserve">88.</w:t>
      </w:r>
      <w:r>
        <w:t xml:space="preserve"> </w:t>
      </w:r>
      <w:r>
        <w:t xml:space="preserve">	</w:t>
      </w:r>
      <w:r>
        <w:t xml:space="preserve">Dale, A. M., Fischl, B. &amp; Sereno, M. I.</w:t>
      </w:r>
      <w:r>
        <w:t xml:space="preserve"> </w:t>
      </w:r>
      <w:hyperlink r:id="rId256">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57"/>
    <w:bookmarkStart w:id="259"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58">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59"/>
    <w:bookmarkStart w:id="261"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60">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61"/>
    <w:bookmarkStart w:id="263"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62">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63"/>
    <w:bookmarkStart w:id="265" w:name="ref-coxAFNISoftwareAnalysis1996"/>
    <w:p>
      <w:pPr>
        <w:pStyle w:val="Bibliography"/>
      </w:pPr>
      <w:r>
        <w:t xml:space="preserve">92.</w:t>
      </w:r>
      <w:r>
        <w:t xml:space="preserve"> </w:t>
      </w:r>
      <w:r>
        <w:t xml:space="preserve">	</w:t>
      </w:r>
      <w:r>
        <w:t xml:space="preserve">Cox, R. W.</w:t>
      </w:r>
      <w:r>
        <w:t xml:space="preserve"> </w:t>
      </w:r>
      <w:hyperlink r:id="rId264">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65"/>
    <w:bookmarkStart w:id="267"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66">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67"/>
    <w:bookmarkStart w:id="269"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68">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69"/>
    <w:bookmarkStart w:id="271"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70">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71"/>
    <w:bookmarkStart w:id="273" w:name="Xa737e5e392e4bcd51c7fd23331cbb80e3818b9a"/>
    <w:p>
      <w:pPr>
        <w:pStyle w:val="Bibliography"/>
      </w:pPr>
      <w:r>
        <w:t xml:space="preserve">96.</w:t>
      </w:r>
      <w:r>
        <w:t xml:space="preserve"> </w:t>
      </w:r>
      <w:r>
        <w:t xml:space="preserve">	</w:t>
      </w:r>
      <w:r>
        <w:t xml:space="preserve">Provencher, S. W.</w:t>
      </w:r>
      <w:r>
        <w:t xml:space="preserve"> </w:t>
      </w:r>
      <w:hyperlink r:id="rId272">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73"/>
    <w:bookmarkStart w:id="275"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74">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75"/>
    <w:bookmarkStart w:id="277" w:name="ref-ramadanGlutamateGlutamineReview2013"/>
    <w:p>
      <w:pPr>
        <w:pStyle w:val="Bibliography"/>
      </w:pPr>
      <w:r>
        <w:t xml:space="preserve">98.</w:t>
      </w:r>
      <w:r>
        <w:t xml:space="preserve"> </w:t>
      </w:r>
      <w:r>
        <w:t xml:space="preserve">	</w:t>
      </w:r>
      <w:r>
        <w:t xml:space="preserve">Ramadan, S., Lin, A. &amp; Stanwell, P.</w:t>
      </w:r>
      <w:r>
        <w:t xml:space="preserve"> </w:t>
      </w:r>
      <w:hyperlink r:id="rId276">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77"/>
    <w:bookmarkStart w:id="279"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78">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79"/>
    <w:bookmarkStart w:id="281"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80">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81"/>
    <w:bookmarkStart w:id="283"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82">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83"/>
    <w:bookmarkStart w:id="285" w:name="ref-bouchardNoiseDecorrelationCoil2025"/>
    <w:p>
      <w:pPr>
        <w:pStyle w:val="Bibliography"/>
      </w:pPr>
      <w:r>
        <w:t xml:space="preserve">102.</w:t>
      </w:r>
      <w:r>
        <w:t xml:space="preserve"> </w:t>
      </w:r>
      <w:r>
        <w:t xml:space="preserve">	</w:t>
      </w:r>
      <w:r>
        <w:t xml:space="preserve">Bouchard, A. E. &amp; Mikkelsen, M.</w:t>
      </w:r>
      <w:r>
        <w:t xml:space="preserve"> </w:t>
      </w:r>
      <w:hyperlink r:id="rId284">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85"/>
    <w:bookmarkStart w:id="287"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86">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87"/>
    <w:bookmarkStart w:id="289"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88">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89"/>
    <w:bookmarkStart w:id="291"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90">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91"/>
    <w:bookmarkStart w:id="292"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92"/>
    <w:bookmarkStart w:id="294"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93">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94"/>
    <w:bookmarkStart w:id="296" w:name="X3bd4325490f39fc8d86d2a451dd0fe154a395df"/>
    <w:p>
      <w:pPr>
        <w:pStyle w:val="Bibliography"/>
      </w:pPr>
      <w:r>
        <w:t xml:space="preserve">108.</w:t>
      </w:r>
      <w:r>
        <w:t xml:space="preserve"> </w:t>
      </w:r>
      <w:r>
        <w:t xml:space="preserve">	</w:t>
      </w:r>
      <w:r>
        <w:t xml:space="preserve">Rideaux, R.</w:t>
      </w:r>
      <w:r>
        <w:t xml:space="preserve"> </w:t>
      </w:r>
      <w:hyperlink r:id="rId295">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96"/>
    <w:bookmarkStart w:id="298"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97">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98"/>
    <w:bookmarkStart w:id="300"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99">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300"/>
    <w:bookmarkStart w:id="302"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301">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302"/>
    <w:bookmarkStart w:id="304"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303">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304"/>
    <w:bookmarkStart w:id="306" w:name="ref-welchUseFastFourier1967"/>
    <w:p>
      <w:pPr>
        <w:pStyle w:val="Bibliography"/>
      </w:pPr>
      <w:r>
        <w:t xml:space="preserve">113.</w:t>
      </w:r>
      <w:r>
        <w:t xml:space="preserve"> </w:t>
      </w:r>
      <w:r>
        <w:t xml:space="preserve">	</w:t>
      </w:r>
      <w:r>
        <w:t xml:space="preserve">Welch, P.</w:t>
      </w:r>
      <w:r>
        <w:t xml:space="preserve"> </w:t>
      </w:r>
      <w:hyperlink r:id="rId305">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306"/>
    <w:bookmarkStart w:id="308"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307">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308"/>
    <w:bookmarkStart w:id="310"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309">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310"/>
    <w:bookmarkStart w:id="312"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11">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12"/>
    <w:bookmarkStart w:id="314"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13">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14"/>
    <w:bookmarkStart w:id="316"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15">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16"/>
    <w:bookmarkStart w:id="317"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17"/>
    <w:bookmarkStart w:id="319" w:name="ref-studentProbableErrorMean1908"/>
    <w:p>
      <w:pPr>
        <w:pStyle w:val="Bibliography"/>
      </w:pPr>
      <w:r>
        <w:t xml:space="preserve">120.</w:t>
      </w:r>
      <w:r>
        <w:t xml:space="preserve"> </w:t>
      </w:r>
      <w:r>
        <w:t xml:space="preserve">	</w:t>
      </w:r>
      <w:r>
        <w:t xml:space="preserve">Student.</w:t>
      </w:r>
      <w:r>
        <w:t xml:space="preserve"> </w:t>
      </w:r>
      <w:hyperlink r:id="rId318">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19"/>
    <w:bookmarkStart w:id="320"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20"/>
    <w:bookmarkStart w:id="322"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21">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22"/>
    <w:bookmarkStart w:id="324"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23">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24"/>
    <w:bookmarkStart w:id="326" w:name="ref-barnesEndogenousHumanBrain2009"/>
    <w:p>
      <w:pPr>
        <w:pStyle w:val="Bibliography"/>
      </w:pPr>
      <w:r>
        <w:t xml:space="preserve">124.</w:t>
      </w:r>
      <w:r>
        <w:t xml:space="preserve"> </w:t>
      </w:r>
      <w:r>
        <w:t xml:space="preserve">	</w:t>
      </w:r>
      <w:r>
        <w:t xml:space="preserve">Barnes, A., Bullmore, E. T. &amp; Suckling, J.</w:t>
      </w:r>
      <w:r>
        <w:t xml:space="preserve"> </w:t>
      </w:r>
      <w:hyperlink r:id="rId325">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26"/>
    <w:bookmarkStart w:id="328"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27">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28"/>
    <w:bookmarkStart w:id="330"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29">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30"/>
    <w:bookmarkStart w:id="332"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31">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32"/>
    <w:bookmarkStart w:id="334"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33">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34"/>
    <w:bookmarkStart w:id="336"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35">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36"/>
    <w:bookmarkStart w:id="338"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37">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38"/>
    <w:bookmarkStart w:id="340" w:name="ref-staggRoleGABAHuman2011"/>
    <w:p>
      <w:pPr>
        <w:pStyle w:val="Bibliography"/>
      </w:pPr>
      <w:r>
        <w:t xml:space="preserve">131.</w:t>
      </w:r>
      <w:r>
        <w:t xml:space="preserve"> </w:t>
      </w:r>
      <w:r>
        <w:t xml:space="preserve">	</w:t>
      </w:r>
      <w:r>
        <w:t xml:space="preserve">Stagg, C. J., Bachtiar, V. &amp; Johansen-Berg, H.</w:t>
      </w:r>
      <w:r>
        <w:t xml:space="preserve"> </w:t>
      </w:r>
      <w:hyperlink r:id="rId339">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40"/>
    <w:bookmarkStart w:id="342" w:name="Xc23bd815f845e5380371f8632e8bf49cbd2c5fa"/>
    <w:p>
      <w:pPr>
        <w:pStyle w:val="Bibliography"/>
      </w:pPr>
      <w:r>
        <w:t xml:space="preserve">132.</w:t>
      </w:r>
      <w:r>
        <w:t xml:space="preserve"> </w:t>
      </w:r>
      <w:r>
        <w:t xml:space="preserve">	</w:t>
      </w:r>
      <w:r>
        <w:t xml:space="preserve">Mangia, S., Giove, F. &amp; Dinuzzo, M.</w:t>
      </w:r>
      <w:r>
        <w:t xml:space="preserve"> </w:t>
      </w:r>
      <w:hyperlink r:id="rId341">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42"/>
    <w:bookmarkStart w:id="344"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43">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44"/>
    <w:bookmarkStart w:id="346"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45">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46"/>
    <w:bookmarkStart w:id="348"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47">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48"/>
    <w:bookmarkStart w:id="350"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49">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50"/>
    <w:bookmarkStart w:id="352"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51">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52"/>
    <w:bookmarkStart w:id="354"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53">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54"/>
    <w:bookmarkStart w:id="356"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55">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56"/>
    <w:bookmarkStart w:id="358"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57">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58"/>
    <w:bookmarkStart w:id="360"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59">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60"/>
    <w:bookmarkStart w:id="362"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61">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62"/>
    <w:bookmarkStart w:id="364" w:name="ref-mullinsTheoryFunctionalMagnetic2018"/>
    <w:p>
      <w:pPr>
        <w:pStyle w:val="Bibliography"/>
      </w:pPr>
      <w:r>
        <w:t xml:space="preserve">143.</w:t>
      </w:r>
      <w:r>
        <w:t xml:space="preserve"> </w:t>
      </w:r>
      <w:r>
        <w:t xml:space="preserve">	</w:t>
      </w:r>
      <w:r>
        <w:t xml:space="preserve">Mullins, P. G.</w:t>
      </w:r>
      <w:r>
        <w:t xml:space="preserve"> </w:t>
      </w:r>
      <w:hyperlink r:id="rId363">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64"/>
    <w:bookmarkStart w:id="366"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65">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66"/>
    <w:bookmarkStart w:id="368"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67">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68"/>
    <w:bookmarkStart w:id="370"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69">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70"/>
    <w:bookmarkStart w:id="372"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71">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72"/>
    <w:bookmarkStart w:id="374"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73">
        <w:r>
          <w:rPr>
            <w:rStyle w:val="InternetLink"/>
          </w:rPr>
          <w:t xml:space="preserve">10.1101/2025.06.07.657685</w:t>
        </w:r>
      </w:hyperlink>
      <w:r>
        <w:t xml:space="preserve">.</w:t>
      </w:r>
    </w:p>
    <w:bookmarkEnd w:id="374"/>
    <w:bookmarkEnd w:id="375"/>
    <w:bookmarkEnd w:id="376"/>
    <w:bookmarkStart w:id="427" w:name="supplementary-material"/>
    <w:p>
      <w:pPr>
        <w:pStyle w:val="Heading1"/>
      </w:pPr>
      <w:r>
        <w:t xml:space="preserve">Supplementary Material</w:t>
      </w:r>
    </w:p>
    <w:bookmarkStart w:id="379"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left"/>
                    <w:jc w:val="center"/>
                  </w:pPr>
                  <w:r>
                    <w:t xml:space="preserve">Rest sLASER</w:t>
                  </w:r>
                </w:p>
              </w:tc>
              <w:tc>
                <w:tcPr/>
                <w:p>
                  <w:pPr>
                    <w:pStyle w:val="Compact"/>
                    <w:jc w:val="left"/>
                    <w:jc w:val="center"/>
                  </w:pPr>
                  <w:r>
                    <w:t xml:space="preserve">Rest MEGA-PRESS</w:t>
                  </w:r>
                </w:p>
              </w:tc>
              <w:tc>
                <w:tcPr/>
                <w:p>
                  <w:pPr>
                    <w:pStyle w:val="Compact"/>
                    <w:jc w:val="left"/>
                    <w:jc w:val="center"/>
                  </w:pPr>
                  <w:r>
                    <w:t xml:space="preserve">Movie sLASER</w:t>
                  </w:r>
                </w:p>
              </w:tc>
              <w:tc>
                <w:tcPr/>
                <w:p>
                  <w:pPr>
                    <w:pStyle w:val="Compact"/>
                    <w:jc w:val="left"/>
                    <w:jc w:val="center"/>
                  </w:pPr>
                  <w:r>
                    <w:t xml:space="preserve">Movie MEGA-PRESS</w:t>
                  </w:r>
                </w:p>
              </w:tc>
            </w:tr>
            <w:tr>
              <w:tc>
                <w:tcPr/>
                <w:p>
                  <w:pPr>
                    <w:pStyle w:val="Compact"/>
                    <w:jc w:val="left"/>
                    <w:jc w:val="center"/>
                  </w:pPr>
                  <w:r>
                    <w:t xml:space="preserve">water FWHM (Hz)</w:t>
                  </w:r>
                </w:p>
              </w:tc>
              <w:tc>
                <w:tcPr/>
                <w:p>
                  <w:pPr>
                    <w:pStyle w:val="Compact"/>
                    <w:jc w:val="left"/>
                    <w:jc w:val="center"/>
                  </w:pPr>
                  <w:r>
                    <w:t xml:space="preserve">8.47 ± 0.66</w:t>
                  </w:r>
                </w:p>
              </w:tc>
              <w:tc>
                <w:tcPr/>
                <w:p>
                  <w:pPr>
                    <w:pStyle w:val="Compact"/>
                    <w:jc w:val="left"/>
                    <w:jc w:val="center"/>
                  </w:pPr>
                  <w:r>
                    <w:t xml:space="preserve">7.86 ± 0.8</w:t>
                  </w:r>
                </w:p>
              </w:tc>
              <w:tc>
                <w:tcPr/>
                <w:p>
                  <w:pPr>
                    <w:pStyle w:val="Compact"/>
                    <w:jc w:val="left"/>
                    <w:jc w:val="center"/>
                  </w:pPr>
                  <w:r>
                    <w:t xml:space="preserve">8.32 ± 0.72</w:t>
                  </w:r>
                </w:p>
              </w:tc>
              <w:tc>
                <w:tcPr/>
                <w:p>
                  <w:pPr>
                    <w:pStyle w:val="Compact"/>
                    <w:jc w:val="left"/>
                    <w:jc w:val="center"/>
                  </w:pPr>
                  <w:r>
                    <w:t xml:space="preserve">7.95 ± 0.82</w:t>
                  </w:r>
                </w:p>
              </w:tc>
            </w:tr>
            <w:tr>
              <w:tc>
                <w:tcPr/>
                <w:p>
                  <w:pPr>
                    <w:pStyle w:val="Compact"/>
                    <w:jc w:val="left"/>
                    <w:jc w:val="center"/>
                  </w:pPr>
                  <w:r>
                    <w:t xml:space="preserve">Cr SNR</w:t>
                  </w:r>
                </w:p>
              </w:tc>
              <w:tc>
                <w:tcPr/>
                <w:p>
                  <w:pPr>
                    <w:pStyle w:val="Compact"/>
                    <w:jc w:val="left"/>
                    <w:jc w:val="center"/>
                  </w:pPr>
                  <w:r>
                    <w:t xml:space="preserve">147.61 ± 20.46</w:t>
                  </w:r>
                </w:p>
              </w:tc>
              <w:tc>
                <w:tcPr/>
                <w:p>
                  <w:pPr>
                    <w:pStyle w:val="Compact"/>
                    <w:jc w:val="left"/>
                    <w:jc w:val="center"/>
                  </w:pPr>
                  <w:r>
                    <w:t xml:space="preserve">101.05 ± 21.42</w:t>
                  </w:r>
                </w:p>
              </w:tc>
              <w:tc>
                <w:tcPr/>
                <w:p>
                  <w:pPr>
                    <w:pStyle w:val="Compact"/>
                    <w:jc w:val="left"/>
                    <w:jc w:val="center"/>
                  </w:pPr>
                  <w:r>
                    <w:t xml:space="preserve">140.6 ± 26</w:t>
                  </w:r>
                </w:p>
              </w:tc>
              <w:tc>
                <w:tcPr/>
                <w:p>
                  <w:pPr>
                    <w:pStyle w:val="Compact"/>
                    <w:jc w:val="left"/>
                    <w:jc w:val="center"/>
                  </w:pPr>
                  <w:r>
                    <w:t xml:space="preserve">98.75 ± 20.01</w:t>
                  </w:r>
                </w:p>
              </w:tc>
            </w:tr>
            <w:tr>
              <w:tc>
                <w:tcPr/>
                <w:p>
                  <w:pPr>
                    <w:pStyle w:val="Compact"/>
                    <w:jc w:val="left"/>
                    <w:jc w:val="center"/>
                  </w:pPr>
                  <w:r>
                    <w:t xml:space="preserve">Frequency Shift (ppm)</w:t>
                  </w:r>
                </w:p>
              </w:tc>
              <w:tc>
                <w:tcPr/>
                <w:p>
                  <w:pPr>
                    <w:pStyle w:val="Compact"/>
                    <w:jc w:val="left"/>
                    <w:jc w:val="center"/>
                  </w:pPr>
                  <w:r>
                    <w:t xml:space="preserve">-3.08 ± 0.81</w:t>
                  </w:r>
                </w:p>
              </w:tc>
              <w:tc>
                <w:tcPr/>
                <w:p>
                  <w:pPr>
                    <w:pStyle w:val="Compact"/>
                    <w:jc w:val="left"/>
                    <w:jc w:val="center"/>
                  </w:pPr>
                  <w:r>
                    <w:t xml:space="preserve">-3.98 ± 0.94</w:t>
                  </w:r>
                </w:p>
              </w:tc>
              <w:tc>
                <w:tcPr/>
                <w:p>
                  <w:pPr>
                    <w:pStyle w:val="Compact"/>
                    <w:jc w:val="left"/>
                    <w:jc w:val="center"/>
                  </w:pPr>
                  <w:r>
                    <w:t xml:space="preserve">-3.12 ± 0.76</w:t>
                  </w:r>
                </w:p>
              </w:tc>
              <w:tc>
                <w:tcPr/>
                <w:p>
                  <w:pPr>
                    <w:pStyle w:val="Compact"/>
                    <w:jc w:val="left"/>
                    <w:jc w:val="center"/>
                  </w:pPr>
                  <w:r>
                    <w:t xml:space="preserve">-3.85 ± 1.05</w:t>
                  </w:r>
                </w:p>
              </w:tc>
            </w:tr>
          </w:tbl>
          <w:p>
            <w:pPr>
              <w:jc w:val="center"/>
            </w:pPr>
            <w:pPr>
              <w:jc w:val="star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77"/>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Measure</w:t>
                  </w:r>
                </w:p>
              </w:tc>
              <w:tc>
                <w:tcPr/>
                <w:p>
                  <w:pPr>
                    <w:pStyle w:val="Compact"/>
                    <w:jc w:val="left"/>
                    <w:jc w:val="center"/>
                  </w:pPr>
                  <w:r>
                    <w:t xml:space="preserve">Amount</w:t>
                  </w:r>
                </w:p>
              </w:tc>
            </w:tr>
            <w:tr>
              <w:tc>
                <w:tcPr/>
                <w:p>
                  <w:pPr>
                    <w:pStyle w:val="Compact"/>
                    <w:jc w:val="left"/>
                    <w:jc w:val="center"/>
                  </w:pPr>
                  <w:r>
                    <w:t xml:space="preserve">Voxel Rotation (degrees)</w:t>
                  </w:r>
                </w:p>
              </w:tc>
              <w:tc>
                <w:tcPr/>
                <w:p>
                  <w:pPr>
                    <w:pStyle w:val="Compact"/>
                    <w:jc w:val="left"/>
                    <w:jc w:val="center"/>
                  </w:pPr>
                  <w:r>
                    <w:t xml:space="preserve">-39 ± 8.13</w:t>
                  </w:r>
                </w:p>
              </w:tc>
            </w:tr>
            <w:tr>
              <w:tc>
                <w:tcPr/>
                <w:p>
                  <w:pPr>
                    <w:pStyle w:val="Compact"/>
                    <w:jc w:val="left"/>
                    <w:jc w:val="center"/>
                  </w:pPr>
                  <w:r>
                    <w:t xml:space="preserve">GM Tissue Fraction</w:t>
                  </w:r>
                </w:p>
              </w:tc>
              <w:tc>
                <w:tcPr/>
                <w:p>
                  <w:pPr>
                    <w:pStyle w:val="Compact"/>
                    <w:jc w:val="left"/>
                    <w:jc w:val="center"/>
                  </w:pPr>
                  <w:r>
                    <w:t xml:space="preserve">0.64 ± 0.04</w:t>
                  </w:r>
                </w:p>
              </w:tc>
            </w:tr>
            <w:tr>
              <w:tc>
                <w:tcPr/>
                <w:p>
                  <w:pPr>
                    <w:pStyle w:val="Compact"/>
                    <w:jc w:val="left"/>
                    <w:jc w:val="center"/>
                  </w:pPr>
                  <w:r>
                    <w:t xml:space="preserve">WM Tissue Fraction</w:t>
                  </w:r>
                </w:p>
              </w:tc>
              <w:tc>
                <w:tcPr/>
                <w:p>
                  <w:pPr>
                    <w:pStyle w:val="Compact"/>
                    <w:jc w:val="left"/>
                    <w:jc w:val="center"/>
                  </w:pPr>
                  <w:r>
                    <w:t xml:space="preserve">0.24 ± 0.04</w:t>
                  </w:r>
                </w:p>
              </w:tc>
            </w:tr>
            <w:tr>
              <w:tc>
                <w:tcPr/>
                <w:p>
                  <w:pPr>
                    <w:pStyle w:val="Compact"/>
                    <w:jc w:val="left"/>
                    <w:jc w:val="center"/>
                  </w:pPr>
                  <w:r>
                    <w:t xml:space="preserve">CSF Tissue Fraction</w:t>
                  </w:r>
                </w:p>
              </w:tc>
              <w:tc>
                <w:tcPr/>
                <w:p>
                  <w:pPr>
                    <w:pStyle w:val="Compact"/>
                    <w:jc w:val="left"/>
                    <w:jc w:val="center"/>
                  </w:pPr>
                  <w:r>
                    <w:t xml:space="preserve">0.12 ± 0.03</w:t>
                  </w:r>
                </w:p>
              </w:tc>
            </w:tr>
          </w:tbl>
          <w:p>
            <w:pPr>
              <w:jc w:val="center"/>
            </w:pPr>
            <w:pPr>
              <w:jc w:val="star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78"/>
        </w:tc>
      </w:tr>
    </w:tbl>
    <w:bookmarkEnd w:id="379"/>
    <w:bookmarkStart w:id="386"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3" w:name="suppfig-lmemdiag"/>
          <w:p>
            <w:pPr>
              <w:jc w:val="center"/>
            </w:pPr>
            <w:r>
              <w:drawing>
                <wp:inline>
                  <wp:extent cx="4620126" cy="4620126"/>
                  <wp:effectExtent b="0" l="0" r="0" t="0"/>
                  <wp:docPr descr="" title="" id="381" name="Picture"/>
                  <a:graphic>
                    <a:graphicData uri="http://schemas.openxmlformats.org/drawingml/2006/picture">
                      <pic:pic>
                        <pic:nvPicPr>
                          <pic:cNvPr descr="index_files/figure-docx/unnamed-chunk-10-1.png" id="382" name="Picture"/>
                          <pic:cNvPicPr>
                            <a:picLocks noChangeArrowheads="1" noChangeAspect="1"/>
                          </pic:cNvPicPr>
                        </pic:nvPicPr>
                        <pic:blipFill>
                          <a:blip r:embed="rId38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83"/>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84"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start"/>
              <w:spacing w:before="200"/>
              <w:pStyle w:val="ImageCaption"/>
            </w:pPr>
            <w:r>
              <w:t xml:space="preserve">Table S3</w:t>
            </w:r>
            <w:r>
              <w:rPr>
                <w:b/>
                <w:bCs/>
              </w:rPr>
              <w:t xml:space="preserve">.</w:t>
            </w:r>
            <w:r>
              <w:t xml:space="preserve"> </w:t>
            </w:r>
            <w:r>
              <w:t xml:space="preserve">Spearman correlation between EI and Hurst by condition.</w:t>
            </w:r>
          </w:p>
          <w:bookmarkEnd w:id="384"/>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85"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star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85"/>
        </w:tc>
      </w:tr>
    </w:tbl>
    <w:bookmarkEnd w:id="386"/>
    <w:bookmarkStart w:id="391" w:name="metabolites"/>
    <w:p>
      <w:pPr>
        <w:pStyle w:val="Heading2"/>
      </w:pPr>
      <w:r>
        <w:t xml:space="preserve">Metabolites</w:t>
      </w:r>
    </w:p>
    <w:bookmarkStart w:id="388"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star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87"/>
        </w:tc>
      </w:tr>
    </w:tbl>
    <w:bookmarkEnd w:id="388"/>
    <w:bookmarkStart w:id="390"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star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89"/>
        </w:tc>
      </w:tr>
    </w:tbl>
    <w:bookmarkEnd w:id="390"/>
    <w:bookmarkEnd w:id="391"/>
    <w:bookmarkStart w:id="407"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dataquality"/>
          <w:p>
            <w:pPr>
              <w:jc w:val="center"/>
            </w:pPr>
            <w:r>
              <w:drawing>
                <wp:inline>
                  <wp:extent cx="5544151" cy="7392202"/>
                  <wp:effectExtent b="0" l="0" r="0" t="0"/>
                  <wp:docPr descr="" title="" id="393" name="Picture"/>
                  <a:graphic>
                    <a:graphicData uri="http://schemas.openxmlformats.org/drawingml/2006/picture">
                      <pic:pic>
                        <pic:nvPicPr>
                          <pic:cNvPr descr="index_files/figure-docx/unnamed-chunk-15-1.png" id="394" name="Picture"/>
                          <pic:cNvPicPr>
                            <a:picLocks noChangeArrowheads="1" noChangeAspect="1"/>
                          </pic:cNvPicPr>
                        </pic:nvPicPr>
                        <pic:blipFill>
                          <a:blip r:embed="rId392"/>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95"/>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6"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star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96"/>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star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97"/>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8"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star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98"/>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2" w:name="suppfig-fwhmdriftplot"/>
          <w:p>
            <w:pPr>
              <w:jc w:val="center"/>
            </w:pPr>
            <w:r>
              <w:drawing>
                <wp:inline>
                  <wp:extent cx="4620126" cy="4620126"/>
                  <wp:effectExtent b="0" l="0" r="0" t="0"/>
                  <wp:docPr descr="" title="" id="400" name="Picture"/>
                  <a:graphic>
                    <a:graphicData uri="http://schemas.openxmlformats.org/drawingml/2006/picture">
                      <pic:pic>
                        <pic:nvPicPr>
                          <pic:cNvPr descr="index_files/figure-docx/unnamed-chunk-19-1.png" id="401" name="Picture"/>
                          <pic:cNvPicPr>
                            <a:picLocks noChangeArrowheads="1" noChangeAspect="1"/>
                          </pic:cNvPicPr>
                        </pic:nvPicPr>
                        <pic:blipFill>
                          <a:blip r:embed="rId39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402"/>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6" w:name="suppfig-frequencyshift"/>
          <w:p>
            <w:pPr>
              <w:jc w:val="center"/>
            </w:pPr>
            <w:r>
              <w:drawing>
                <wp:inline>
                  <wp:extent cx="4620126" cy="6468176"/>
                  <wp:effectExtent b="0" l="0" r="0" t="0"/>
                  <wp:docPr descr="" title="" id="404" name="Picture"/>
                  <a:graphic>
                    <a:graphicData uri="http://schemas.openxmlformats.org/drawingml/2006/picture">
                      <pic:pic>
                        <pic:nvPicPr>
                          <pic:cNvPr descr="index_files/figure-docx/unnamed-chunk-20-1.png" id="405" name="Picture"/>
                          <pic:cNvPicPr>
                            <a:picLocks noChangeArrowheads="1" noChangeAspect="1"/>
                          </pic:cNvPicPr>
                        </pic:nvPicPr>
                        <pic:blipFill>
                          <a:blip r:embed="rId40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406"/>
        </w:tc>
      </w:tr>
    </w:tbl>
    <w:bookmarkEnd w:id="407"/>
    <w:bookmarkStart w:id="426"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suppfig-gannet"/>
          <w:p>
            <w:pPr>
              <w:pStyle w:val="Compact"/>
              <w:jc w:val="center"/>
            </w:pPr>
            <w:r>
              <w:drawing>
                <wp:inline>
                  <wp:extent cx="5943600" cy="4592781"/>
                  <wp:effectExtent b="0" l="0" r="0" t="0"/>
                  <wp:docPr descr="" title="" id="409" name="Picture"/>
                  <a:graphic>
                    <a:graphicData uri="http://schemas.openxmlformats.org/drawingml/2006/picture">
                      <pic:pic>
                        <pic:nvPicPr>
                          <pic:cNvPr descr="./Data/megapress/sub-Pilot01/rest_gannet/GannetFit_output/P38912_vox1_fit.png" id="410" name="Picture"/>
                          <pic:cNvPicPr>
                            <a:picLocks noChangeArrowheads="1" noChangeAspect="1"/>
                          </pic:cNvPicPr>
                        </pic:nvPicPr>
                        <pic:blipFill>
                          <a:blip r:embed="rId408"/>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11"/>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12"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10.84 ± 1.06</w:t>
                  </w:r>
                </w:p>
              </w:tc>
              <w:tc>
                <w:tcPr/>
                <w:p>
                  <w:pPr>
                    <w:pStyle w:val="Compact"/>
                    <w:jc w:val="left"/>
                    <w:jc w:val="center"/>
                  </w:pPr>
                  <w:r>
                    <w:t xml:space="preserve">10.72 ± 0.68</w:t>
                  </w:r>
                </w:p>
              </w:tc>
              <w:tc>
                <w:tcPr/>
                <w:p>
                  <w:pPr>
                    <w:pStyle w:val="Compact"/>
                    <w:jc w:val="left"/>
                    <w:jc w:val="center"/>
                  </w:pPr>
                  <w:r>
                    <w:t xml:space="preserve">0.43</w:t>
                  </w:r>
                </w:p>
              </w:tc>
            </w:tr>
            <w:tr>
              <w:tc>
                <w:tcPr/>
                <w:p>
                  <w:pPr>
                    <w:pStyle w:val="Compact"/>
                    <w:jc w:val="left"/>
                    <w:jc w:val="center"/>
                  </w:pPr>
                  <w:r>
                    <w:rPr>
                      <w:b/>
                      <w:bCs/>
                    </w:rPr>
                    <w:t xml:space="preserve">GABA+</w:t>
                  </w:r>
                </w:p>
              </w:tc>
              <w:tc>
                <w:tcPr/>
                <w:p>
                  <w:pPr>
                    <w:pStyle w:val="Compact"/>
                    <w:jc w:val="left"/>
                    <w:jc w:val="center"/>
                  </w:pPr>
                  <w:r>
                    <w:t xml:space="preserve">3.59 ± 0.38</w:t>
                  </w:r>
                </w:p>
              </w:tc>
              <w:tc>
                <w:tcPr/>
                <w:p>
                  <w:pPr>
                    <w:pStyle w:val="Compact"/>
                    <w:jc w:val="left"/>
                    <w:jc w:val="center"/>
                  </w:pPr>
                  <w:r>
                    <w:t xml:space="preserve">3.53 ± 0.36</w:t>
                  </w:r>
                </w:p>
              </w:tc>
              <w:tc>
                <w:tcPr/>
                <w:p>
                  <w:pPr>
                    <w:pStyle w:val="Compact"/>
                    <w:jc w:val="left"/>
                    <w:jc w:val="center"/>
                  </w:pPr>
                  <w:r>
                    <w:t xml:space="preserve">0.33</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bl>
          <w:p>
            <w:pPr>
              <w:jc w:val="center"/>
            </w:pPr>
            <w:pPr>
              <w:jc w:val="start"/>
              <w:spacing w:before="200"/>
              <w:pStyle w:val="ImageCaption"/>
            </w:pPr>
            <w:r>
              <w:t xml:space="preserve">Table S10</w:t>
            </w:r>
            <w:r>
              <w:rPr>
                <w:b/>
                <w:bCs/>
              </w:rPr>
              <w:t xml:space="preserve">.</w:t>
            </w:r>
            <w:r>
              <w:t xml:space="preserve"> </w:t>
            </w:r>
            <w:r>
              <w:rPr>
                <w:b/>
                <w:bCs/>
              </w:rPr>
              <w:t xml:space="preserve">Summary of main metabolite results using Gannet</w:t>
            </w:r>
          </w:p>
          <w:bookmarkEnd w:id="41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6" w:name="suppfig-gannetresults"/>
          <w:p>
            <w:pPr>
              <w:jc w:val="center"/>
            </w:pPr>
            <w:r>
              <w:drawing>
                <wp:inline>
                  <wp:extent cx="5943600" cy="4754880"/>
                  <wp:effectExtent b="0" l="0" r="0" t="0"/>
                  <wp:docPr descr="" title="" id="414" name="Picture"/>
                  <a:graphic>
                    <a:graphicData uri="http://schemas.openxmlformats.org/drawingml/2006/picture">
                      <pic:pic>
                        <pic:nvPicPr>
                          <pic:cNvPr descr="index_files/figure-docx/unnamed-chunk-21-1.png" id="415" name="Picture"/>
                          <pic:cNvPicPr>
                            <a:picLocks noChangeArrowheads="1" noChangeAspect="1"/>
                          </pic:cNvPicPr>
                        </pic:nvPicPr>
                        <pic:blipFill>
                          <a:blip r:embed="rId41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16"/>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suppfig-gannetcorrelations"/>
          <w:p>
            <w:pPr>
              <w:jc w:val="center"/>
            </w:pPr>
            <w:r>
              <w:drawing>
                <wp:inline>
                  <wp:extent cx="5943600" cy="5094514"/>
                  <wp:effectExtent b="0" l="0" r="0" t="0"/>
                  <wp:docPr descr="" title="" id="418" name="Picture"/>
                  <a:graphic>
                    <a:graphicData uri="http://schemas.openxmlformats.org/drawingml/2006/picture">
                      <pic:pic>
                        <pic:nvPicPr>
                          <pic:cNvPr descr="index_files/figure-docx/unnamed-chunk-22-1.png" id="419" name="Picture"/>
                          <pic:cNvPicPr>
                            <a:picLocks noChangeArrowheads="1" noChangeAspect="1"/>
                          </pic:cNvPicPr>
                        </pic:nvPicPr>
                        <pic:blipFill>
                          <a:blip r:embed="rId417"/>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20"/>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w:t>
      </w:r>
      <w:r>
        <w:t xml:space="preserve">OFF</w:t>
      </w:r>
      <w:r>
        <w:t xml:space="preserve">”</w:t>
      </w:r>
      <w:r>
        <w:t xml:space="preserve"> </w:t>
      </w:r>
      <w:r>
        <w:t xml:space="preserve">spectra, with</w:t>
      </w:r>
      <w:r>
        <w:t xml:space="preserve"> </w:t>
      </w:r>
      <w:r>
        <w:t xml:space="preserve">‘</w:t>
      </w:r>
      <w:r>
        <w:t xml:space="preserve">gold standard</w:t>
      </w:r>
      <w:r>
        <w:t xml:space="preserve">’</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21"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star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2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25" w:name="suppfig-glxagreementplot"/>
          <w:p>
            <w:pPr>
              <w:jc w:val="center"/>
            </w:pPr>
            <w:r>
              <w:drawing>
                <wp:inline>
                  <wp:extent cx="4620126" cy="3696101"/>
                  <wp:effectExtent b="0" l="0" r="0" t="0"/>
                  <wp:docPr descr="" title="" id="423" name="Picture"/>
                  <a:graphic>
                    <a:graphicData uri="http://schemas.openxmlformats.org/drawingml/2006/picture">
                      <pic:pic>
                        <pic:nvPicPr>
                          <pic:cNvPr descr="index_files/figure-docx/unnamed-chunk-24-1.png" id="424" name="Picture"/>
                          <pic:cNvPicPr>
                            <a:picLocks noChangeArrowheads="1" noChangeAspect="1"/>
                          </pic:cNvPicPr>
                        </pic:nvPicPr>
                        <pic:blipFill>
                          <a:blip r:embed="rId4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25"/>
        </w:tc>
      </w:tr>
    </w:tbl>
    <w:bookmarkEnd w:id="426"/>
    <w:bookmarkEnd w:id="42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8" Target="media/rId408.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380" Target="media/rId380.png" /><Relationship Type="http://schemas.openxmlformats.org/officeDocument/2006/relationships/image" Id="rId392" Target="media/rId392.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3" Target="media/rId413.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2026-04-22T00:36:51Z</dcterms:created>
  <dcterms:modified xsi:type="dcterms:W3CDTF">2026-04-22T00:36:51Z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