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40.png" ContentType="image/png"/>
  <Override PartName="/word/media/rId62.png" ContentType="image/png"/>
  <Override PartName="/word/media/rId90.png" ContentType="image/png"/>
  <Override PartName="/word/media/rId85.png" ContentType="image/png"/>
  <Override PartName="/word/media/rId50.png" ContentType="image/png"/>
  <Override PartName="/word/media/rId45.png" ContentType="image/png"/>
  <Override PartName="/word/media/rId5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the Brain’s E:I Balance Really Shape Long-Range Temporal Correlations? Lessons Learned from 3T MRI</w:t>
      </w:r>
    </w:p>
    <w:p>
      <w:pPr>
        <w:pStyle w:val="Author"/>
      </w:pPr>
      <w:r>
        <w:t xml:space="preserve">Lydia Sochan</w:t>
      </w:r>
      <w:r>
        <w:rPr>
          <w:vertAlign w:val="superscript"/>
        </w:rPr>
        <w:t xml:space="preserve">1</w:t>
      </w:r>
      <w:r>
        <w:t xml:space="preserve">, Jessica Archibald</w:t>
      </w:r>
      <w:r>
        <w:rPr>
          <w:vertAlign w:val="superscript"/>
        </w:rPr>
        <w:t xml:space="preserve">4</w:t>
      </w:r>
      <w:r>
        <w:t xml:space="preserve">, and Alexander Mark Weber</w:t>
      </w:r>
      <w:r>
        <w:rPr>
          <w:vertAlign w:val="superscript"/>
        </w:rPr>
        <w:t xml:space="preserve">1,2,3,✉</w:t>
      </w:r>
    </w:p>
    <w:p>
      <w:pPr>
        <w:pStyle w:val="Date"/>
      </w:pPr>
      <w:r>
        <w:t xml:space="preserve">2025-03-21</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 &lt;aweber@bcchr.ca&gt;</w:t>
        </w:r>
      </w:hyperlink>
    </w:p>
    <w:bookmarkStart w:id="21" w:name="abstract"/>
    <w:p>
      <w:pPr>
        <w:pStyle w:val="Heading2"/>
      </w:pPr>
      <w:r>
        <w:t xml:space="preserve">Abstract</w:t>
      </w:r>
    </w:p>
    <w:p>
      <w:pPr>
        <w:pStyle w:val="FirstParagraph"/>
      </w:pPr>
      <w:r>
        <w:t xml:space="preserve">A 3T multimodal MRI study of healthy adults (n=19; 10 female; 21.3 - 53.4 years) was performed to investigate the relationship between fMRI long-range temporal correlations and excitatory/inhibitory balance. The study objective was to determine if the Hurst exponent (H) — an estimate of the self-correlation and signal complexity — of the blood-oxygen-level-dependent signal is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correlated would clarify this relationship. Moreover, findings in this domain have implications for neurological and neuropsychiatric conditions with disrupted E:I balance, such as autism spectrum disorder,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was found to increase with movie-watching compared to rest, while E:I (glutamate/GABA) did not change between conditions. H and E:I were not correlated during either movie-watching or rest.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21"/>
    <w:bookmarkStart w:id="22" w:name="introduction"/>
    <w:p>
      <w:pPr>
        <w:pStyle w:val="Heading1"/>
      </w:pPr>
      <w:r>
        <w:t xml:space="preserve">1. Introduction</w:t>
      </w:r>
    </w:p>
    <w:p>
      <w:pPr>
        <w:pStyle w:val="FirstParagraph"/>
      </w:pPr>
      <w:r>
        <w:t xml:space="preserve">The brain is composed of individual neurons, each computationally-limited, that ultimately work together to produce astonishingly complex operations. Understanding how these neurons produce this emergent behaviour remains one of the great scientific challenges of our time. Recent advances in neuroscience have led to the emergence of the Critical Brain Hypothesis, which posits that the brain operates at a critical point, a state where order and disorder are balanced to enable the most efficient information processing</w:t>
      </w:r>
      <w:r>
        <w:rPr>
          <w:vertAlign w:val="superscript"/>
        </w:rPr>
        <w:t xml:space="preserve">1–14</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 A fundamental theorem proposing how neural networks achieve this delicate balance centers around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15</w:t>
      </w:r>
      <w:r>
        <w:t xml:space="preserve">. Scale-invariance has been observed extensively across various neuronal spatio-temporal scales, from dendritic branching structures</w:t>
      </w:r>
      <w:r>
        <w:rPr>
          <w:vertAlign w:val="superscript"/>
        </w:rPr>
        <w:t xml:space="preserve">16</w:t>
      </w:r>
      <w:r>
        <w:t xml:space="preserve"> </w:t>
      </w:r>
      <w:r>
        <w:t xml:space="preserve">in the spatial domain, to neurotransmitter release</w:t>
      </w:r>
      <w:r>
        <w:rPr>
          <w:vertAlign w:val="superscript"/>
        </w:rPr>
        <w:t xml:space="preserve">17</w:t>
      </w:r>
      <w:r>
        <w:t xml:space="preserve">, neuronal firing rates</w:t>
      </w:r>
      <w:r>
        <w:rPr>
          <w:vertAlign w:val="superscript"/>
        </w:rPr>
        <w:t xml:space="preserve">18</w:t>
      </w:r>
      <w:r>
        <w:t xml:space="preserve">, local field potentials</w:t>
      </w:r>
      <w:r>
        <w:rPr>
          <w:vertAlign w:val="superscript"/>
        </w:rPr>
        <w:t xml:space="preserve">19</w:t>
      </w:r>
      <w:r>
        <w:t xml:space="preserve">, electroencephalography (EEG)</w:t>
      </w:r>
      <w:r>
        <w:rPr>
          <w:vertAlign w:val="superscript"/>
        </w:rPr>
        <w:t xml:space="preserve">20</w:t>
      </w:r>
      <w:r>
        <w:t xml:space="preserve"> </w:t>
      </w:r>
      <w:r>
        <w:t xml:space="preserve">and functional magnetic resonance imaging (fMRI), which measures the blood oxygen level-dependent (BOLD) signal</w:t>
      </w:r>
      <w:r>
        <w:rPr>
          <w:vertAlign w:val="superscript"/>
        </w:rPr>
        <w:t xml:space="preserve">21–23</w:t>
      </w:r>
      <w:r>
        <w:t xml:space="preserve"> </w:t>
      </w:r>
      <w:r>
        <w:t xml:space="preserve">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23,24</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25</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26,27</w:t>
      </w:r>
      <w:r>
        <w:t xml:space="preserve">. Some key findings from neuroscience research include: a decrease in H during task performance</w:t>
      </w:r>
      <w:r>
        <w:rPr>
          <w:vertAlign w:val="superscript"/>
        </w:rPr>
        <w:t xml:space="preserve">28,29</w:t>
      </w:r>
      <w:r>
        <w:t xml:space="preserve">; an increase in H during movie watching in the visual resting state network</w:t>
      </w:r>
      <w:r>
        <w:rPr>
          <w:vertAlign w:val="superscript"/>
        </w:rPr>
        <w:t xml:space="preserve">30</w:t>
      </w:r>
      <w:r>
        <w:t xml:space="preserve">; negative correlations with task novelty and difficulty</w:t>
      </w:r>
      <w:r>
        <w:rPr>
          <w:vertAlign w:val="superscript"/>
        </w:rPr>
        <w:t xml:space="preserve">31</w:t>
      </w:r>
      <w:r>
        <w:t xml:space="preserve">; increases with age in the frontal and parietal lobes</w:t>
      </w:r>
      <w:r>
        <w:rPr>
          <w:vertAlign w:val="superscript"/>
        </w:rPr>
        <w:t xml:space="preserve">26</w:t>
      </w:r>
      <w:r>
        <w:t xml:space="preserve">, and hippocampus</w:t>
      </w:r>
      <w:r>
        <w:rPr>
          <w:vertAlign w:val="superscript"/>
        </w:rPr>
        <w:t xml:space="preserve">32</w:t>
      </w:r>
      <w:r>
        <w:t xml:space="preserve">; decreases with age in the insula, and limbic, occipital and temporal lobes</w:t>
      </w:r>
      <w:r>
        <w:rPr>
          <w:vertAlign w:val="superscript"/>
        </w:rPr>
        <w:t xml:space="preserve">26</w:t>
      </w:r>
      <w:r>
        <w:t xml:space="preserve">; and H &lt; 0.5 in preterm infants</w:t>
      </w:r>
      <w:r>
        <w:rPr>
          <w:vertAlign w:val="superscript"/>
        </w:rPr>
        <w:t xml:space="preserve">33</w:t>
      </w:r>
      <w:r>
        <w:t xml:space="preserve">. For a more in depth review, see</w:t>
      </w:r>
      <w:r>
        <w:rPr>
          <w:vertAlign w:val="superscript"/>
        </w:rPr>
        <w:t xml:space="preserve">23</w:t>
      </w:r>
      <w:r>
        <w:t xml:space="preserve">. In terms of clinical findings, abnormal H values have been identified in Alzheimer’s disease (AD)</w:t>
      </w:r>
      <w:r>
        <w:rPr>
          <w:vertAlign w:val="superscript"/>
        </w:rPr>
        <w:t xml:space="preserve">34,35</w:t>
      </w:r>
      <w:r>
        <w:t xml:space="preserve">, autism spectrum disorder (ASD)</w:t>
      </w:r>
      <w:r>
        <w:rPr>
          <w:vertAlign w:val="superscript"/>
        </w:rPr>
        <w:t xml:space="preserve">36–39</w:t>
      </w:r>
      <w:r>
        <w:t xml:space="preserve">, mild traumatic brain injury</w:t>
      </w:r>
      <w:r>
        <w:rPr>
          <w:vertAlign w:val="superscript"/>
        </w:rPr>
        <w:t xml:space="preserve">40</w:t>
      </w:r>
      <w:r>
        <w:t xml:space="preserve">, major depressive disorder</w:t>
      </w:r>
      <w:r>
        <w:rPr>
          <w:vertAlign w:val="superscript"/>
        </w:rPr>
        <w:t xml:space="preserve">41,42</w:t>
      </w:r>
      <w:r>
        <w:t xml:space="preserve"> </w:t>
      </w:r>
      <w:r>
        <w:t xml:space="preserve">and schizophrenia</w:t>
      </w:r>
      <w:r>
        <w:rPr>
          <w:vertAlign w:val="superscript"/>
        </w:rPr>
        <w:t xml:space="preserve">39,43</w:t>
      </w:r>
      <w:r>
        <w:t xml:space="preserve">. Crucially, these same disorders have been associated with imbalances in E:I (AD</w:t>
      </w:r>
      <w:r>
        <w:rPr>
          <w:vertAlign w:val="superscript"/>
        </w:rPr>
        <w:t xml:space="preserve">44,45</w:t>
      </w:r>
      <w:r>
        <w:t xml:space="preserve">; ASD</w:t>
      </w:r>
      <w:r>
        <w:rPr>
          <w:vertAlign w:val="superscript"/>
        </w:rPr>
        <w:t xml:space="preserve">10,46,47</w:t>
      </w:r>
      <w:r>
        <w:t xml:space="preserve">; depression</w:t>
      </w:r>
      <w:r>
        <w:rPr>
          <w:vertAlign w:val="superscript"/>
        </w:rPr>
        <w:t xml:space="preserve">48</w:t>
      </w:r>
      <w:r>
        <w:t xml:space="preserve">; and schizophrenia</w:t>
      </w:r>
      <w:r>
        <w:rPr>
          <w:vertAlign w:val="superscript"/>
        </w:rPr>
        <w:t xml:space="preserve">49</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50</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51,52</w:t>
      </w:r>
      <w:r>
        <w:t xml:space="preserve">. Unfortunately, MRS suffers from limited spatial and temporal resolution, with single-voxel spectrosopy sizes between 20 and 27 cm</w:t>
      </w:r>
      <w:r>
        <w:rPr>
          <w:vertAlign w:val="superscript"/>
        </w:rPr>
        <w:t xml:space="preserve">3</w:t>
      </w:r>
      <w:r>
        <w:t xml:space="preserve">, and scan times between 5-10 minutes</w:t>
      </w:r>
      <w:r>
        <w:rPr>
          <w:vertAlign w:val="superscript"/>
        </w:rPr>
        <w:t xml:space="preserve">12,50,51</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53</w:t>
      </w:r>
      <w:r>
        <w:t xml:space="preserve">. The need for this additional sequence therefore reduces the temporal resolution further. If H could function as a substitute for E:I, it could simplify the estimation of E:I in conditions of interest such as ASD, AD, and schizophrenia.</w:t>
      </w:r>
    </w:p>
    <w:p>
      <w:pPr>
        <w:pStyle w:val="TextBody"/>
      </w:pPr>
      <w:r>
        <w:t xml:space="preserve">Going beyond clinical observations that imply a link between H and E:I, several studies have attempted to explore this association directly. However, they have primarily relied on computational models or animal studies</w:t>
      </w:r>
      <w:r>
        <w:rPr>
          <w:vertAlign w:val="superscript"/>
        </w:rPr>
        <w:t xml:space="preserve">6–12</w:t>
      </w:r>
      <w:r>
        <w:t xml:space="preserve">. To date, no</w:t>
      </w:r>
      <w:r>
        <w:t xml:space="preserve"> </w:t>
      </w:r>
      <w:r>
        <w:rPr>
          <w:i/>
          <w:iCs/>
        </w:rPr>
        <w:t xml:space="preserve">in vivo</w:t>
      </w:r>
      <w:r>
        <w:t xml:space="preserve"> </w:t>
      </w:r>
      <w:r>
        <w:t xml:space="preserve">study has validated this association in humans. Moreover, the existing research findings have so far been inconsistent, with some reporting positive-linear, negative-linear, or U-shaped relationships between the two variables. Despite these uncertainties, several clinical studies have used fMRI-derived H values as proxies for the E:I ratio</w:t>
      </w:r>
      <w:r>
        <w:rPr>
          <w:vertAlign w:val="superscript"/>
        </w:rPr>
        <w:t xml:space="preserve">38,39,54</w:t>
      </w:r>
      <w:r>
        <w:t xml:space="preserve">. Therefore, further investigation is needed to establish the true nature of the potential E:I-Hurst relationship and to confirm its presence within the human brain. The current study aimed to explore the potential E:I-Hurst relationship</w:t>
      </w:r>
      <w:r>
        <w:t xml:space="preserve"> </w:t>
      </w:r>
      <w:r>
        <w:rPr>
          <w:i/>
          <w:iCs/>
        </w:rPr>
        <w:t xml:space="preserve">in vivo</w:t>
      </w:r>
      <w:r>
        <w:t xml:space="preserve">, specifically within the visual cortex during movie-watching and resting periods. We hypothesized that H would increase in the visual cortex during movie watching</w:t>
      </w:r>
      <w:r>
        <w:rPr>
          <w:vertAlign w:val="superscript"/>
        </w:rPr>
        <w:t xml:space="preserve">30</w:t>
      </w:r>
      <w:r>
        <w:t xml:space="preserve">, and that H would negatively correlate with E:I</w:t>
      </w:r>
      <w:r>
        <w:rPr>
          <w:vertAlign w:val="superscript"/>
        </w:rPr>
        <w:t xml:space="preserve">11</w:t>
      </w:r>
      <w:r>
        <w:t xml:space="preserve">.</w:t>
      </w:r>
    </w:p>
    <w:bookmarkEnd w:id="22"/>
    <w:bookmarkStart w:id="39" w:name="methods"/>
    <w:p>
      <w:pPr>
        <w:pStyle w:val="Heading1"/>
      </w:pPr>
      <w:r>
        <w:t xml:space="preserve">2. Methods</w:t>
      </w:r>
    </w:p>
    <w:bookmarkStart w:id="23"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seven participants were removed for having less than ideal MRI data quality, leaving nineteen final participants, between the ages of 21.3 and 53.4 (mean age ± sd: 30.1 ± 8.7 years; 9 males).</w:t>
      </w:r>
    </w:p>
    <w:bookmarkEnd w:id="23"/>
    <w:bookmarkStart w:id="24"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24"/>
    <w:bookmarkStart w:id="29"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55</w:t>
      </w:r>
      <w:r>
        <w:t xml:space="preserve">, and single-voxel MEscher-Garwood Point-REsolved SpectroScopy (MEGA-PRESS)</w:t>
      </w:r>
      <w:r>
        <w:rPr>
          <w:vertAlign w:val="superscript"/>
        </w:rPr>
        <w:t xml:space="preserve">56</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w:t>
      </w:r>
      <w:r>
        <w:t xml:space="preserve"> </w:t>
      </w:r>
      <w:r>
        <w:t xml:space="preserve">“Jungles”</w:t>
      </w:r>
      <w:r>
        <w:rPr>
          <w:vertAlign w:val="superscript"/>
        </w:rPr>
        <w:t xml:space="preserve">57</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rest than movie, and all participants saw the same movie segment, beginning at the same time during the scan.</w:t>
      </w:r>
    </w:p>
    <w:tbl>
      <w:tblPr>
        <w:tblStyle w:val="Table"/>
        <w:tblW w:type="pct" w:w="5000"/>
        <w:tblLayout w:type="fixed"/>
        <w:tblLook w:firstRow="0" w:lastRow="0" w:firstColumn="0" w:lastColumn="0" w:noHBand="0" w:noVBand="0" w:val="0000"/>
      </w:tblPr>
      <w:tblGrid>
        <w:gridCol w:w="7920"/>
      </w:tblGrid>
      <w:tr>
        <w:tc>
          <w:tcPr/>
          <w:bookmarkStart w:id="28" w:name="fig-method"/>
          <w:p>
            <w:pPr>
              <w:jc w:val="center"/>
            </w:pPr>
            <w:r>
              <w:drawing>
                <wp:inline>
                  <wp:extent cx="4620126" cy="3696101"/>
                  <wp:effectExtent b="0" l="0" r="0" t="0"/>
                  <wp:docPr descr="" title="" id="26" name="Picture"/>
                  <a:graphic>
                    <a:graphicData uri="http://schemas.openxmlformats.org/drawingml/2006/picture">
                      <pic:pic>
                        <pic:nvPicPr>
                          <pic:cNvPr descr="inde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58</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28"/>
        </w:tc>
      </w:tr>
    </w:tbl>
    <w:bookmarkEnd w:id="29"/>
    <w:bookmarkStart w:id="31"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to be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MEGA-PRESS sequence;</w:t>
      </w:r>
      <w:r>
        <w:t xml:space="preserve"> </w:t>
      </w:r>
      <w:r>
        <w:t xml:space="preserve">and an sLASER sequence.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center"/>
                  </w:pPr>
                  <w:r>
                    <w:t xml:space="preserve">Sequence</w:t>
                  </w:r>
                </w:p>
              </w:tc>
              <w:tc>
                <w:tcPr/>
                <w:p>
                  <w:pPr>
                    <w:pStyle w:val="Compact"/>
                    <w:jc w:val="center"/>
                  </w:pPr>
                  <w:r>
                    <w:t xml:space="preserve">TE (ms)</w:t>
                  </w:r>
                </w:p>
              </w:tc>
              <w:tc>
                <w:tcPr/>
                <w:p>
                  <w:pPr>
                    <w:pStyle w:val="Compact"/>
                    <w:jc w:val="center"/>
                  </w:pPr>
                  <w:r>
                    <w:t xml:space="preserve">TR (ms)</w:t>
                  </w:r>
                </w:p>
              </w:tc>
              <w:tc>
                <w:tcPr/>
                <w:p>
                  <w:pPr>
                    <w:pStyle w:val="Compact"/>
                    <w:jc w:val="center"/>
                  </w:pPr>
                  <w:r>
                    <w:t xml:space="preserve">Flip Angle</w:t>
                  </w:r>
                </w:p>
              </w:tc>
              <w:tc>
                <w:tcPr/>
                <w:p>
                  <w:pPr>
                    <w:pStyle w:val="Compact"/>
                    <w:jc w:val="center"/>
                  </w:pPr>
                  <w:r>
                    <w:t xml:space="preserve">FOV</w:t>
                  </w:r>
                </w:p>
              </w:tc>
              <w:tc>
                <w:tcPr/>
                <w:p>
                  <w:pPr>
                    <w:pStyle w:val="Compact"/>
                    <w:jc w:val="center"/>
                  </w:pPr>
                  <w:r>
                    <w:t xml:space="preserve">Slice Thickness (mm)</w:t>
                  </w:r>
                </w:p>
              </w:tc>
              <w:tc>
                <w:tcPr/>
                <w:p>
                  <w:pPr>
                    <w:pStyle w:val="Compact"/>
                    <w:jc w:val="center"/>
                  </w:pPr>
                  <w:r>
                    <w:t xml:space="preserve">In-Plane Resolution (mm²)</w:t>
                  </w:r>
                </w:p>
              </w:tc>
              <w:tc>
                <w:tcPr/>
                <w:p>
                  <w:pPr>
                    <w:pStyle w:val="Compact"/>
                    <w:jc w:val="center"/>
                  </w:pPr>
                  <w:r>
                    <w:t xml:space="preserve">Other Parameters</w:t>
                  </w:r>
                </w:p>
              </w:tc>
              <w:tc>
                <w:tcPr/>
                <w:p>
                  <w:pPr>
                    <w:pStyle w:val="Compact"/>
                    <w:jc w:val="center"/>
                  </w:pPr>
                  <w:r>
                    <w:t xml:space="preserve">Time (mins)</w:t>
                  </w:r>
                </w:p>
              </w:tc>
            </w:tr>
            <w:tr>
              <w:tc>
                <w:tcPr/>
                <w:p>
                  <w:pPr>
                    <w:pStyle w:val="Compact"/>
                    <w:jc w:val="center"/>
                  </w:pPr>
                  <w:r>
                    <w:t xml:space="preserve">3D T1-weighted FSPGR</w:t>
                  </w:r>
                </w:p>
              </w:tc>
              <w:tc>
                <w:tcPr/>
                <w:p>
                  <w:pPr>
                    <w:pStyle w:val="Compact"/>
                    <w:jc w:val="center"/>
                  </w:pPr>
                  <w:r>
                    <w:t xml:space="preserve">2.176</w:t>
                  </w:r>
                </w:p>
              </w:tc>
              <w:tc>
                <w:tcPr/>
                <w:p>
                  <w:pPr>
                    <w:pStyle w:val="Compact"/>
                    <w:jc w:val="center"/>
                  </w:pPr>
                  <w:r>
                    <w:t xml:space="preserve">7.216</w:t>
                  </w:r>
                </w:p>
              </w:tc>
              <w:tc>
                <w:tcPr/>
                <w:p>
                  <w:pPr>
                    <w:pStyle w:val="Compact"/>
                    <w:jc w:val="center"/>
                  </w:pPr>
                  <w:r>
                    <w:t xml:space="preserve">12</w:t>
                  </w:r>
                </w:p>
              </w:tc>
              <w:tc>
                <w:tcPr/>
                <w:p>
                  <w:pPr>
                    <w:pStyle w:val="Compact"/>
                    <w:jc w:val="center"/>
                  </w:pPr>
                  <w:r>
                    <w:t xml:space="preserve">256 ×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5</w:t>
                  </w:r>
                </w:p>
              </w:tc>
            </w:tr>
            <w:tr>
              <w:tc>
                <w:tcPr/>
                <w:p>
                  <w:pPr>
                    <w:pStyle w:val="Compact"/>
                    <w:jc w:val="center"/>
                  </w:pPr>
                  <w:r>
                    <w:t xml:space="preserve">3D T2-weighted CUBE</w:t>
                  </w:r>
                </w:p>
              </w:tc>
              <w:tc>
                <w:tcPr/>
                <w:p>
                  <w:pPr>
                    <w:pStyle w:val="Compact"/>
                    <w:jc w:val="center"/>
                  </w:pPr>
                  <w:r>
                    <w:t xml:space="preserve">75.242</w:t>
                  </w:r>
                </w:p>
              </w:tc>
              <w:tc>
                <w:tcPr/>
                <w:p>
                  <w:pPr>
                    <w:pStyle w:val="Compact"/>
                    <w:jc w:val="center"/>
                  </w:pPr>
                  <w:r>
                    <w:t xml:space="preserve">2,504.0</w:t>
                  </w:r>
                </w:p>
              </w:tc>
              <w:tc>
                <w:tcPr/>
                <w:p>
                  <w:pPr>
                    <w:pStyle w:val="Compact"/>
                    <w:jc w:val="center"/>
                  </w:pPr>
                  <w:r>
                    <w:t xml:space="preserve">90</w:t>
                  </w:r>
                </w:p>
              </w:tc>
              <w:tc>
                <w:tcPr/>
                <w:p>
                  <w:pPr>
                    <w:pStyle w:val="Compact"/>
                    <w:jc w:val="center"/>
                  </w:pPr>
                  <w:r>
                    <w:t xml:space="preserve">256 x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4</w:t>
                  </w:r>
                </w:p>
              </w:tc>
            </w:tr>
            <w:tr>
              <w:tc>
                <w:tcPr/>
                <w:p>
                  <w:pPr>
                    <w:pStyle w:val="Compact"/>
                    <w:jc w:val="center"/>
                  </w:pPr>
                  <w:r>
                    <w:t xml:space="preserve">2D EPI Multi-Echo fMRI</w:t>
                  </w:r>
                </w:p>
              </w:tc>
              <w:tc>
                <w:tcPr/>
                <w:p>
                  <w:pPr>
                    <w:pStyle w:val="Compact"/>
                    <w:jc w:val="center"/>
                  </w:pPr>
                  <w:r>
                    <w:t xml:space="preserve">12.2, 35.352, 58.504</w:t>
                  </w:r>
                </w:p>
              </w:tc>
              <w:tc>
                <w:tcPr/>
                <w:p>
                  <w:pPr>
                    <w:pStyle w:val="Compact"/>
                    <w:jc w:val="center"/>
                  </w:pPr>
                  <w:r>
                    <w:t xml:space="preserve">1,500</w:t>
                  </w:r>
                </w:p>
              </w:tc>
              <w:tc>
                <w:tcPr/>
                <w:p>
                  <w:pPr>
                    <w:pStyle w:val="Compact"/>
                    <w:jc w:val="center"/>
                  </w:pPr>
                  <w:r>
                    <w:t xml:space="preserve">52</w:t>
                  </w:r>
                </w:p>
              </w:tc>
              <w:tc>
                <w:tcPr/>
                <w:p>
                  <w:pPr>
                    <w:pStyle w:val="Compact"/>
                    <w:jc w:val="center"/>
                  </w:pPr>
                  <w:r>
                    <w:t xml:space="preserve">64 x 64</w:t>
                  </w:r>
                </w:p>
              </w:tc>
              <w:tc>
                <w:tcPr/>
                <w:p>
                  <w:pPr>
                    <w:pStyle w:val="Compact"/>
                    <w:jc w:val="center"/>
                  </w:pPr>
                  <w:r>
                    <w:t xml:space="preserve">3.6</w:t>
                  </w:r>
                </w:p>
              </w:tc>
              <w:tc>
                <w:tcPr/>
                <w:p>
                  <w:pPr>
                    <w:pStyle w:val="Compact"/>
                    <w:jc w:val="center"/>
                  </w:pPr>
                  <w:r>
                    <w:t xml:space="preserve">3.5938 × 3.5938</w:t>
                  </w:r>
                </w:p>
              </w:tc>
              <w:tc>
                <w:tcPr/>
                <w:p>
                  <w:pPr>
                    <w:pStyle w:val="Compact"/>
                    <w:jc w:val="center"/>
                  </w:pPr>
                  <w:r>
                    <w:t xml:space="preserve">Acceleration factor = 6</w:t>
                  </w:r>
                </w:p>
              </w:tc>
              <w:tc>
                <w:tcPr/>
                <w:p>
                  <w:pPr>
                    <w:pStyle w:val="Compact"/>
                    <w:jc w:val="center"/>
                  </w:pPr>
                  <w:r>
                    <w:t xml:space="preserve">12</w:t>
                  </w:r>
                </w:p>
              </w:tc>
            </w:tr>
            <w:tr>
              <w:tc>
                <w:tcPr/>
                <w:p>
                  <w:pPr>
                    <w:pStyle w:val="Compact"/>
                    <w:jc w:val="center"/>
                  </w:pPr>
                  <w:r>
                    <w:t xml:space="preserve">sLASER</w:t>
                  </w:r>
                </w:p>
              </w:tc>
              <w:tc>
                <w:tcPr/>
                <w:p>
                  <w:pPr>
                    <w:pStyle w:val="Compact"/>
                    <w:jc w:val="center"/>
                  </w:pPr>
                  <w:r>
                    <w:t xml:space="preserve">35</w:t>
                  </w:r>
                </w:p>
              </w:tc>
              <w:tc>
                <w:tcPr/>
                <w:p>
                  <w:pPr>
                    <w:pStyle w:val="Compact"/>
                    <w:jc w:val="center"/>
                  </w:pPr>
                  <w:r>
                    <w:t xml:space="preserve">2,000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w:t>
                  </w:r>
                </w:p>
              </w:tc>
              <w:tc>
                <w:tcPr/>
                <w:p>
                  <w:pPr>
                    <w:pStyle w:val="Compact"/>
                    <w:jc w:val="center"/>
                  </w:pPr>
                  <w:r>
                    <w:t xml:space="preserve">4</w:t>
                  </w:r>
                </w:p>
              </w:tc>
            </w:tr>
            <w:tr>
              <w:tc>
                <w:tcPr/>
                <w:p>
                  <w:pPr>
                    <w:pStyle w:val="Compact"/>
                    <w:jc w:val="center"/>
                  </w:pPr>
                  <w:r>
                    <w:t xml:space="preserve">MEGA-PRESS</w:t>
                  </w:r>
                </w:p>
              </w:tc>
              <w:tc>
                <w:tcPr/>
                <w:p>
                  <w:pPr>
                    <w:pStyle w:val="Compact"/>
                    <w:jc w:val="center"/>
                  </w:pPr>
                  <w:r>
                    <w:t xml:space="preserve">68</w:t>
                  </w:r>
                </w:p>
              </w:tc>
              <w:tc>
                <w:tcPr/>
                <w:p>
                  <w:pPr>
                    <w:pStyle w:val="Compact"/>
                    <w:jc w:val="center"/>
                  </w:pPr>
                  <w:r>
                    <w:t xml:space="preserve">1,800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w:t>
                  </w:r>
                </w:p>
              </w:tc>
              <w:tc>
                <w:tcPr/>
                <w:p>
                  <w:pPr>
                    <w:pStyle w:val="Compact"/>
                    <w:jc w:val="center"/>
                  </w:pPr>
                  <w:r>
                    <w:t xml:space="preserve">8</w:t>
                  </w:r>
                </w:p>
              </w:tc>
            </w:tr>
          </w:tbl>
          <w:p>
            <w:pPr>
              <w:jc w:val="center"/>
            </w:pPr>
            <w:pPr>
              <w:jc w:val="star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w:t>
            </w:r>
          </w:p>
          <w:bookmarkEnd w:id="30"/>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w:t>
      </w:r>
      <w:r>
        <w:t xml:space="preserve"> </w:t>
      </w:r>
      <w:r>
        <w:t xml:space="preserve">Finally, blip-up and blip-down spin-echo versions of the fMRI sequence were acquired at the end to estimate the B0 non-uniformity map for fMRI phase distortion correction.</w:t>
      </w:r>
    </w:p>
    <w:bookmarkEnd w:id="31"/>
    <w:bookmarkStart w:id="35"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32">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59</w:t>
      </w:r>
      <w:r>
        <w:t xml:space="preserve"> </w:t>
      </w:r>
      <w:r>
        <w:t xml:space="preserve">(v1.0.20211006) and then to Brain Imaging Data Structure (BIDS)</w:t>
      </w:r>
      <w:r>
        <w:rPr>
          <w:vertAlign w:val="superscript"/>
        </w:rPr>
        <w:t xml:space="preserve">60</w:t>
      </w:r>
      <w:r>
        <w:t xml:space="preserve"> </w:t>
      </w:r>
      <w:r>
        <w:t xml:space="preserve">format using</w:t>
      </w:r>
      <w:r>
        <w:t xml:space="preserve"> </w:t>
      </w:r>
      <w:r>
        <w:rPr>
          <w:rStyle w:val="VerbatimChar"/>
        </w:rPr>
        <w:t xml:space="preserve">dcm2bids</w:t>
      </w:r>
      <w:r>
        <w:rPr>
          <w:vertAlign w:val="superscript"/>
        </w:rPr>
        <w:t xml:space="preserve">61</w:t>
      </w:r>
      <w:r>
        <w:t xml:space="preserve"> </w:t>
      </w:r>
      <w:r>
        <w:t xml:space="preserve">(v2.1.6).</w:t>
      </w:r>
    </w:p>
    <w:bookmarkStart w:id="33"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62</w:t>
      </w:r>
      <w:r>
        <w:t xml:space="preserve"> </w:t>
      </w:r>
      <w:r>
        <w:t xml:space="preserve">and distributed using</w:t>
      </w:r>
      <w:r>
        <w:t xml:space="preserve"> </w:t>
      </w:r>
      <w:r>
        <w:rPr>
          <w:rStyle w:val="VerbatimChar"/>
        </w:rPr>
        <w:t xml:space="preserve">ANTs</w:t>
      </w:r>
      <w:r>
        <w:rPr>
          <w:vertAlign w:val="superscript"/>
        </w:rPr>
        <w:t xml:space="preserve">63</w:t>
      </w:r>
      <w:r>
        <w:t xml:space="preserve"> </w:t>
      </w:r>
      <w:r>
        <w:t xml:space="preserve">(v2.3.335) to be used as a T1w-reference for the rest of the workflow. The T1w-reference was skull-stripped using a</w:t>
      </w:r>
      <w:r>
        <w:t xml:space="preserve"> </w:t>
      </w:r>
      <w:r>
        <w:rPr>
          <w:rStyle w:val="VerbatimChar"/>
        </w:rPr>
        <w:t xml:space="preserve">Nipype</w:t>
      </w:r>
      <w:r>
        <w:rPr>
          <w:vertAlign w:val="superscript"/>
        </w:rPr>
        <w:t xml:space="preserve">64</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65</w:t>
      </w:r>
      <w:r>
        <w:t xml:space="preserve"> </w:t>
      </w:r>
      <w:r>
        <w:t xml:space="preserve">(</w:t>
      </w:r>
      <w:r>
        <w:rPr>
          <w:rStyle w:val="VerbatimChar"/>
        </w:rPr>
        <w:t xml:space="preserve">FSL</w:t>
      </w:r>
      <w:r>
        <w:rPr>
          <w:vertAlign w:val="superscript"/>
        </w:rPr>
        <w:t xml:space="preserve">66</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67</w:t>
      </w:r>
      <w:r>
        <w:t xml:space="preserve"> </w:t>
      </w:r>
      <w:r>
        <w:t xml:space="preserve">(</w:t>
      </w:r>
      <w:r>
        <w:rPr>
          <w:rStyle w:val="VerbatimChar"/>
        </w:rPr>
        <w:t xml:space="preserve">FreeSurfer</w:t>
      </w:r>
      <w:r>
        <w:rPr>
          <w:vertAlign w:val="superscript"/>
        </w:rPr>
        <w:t xml:space="preserve">67</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68</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63</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33"/>
    <w:bookmarkStart w:id="34"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69</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70</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71</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72</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67</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73</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34"/>
    <w:bookmarkEnd w:id="35"/>
    <w:bookmarkStart w:id="36" w:name="mrs"/>
    <w:p>
      <w:pPr>
        <w:pStyle w:val="Heading2"/>
      </w:pPr>
      <w:r>
        <w:t xml:space="preserve">2.6 MRS</w:t>
      </w:r>
    </w:p>
    <w:p>
      <w:pPr>
        <w:pStyle w:val="FirstParagraph"/>
      </w:pPr>
      <w:r>
        <w:t xml:space="preserve">sLASER data were processed and fit to a spectrum using</w:t>
      </w:r>
      <w:r>
        <w:t xml:space="preserve"> </w:t>
      </w:r>
      <w:r>
        <w:rPr>
          <w:rStyle w:val="VerbatimChar"/>
        </w:rPr>
        <w:t xml:space="preserve">Osprey</w:t>
      </w:r>
      <w:r>
        <w:rPr>
          <w:vertAlign w:val="superscript"/>
        </w:rPr>
        <w:t xml:space="preserve">74</w:t>
      </w:r>
      <w:r>
        <w:t xml:space="preserve"> </w:t>
      </w:r>
      <w:r>
        <w:t xml:space="preserve">(v2.4.0). Full width half-maximum (FWHM) of the single-Lorentzian fit of the N-acetylaspartate (NAA) peak were calculated for quality assurance purposes. The MRS voxel was co-registered to T1w reference image and segmented by</w:t>
      </w:r>
      <w:r>
        <w:t xml:space="preserve"> </w:t>
      </w:r>
      <w:r>
        <w:rPr>
          <w:rStyle w:val="VerbatimChar"/>
        </w:rPr>
        <w:t xml:space="preserve">SPM12</w:t>
      </w:r>
      <w:r>
        <w:rPr>
          <w:vertAlign w:val="superscript"/>
        </w:rPr>
        <w:t xml:space="preserve">75</w:t>
      </w:r>
      <w:r>
        <w:t xml:space="preserve"> </w:t>
      </w:r>
      <w:r>
        <w:t xml:space="preserve">into CSF, GM, and WM. Metabolites were water-scaled as well as tissue- and relaxation-corrected by the Gasparovic et al. (2006) method</w:t>
      </w:r>
      <w:r>
        <w:rPr>
          <w:vertAlign w:val="superscript"/>
        </w:rPr>
        <w:t xml:space="preserve">76</w:t>
      </w:r>
      <w:r>
        <w:t xml:space="preserve">.</w:t>
      </w:r>
      <w:r>
        <w:t xml:space="preserve"> </w:t>
      </w:r>
      <w:r>
        <w:t xml:space="preserve"> </w:t>
      </w:r>
      <w:r>
        <w:t xml:space="preserve">Glutamate is challenging to capture due to its signal overlaps with other metabolites</w:t>
      </w:r>
      <w:r>
        <w:rPr>
          <w:vertAlign w:val="superscript"/>
        </w:rPr>
        <w:t xml:space="preserve">77</w:t>
      </w:r>
      <w:r>
        <w:t xml:space="preserve">. In particular, Glu shares a similar chemical structure with glutamine (Gln) which causes the spectral features of Glu to be contaminated with Gln</w:t>
      </w:r>
      <w:r>
        <w:rPr>
          <w:vertAlign w:val="superscript"/>
        </w:rPr>
        <w:t xml:space="preserve">78</w:t>
      </w:r>
      <w:r>
        <w:t xml:space="preserve">. As a result, we decided to report Glx values, which co-reports Glu and Gln to avoid errors in spectral assignment, especially since it is controversial whether Glu can reliably be separated from Gln at 3T</w:t>
      </w:r>
      <w:r>
        <w:rPr>
          <w:vertAlign w:val="superscript"/>
        </w:rPr>
        <w:t xml:space="preserve">79,80</w:t>
      </w:r>
      <w:r>
        <w:t xml:space="preserve">.</w:t>
      </w:r>
      <w:r>
        <w:t xml:space="preserve"> </w:t>
      </w:r>
    </w:p>
    <w:p>
      <w:pPr>
        <w:pStyle w:val="TextBody"/>
      </w:pPr>
      <w:r>
        <w:t xml:space="preserve">MEGA-PRESS data were processed and fit with</w:t>
      </w:r>
      <w:r>
        <w:t xml:space="preserve"> </w:t>
      </w:r>
      <w:r>
        <w:rPr>
          <w:rStyle w:val="VerbatimChar"/>
        </w:rPr>
        <w:t xml:space="preserve">Osprey</w:t>
      </w:r>
      <w:r>
        <w:t xml:space="preserve">, and were relaxation-, tissue- and alpha-corrected using the Harris et al. (2015) method</w:t>
      </w:r>
      <w:r>
        <w:rPr>
          <w:vertAlign w:val="superscript"/>
        </w:rPr>
        <w:t xml:space="preserve">81</w:t>
      </w:r>
      <w:r>
        <w:t xml:space="preserve">. Due to the J-editing sequence of MEGA-PRESS, a challenge of GABA quantification is macromolecule quantification</w:t>
      </w:r>
      <w:r>
        <w:rPr>
          <w:vertAlign w:val="superscript"/>
        </w:rPr>
        <w:t xml:space="preserve">81</w:t>
      </w:r>
      <w:r>
        <w:t xml:space="preserve">. As a result, we report GABA+, a measure which co-reports GABA with macromolecules. Macromolecules (MM) are expected to account for approximately 45% of the GABA+ signal</w:t>
      </w:r>
      <w:r>
        <w:rPr>
          <w:vertAlign w:val="superscript"/>
        </w:rPr>
        <w:t xml:space="preserve">81</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82</w:t>
      </w:r>
      <w:r>
        <w:t xml:space="preserve">. Moreover, GABA+ shows greater reliability for both creatine-referenced and water-suppressed estimates</w:t>
      </w:r>
      <w:r>
        <w:rPr>
          <w:vertAlign w:val="superscript"/>
        </w:rPr>
        <w:t xml:space="preserve">82,83</w:t>
      </w:r>
      <w:r>
        <w:t xml:space="preserve">. MM-suppressed GABA and GABA+ estimates are also correlated, albeit weakly- to moderately-so</w:t>
      </w:r>
      <w:r>
        <w:rPr>
          <w:vertAlign w:val="superscript"/>
        </w:rPr>
        <w:t xml:space="preserve">81–83</w:t>
      </w:r>
      <w:r>
        <w:t xml:space="preserve">. Consequently, we report GABA+ to allow for easier comparison of our results to other studies as well as reproducibility.</w:t>
      </w:r>
    </w:p>
    <w:p>
      <w:pPr>
        <w:pStyle w:val="TextBody"/>
      </w:pPr>
      <w:r>
        <w:t xml:space="preserve">Basis sets were created using</w:t>
      </w:r>
      <w:r>
        <w:t xml:space="preserve"> </w:t>
      </w:r>
      <w:r>
        <w:rPr>
          <w:rStyle w:val="VerbatimChar"/>
        </w:rPr>
        <w:t xml:space="preserve">MRSCloud</w:t>
      </w:r>
      <w:r>
        <w:rPr>
          <w:vertAlign w:val="superscript"/>
        </w:rPr>
        <w:t xml:space="preserve">84,85</w:t>
      </w:r>
      <w:r>
        <w:t xml:space="preserve">. For sLASER,</w:t>
      </w:r>
      <w:r>
        <w:t xml:space="preserve"> </w:t>
      </w:r>
      <w:r>
        <w:t xml:space="preserve">‘localization’</w:t>
      </w:r>
      <w:r>
        <w:t xml:space="preserve"> </w:t>
      </w:r>
      <w:r>
        <w:t xml:space="preserve">was set to</w:t>
      </w:r>
      <w:r>
        <w:t xml:space="preserve"> </w:t>
      </w:r>
      <w:r>
        <w:t xml:space="preserve">‘sLASER’</w:t>
      </w:r>
      <w:r>
        <w:t xml:space="preserve">,</w:t>
      </w:r>
      <w:r>
        <w:t xml:space="preserve"> </w:t>
      </w:r>
      <w:r>
        <w:t xml:space="preserve">‘vendor’</w:t>
      </w:r>
      <w:r>
        <w:t xml:space="preserve"> </w:t>
      </w:r>
      <w:r>
        <w:t xml:space="preserve">to</w:t>
      </w:r>
      <w:r>
        <w:t xml:space="preserve"> </w:t>
      </w:r>
      <w:r>
        <w:t xml:space="preserve">‘GE’</w:t>
      </w:r>
      <w:r>
        <w:t xml:space="preserve">,</w:t>
      </w:r>
      <w:r>
        <w:t xml:space="preserve"> </w:t>
      </w:r>
      <w:r>
        <w:t xml:space="preserve">‘editing’</w:t>
      </w:r>
      <w:r>
        <w:t xml:space="preserve"> </w:t>
      </w:r>
      <w:r>
        <w:t xml:space="preserve">to</w:t>
      </w:r>
      <w:r>
        <w:t xml:space="preserve"> </w:t>
      </w:r>
      <w:r>
        <w:t xml:space="preserve">‘UnEdited’</w:t>
      </w:r>
      <w:r>
        <w:t xml:space="preserve">, and</w:t>
      </w:r>
      <w:r>
        <w:t xml:space="preserve"> </w:t>
      </w:r>
      <w:r>
        <w:t xml:space="preserve">‘TE’</w:t>
      </w:r>
      <w:r>
        <w:t xml:space="preserve"> </w:t>
      </w:r>
      <w:r>
        <w:t xml:space="preserve">to 35. For MEGA-PRESS,</w:t>
      </w:r>
      <w:r>
        <w:t xml:space="preserve"> </w:t>
      </w:r>
      <w:r>
        <w:t xml:space="preserve">‘localization’</w:t>
      </w:r>
      <w:r>
        <w:t xml:space="preserve"> </w:t>
      </w:r>
      <w:r>
        <w:t xml:space="preserve">was set to</w:t>
      </w:r>
      <w:r>
        <w:t xml:space="preserve"> </w:t>
      </w:r>
      <w:r>
        <w:t xml:space="preserve">‘PRESS’</w:t>
      </w:r>
      <w:r>
        <w:t xml:space="preserve">,</w:t>
      </w:r>
      <w:r>
        <w:t xml:space="preserve"> </w:t>
      </w:r>
      <w:r>
        <w:t xml:space="preserve">‘editing’</w:t>
      </w:r>
      <w:r>
        <w:t xml:space="preserve"> </w:t>
      </w:r>
      <w:r>
        <w:t xml:space="preserve">to</w:t>
      </w:r>
      <w:r>
        <w:t xml:space="preserve"> </w:t>
      </w:r>
      <w:r>
        <w:t xml:space="preserve">‘MEGA’</w:t>
      </w:r>
      <w:r>
        <w:t xml:space="preserve">,</w:t>
      </w:r>
      <w:r>
        <w:t xml:space="preserve"> </w:t>
      </w:r>
      <w:r>
        <w:t xml:space="preserve">‘TE’</w:t>
      </w:r>
      <w:r>
        <w:t xml:space="preserve"> </w:t>
      </w:r>
      <w:r>
        <w:t xml:space="preserve">to 68,</w:t>
      </w:r>
      <w:r>
        <w:t xml:space="preserve"> </w:t>
      </w:r>
      <w:r>
        <w:t xml:space="preserve">‘edit on’</w:t>
      </w:r>
      <w:r>
        <w:t xml:space="preserve"> </w:t>
      </w:r>
      <w:r>
        <w:t xml:space="preserve">to</w:t>
      </w:r>
      <w:r>
        <w:t xml:space="preserve"> </w:t>
      </w:r>
      <w:r>
        <w:t xml:space="preserve">‘1.9’</w:t>
      </w:r>
      <w:r>
        <w:t xml:space="preserve">,</w:t>
      </w:r>
      <w:r>
        <w:t xml:space="preserve"> </w:t>
      </w:r>
      <w:r>
        <w:t xml:space="preserve">‘edit off’</w:t>
      </w:r>
      <w:r>
        <w:t xml:space="preserve"> </w:t>
      </w:r>
      <w:r>
        <w:t xml:space="preserve">to</w:t>
      </w:r>
      <w:r>
        <w:t xml:space="preserve"> </w:t>
      </w:r>
      <w:r>
        <w:t xml:space="preserve">‘7.5’</w:t>
      </w:r>
      <w:r>
        <w:t xml:space="preserve">, and</w:t>
      </w:r>
      <w:r>
        <w:t xml:space="preserve"> </w:t>
      </w:r>
      <w:r>
        <w:t xml:space="preserve">‘pulse duration’</w:t>
      </w:r>
      <w:r>
        <w:t xml:space="preserve"> </w:t>
      </w:r>
      <w:r>
        <w:t xml:space="preserve">to</w:t>
      </w:r>
      <w:r>
        <w:t xml:space="preserve"> </w:t>
      </w:r>
      <w:r>
        <w:t xml:space="preserve">‘14’</w:t>
      </w:r>
      <w:r>
        <w:t xml:space="preserve">. Metabolites included for both basis sets were: Asc, Asp, Cr, CrCH2, EA, GABA, GPC, GSH, Gln, Glu, Gly, H2O, Lac, NAA, NAAG, PCh, PCr, PE, Ser, Tau, mI, and sI. Excitatory-inhibitory ratio (E:I) was calculated as [Glx from sLASER in i.u.]/[GABA+ from MEGA-PRESS in i.u.], a common practice to report E:I using MRS</w:t>
      </w:r>
      <w:r>
        <w:rPr>
          <w:vertAlign w:val="superscript"/>
        </w:rPr>
        <w:t xml:space="preserve">86</w:t>
      </w:r>
      <w:r>
        <w:t xml:space="preserve">.</w:t>
      </w:r>
      <w:r>
        <w:t xml:space="preserve"> </w:t>
      </w:r>
    </w:p>
    <w:p>
      <w:pPr>
        <w:pStyle w:val="TextBody"/>
      </w:pPr>
      <w:r>
        <w:t xml:space="preserve">Participants were excluded from further analysis if any of their MRS scans had FWHM &gt; 10. Originally we intended to calculate, report and analyze MRS as tissue-corrected quantitative values. However, the</w:t>
      </w:r>
      <w:r>
        <w:t xml:space="preserve"> </w:t>
      </w:r>
      <w:r>
        <w:rPr>
          <w:rStyle w:val="VerbatimChar"/>
        </w:rPr>
        <w:t xml:space="preserve">Osprey</w:t>
      </w:r>
      <w:r>
        <w:t xml:space="preserve"> </w:t>
      </w:r>
      <w:r>
        <w:t xml:space="preserve">software was reporting Glx metabolite concentrations from the sLASER sequence that were an order of magnitude larger than reported values in the literature (i.e. x10). Attempts to re-analyze the sLASER data using</w:t>
      </w:r>
      <w:r>
        <w:t xml:space="preserve"> </w:t>
      </w:r>
      <w:r>
        <w:rPr>
          <w:rStyle w:val="VerbatimChar"/>
        </w:rPr>
        <w:t xml:space="preserve">fsl_mrs</w:t>
      </w:r>
      <w:r>
        <w:rPr>
          <w:vertAlign w:val="superscript"/>
        </w:rPr>
        <w:t xml:space="preserve">87</w:t>
      </w:r>
      <w:r>
        <w:t xml:space="preserve"> </w:t>
      </w:r>
      <w:r>
        <w:t xml:space="preserve">resulted in similarly large concentrations. Despite several attempts, we were unable to locate the source of this error. Therefore we decided to analyze and report metabolite to creatine (tCr) ratios (i.e. Glx / tCr and GABA+ / tCr), which agreed well with reported literature values</w:t>
      </w:r>
      <w:r>
        <w:rPr>
          <w:vertAlign w:val="superscript"/>
        </w:rPr>
        <w:t xml:space="preserve">88–92</w:t>
      </w:r>
      <w:r>
        <w:t xml:space="preserve">. In order to be confident in our results, however, we re-ran all MRS analyses, acquiring quantitative Glx and GABA+ values from the MEGA-PRESS sequence only using the software</w:t>
      </w:r>
      <w:r>
        <w:t xml:space="preserve"> </w:t>
      </w:r>
      <w:r>
        <w:rPr>
          <w:rStyle w:val="VerbatimChar"/>
        </w:rPr>
        <w:t xml:space="preserve">Gannet</w:t>
      </w:r>
      <w:r>
        <w:rPr>
          <w:vertAlign w:val="superscript"/>
        </w:rPr>
        <w:t xml:space="preserve">93</w:t>
      </w:r>
      <w:r>
        <w:t xml:space="preserve"> </w:t>
      </w:r>
      <w:r>
        <w:t xml:space="preserve">(v3.3.0). Values were relaxation-, tissue- and alpha-corrected using the Harris et al. (2015) method</w:t>
      </w:r>
      <w:r>
        <w:rPr>
          <w:vertAlign w:val="superscript"/>
        </w:rPr>
        <w:t xml:space="preserve">81</w:t>
      </w:r>
      <w:r>
        <w:t xml:space="preserve">. Results using Glx and GABA+ from the</w:t>
      </w:r>
      <w:r>
        <w:t xml:space="preserve"> </w:t>
      </w:r>
      <w:r>
        <w:rPr>
          <w:rStyle w:val="VerbatimChar"/>
        </w:rPr>
        <w:t xml:space="preserve">Gannet</w:t>
      </w:r>
      <w:r>
        <w:t xml:space="preserve"> </w:t>
      </w:r>
      <w:r>
        <w:t xml:space="preserve">analysis of MEGA-PRESS only are reported in the Supplementary Material.</w:t>
      </w:r>
    </w:p>
    <w:bookmarkEnd w:id="36"/>
    <w:bookmarkStart w:id="37"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w:t>
      </w:r>
      <w:r>
        <w:t xml:space="preserve">‘power’</w:t>
      </w:r>
      <w:r>
        <w:t xml:space="preserve">) across frequencies. Complex signals are classified into two categories: fractional Gaussian noise (fGn) and fractional Brownian motion (fBm)</w:t>
      </w:r>
      <w:r>
        <w:rPr>
          <w:vertAlign w:val="superscript"/>
        </w:rPr>
        <w:t xml:space="preserve">24,94</w:t>
      </w:r>
      <w:r>
        <w:t xml:space="preserve">. The former is a stationary signal (i.e., does not vary over time), while the latter is non-stationary with stationary increments</w:t>
      </w:r>
      <w:r>
        <w:rPr>
          <w:vertAlign w:val="superscript"/>
        </w:rPr>
        <w:t xml:space="preserve">24</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95</w:t>
      </w:r>
      <w:r>
        <w:t xml:space="preserve">. fBm and fGn require distinct H calculation methods</w:t>
      </w:r>
      <w:r>
        <w:rPr>
          <w:vertAlign w:val="superscript"/>
        </w:rPr>
        <w:t xml:space="preserve">24</w:t>
      </w:r>
      <w:r>
        <w:t xml:space="preserve">. PSD was estimated using Welch’s method</w:t>
      </w:r>
      <w:r>
        <w:rPr>
          <w:vertAlign w:val="superscript"/>
        </w:rPr>
        <w:t xml:space="preserve">96</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97</w:t>
      </w:r>
      <w:r>
        <w:t xml:space="preserve">. Data were divided into 8 windows of 50% overlap and averaged.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24,98</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w:t>
      </w:r>
      <w:r>
        <w:t xml:space="preserve"> </w:t>
      </w:r>
      <w:r>
        <w:t xml:space="preserve">‘extended Hurst’</w:t>
      </w:r>
      <w:r>
        <w:t xml:space="preserve"> </w:t>
      </w:r>
      <w:r>
        <w:t xml:space="preserve">(H’) concept in this study: for 0 &lt; H &lt; 1, the signal is understood as fGn, while for 1 &lt; H &lt; 2, the signal is understood to be fBm</w:t>
      </w:r>
      <w:r>
        <w:rPr>
          <w:vertAlign w:val="superscript"/>
        </w:rPr>
        <w:t xml:space="preserve">30,99,100</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37"/>
    <w:bookmarkStart w:id="38"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101</w:t>
      </w:r>
      <w:r>
        <w:t xml:space="preserve"> </w:t>
      </w:r>
      <w:r>
        <w:t xml:space="preserve">and</w:t>
      </w:r>
      <w:r>
        <w:t xml:space="preserve"> </w:t>
      </w:r>
      <w:r>
        <w:rPr>
          <w:rStyle w:val="VerbatimChar"/>
        </w:rPr>
        <w:t xml:space="preserve">RStudio</w:t>
      </w:r>
      <w:r>
        <w:t xml:space="preserve"> </w:t>
      </w:r>
      <w:r>
        <w:t xml:space="preserve">(v2023.06.0+421). Difference of means of H, Glx, and GABA+ between rest and movie conditions were calculated using paired Student’s t-tests</w:t>
      </w:r>
      <w:r>
        <w:rPr>
          <w:vertAlign w:val="superscript"/>
        </w:rPr>
        <w:t xml:space="preserve">102</w:t>
      </w:r>
      <w:r>
        <w:t xml:space="preserve">. Correlations between H and Glx, GABA+ and E:I were calculated using Pearson’s method</w:t>
      </w:r>
      <w:r>
        <w:rPr>
          <w:vertAlign w:val="superscript"/>
        </w:rPr>
        <w:t xml:space="preserve">103</w:t>
      </w:r>
      <w:r>
        <w:t xml:space="preserve">. Finally, a linear mixed-effect model was used to test for the correlation of H and E:I while controlling for possible confounding effects of MRS FWHM and fMRI motion (see Results).</w:t>
      </w:r>
    </w:p>
    <w:bookmarkEnd w:id="38"/>
    <w:bookmarkEnd w:id="39"/>
    <w:bookmarkStart w:id="69" w:name="results"/>
    <w:p>
      <w:pPr>
        <w:pStyle w:val="Heading1"/>
      </w:pPr>
      <w:r>
        <w:t xml:space="preserve">3. Results</w:t>
      </w:r>
    </w:p>
    <w:bookmarkStart w:id="44"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19 were included in the final analysis: two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partflow"/>
          <w:p>
            <w:pPr>
              <w:pStyle w:val="Compact"/>
              <w:jc w:val="center"/>
            </w:pPr>
            <w:r>
              <w:drawing>
                <wp:inline>
                  <wp:extent cx="5943600" cy="2547257"/>
                  <wp:effectExtent b="0" l="0" r="0" t="0"/>
                  <wp:docPr descr="" title="" id="41" name="Picture"/>
                  <a:graphic>
                    <a:graphicData uri="http://schemas.openxmlformats.org/drawingml/2006/picture">
                      <pic:pic>
                        <pic:nvPicPr>
                          <pic:cNvPr descr="./images/ParticipantFlow.png" id="42" name="Picture"/>
                          <pic:cNvPicPr>
                            <a:picLocks noChangeArrowheads="1" noChangeAspect="1"/>
                          </pic:cNvPicPr>
                        </pic:nvPicPr>
                        <pic:blipFill>
                          <a:blip r:embed="rId40"/>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19 participants included in the final analysis</w:t>
            </w:r>
          </w:p>
          <w:bookmarkEnd w:id="43"/>
        </w:tc>
      </w:tr>
    </w:tbl>
    <w:p>
      <w:pPr>
        <w:pStyle w:val="TextBody"/>
      </w:pPr>
      <w:r>
        <w:t xml:space="preserve">The final study sample included 9 males and 10 females between ages 21.3 and 53.4, with a mean age and standard deviation of 30.1 ± 8.7 years.</w:t>
      </w:r>
    </w:p>
    <w:bookmarkEnd w:id="44"/>
    <w:bookmarkStart w:id="55" w:name="data-quality"/>
    <w:p>
      <w:pPr>
        <w:pStyle w:val="Heading2"/>
      </w:pPr>
      <w:r>
        <w:t xml:space="preserve">3.2 Data Quality</w:t>
      </w:r>
    </w:p>
    <w:p>
      <w:pPr>
        <w:pStyle w:val="FirstParagraph"/>
      </w:pPr>
      <w:r>
        <w:t xml:space="preserve">After exclusion, FWHM (mean ± sd) at rest in sLASER and MEGA-PRESS were 8.52 ± 0.7</w:t>
      </w:r>
      <w:r>
        <w:t xml:space="preserve"> </w:t>
      </w:r>
      <w:r>
        <w:t xml:space="preserve">and 7.02 ± 0.7, respectively. During movie watching, FWHM in sLASER and MEGA-PRESS were 8.37 ± 0.65</w:t>
      </w:r>
      <w:r>
        <w:t xml:space="preserve"> </w:t>
      </w:r>
      <w:r>
        <w:t xml:space="preserve">and 6.98 ± 0.86.</w:t>
      </w:r>
    </w:p>
    <w:p>
      <w:pPr>
        <w:pStyle w:val="TextBody"/>
      </w:pPr>
      <w:r>
        <w:t xml:space="preserve">Glx and GABA+ were tested for associations with FWHM values during rest and movie watching. Glx during rest was found to be negatively correlated with FWHM (r = -0.53, p = 0.02). No other correlations were significant.</w:t>
      </w:r>
    </w:p>
    <w:p>
      <w:pPr>
        <w:pStyle w:val="TextBody"/>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w:t>
      </w:r>
    </w:p>
    <w:bookmarkStart w:id="49" w:name="cell-fig-mrsquality"/>
    <w:tbl>
      <w:tblPr>
        <w:tblStyle w:val="Table"/>
        <w:tblW w:type="pct" w:w="5000"/>
        <w:tblLayout w:type="fixed"/>
        <w:tblLook w:firstRow="0" w:lastRow="0" w:firstColumn="0" w:lastColumn="0" w:noHBand="0" w:noVBand="0" w:val="0000"/>
      </w:tblPr>
      <w:tblGrid>
        <w:gridCol w:w="7920"/>
      </w:tblGrid>
      <w:tr>
        <w:tc>
          <w:tcPr/>
          <w:bookmarkStart w:id="48" w:name="fig-mrsquality"/>
          <w:p>
            <w:pPr>
              <w:pStyle w:val="Compact"/>
              <w:jc w:val="center"/>
            </w:pPr>
            <w:r>
              <w:drawing>
                <wp:inline>
                  <wp:extent cx="5544151" cy="7392202"/>
                  <wp:effectExtent b="0" l="0" r="0" t="0"/>
                  <wp:docPr descr="" title="" id="46" name="Picture"/>
                  <a:graphic>
                    <a:graphicData uri="http://schemas.openxmlformats.org/drawingml/2006/picture">
                      <pic:pic>
                        <pic:nvPicPr>
                          <pic:cNvPr descr="index_files/figure-docx/fig-mrsquality-1.png" id="47" name="Picture"/>
                          <pic:cNvPicPr>
                            <a:picLocks noChangeArrowheads="1" noChangeAspect="1"/>
                          </pic:cNvPicPr>
                        </pic:nvPicPr>
                        <pic:blipFill>
                          <a:blip r:embed="rId45"/>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Overlay in red of the average voxel location across all nineteen participants, from 0 (white) to 1 (dark red). Darker red represents voxel locations shared by all participants, while white represents voxel locations unique to participants. MRS voxels were registered to MNI space and averaged. Underlay is T1w MNI152 at 0.5 mm resolution. B) Sample Osprey sLASER Spectrum. Yellow spectrum indicates overall model fit. Model fits for individual metabolites are shown in blue below overall fit. C) Sample Osprey MEGA-PRESS Spectrum. Yellow spectrum indicates overall model fit. Model fits for individual metabolites are shown in blue below overall fit. D) Correlation plots of Glx / tCr vs. FWHM for rest (green) and movie (red). E) Correlation plots of GABA+ / tCr vs. FWHM for rest (green) and movie (red).</w:t>
            </w:r>
          </w:p>
          <w:bookmarkEnd w:id="48"/>
        </w:tc>
      </w:tr>
    </w:tbl>
    <w:bookmarkEnd w:id="49"/>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p>
      <w:pPr>
        <w:pStyle w:val="TextBody"/>
      </w:pPr>
      <w:r>
        <w:t xml:space="preserve">Mean FD was not correlated with H during rest (r = -0.33, p = 0.16 but was moderately negatively correlated with H during movie watching (r = -0.50, p = 0.03; see</w:t>
      </w:r>
      <w:r>
        <w:t xml:space="preserve"> </w:t>
      </w:r>
      <w:hyperlink w:anchor="fig-hurstsamp">
        <w:r>
          <w:rPr>
            <w:rStyle w:val="InternetLink"/>
          </w:rPr>
          <w:t xml:space="preserve">Figure 4</w:t>
        </w:r>
      </w:hyperlink>
      <w:r>
        <w:t xml:space="preserve"> </w:t>
      </w:r>
      <w:r>
        <w:t xml:space="preserve">D).</w:t>
      </w:r>
    </w:p>
    <w:bookmarkStart w:id="54" w:name="cell-fig-hurstsamp"/>
    <w:tbl>
      <w:tblPr>
        <w:tblStyle w:val="Table"/>
        <w:tblW w:type="pct" w:w="5000"/>
        <w:tblLayout w:type="fixed"/>
        <w:tblLook w:firstRow="0" w:lastRow="0" w:firstColumn="0" w:lastColumn="0" w:noHBand="0" w:noVBand="0" w:val="0000"/>
      </w:tblPr>
      <w:tblGrid>
        <w:gridCol w:w="7920"/>
      </w:tblGrid>
      <w:tr>
        <w:tc>
          <w:tcPr/>
          <w:bookmarkStart w:id="53" w:name="fig-hurstsamp"/>
          <w:p>
            <w:pPr>
              <w:pStyle w:val="Compact"/>
              <w:jc w:val="center"/>
            </w:pPr>
            <w:r>
              <w:drawing>
                <wp:inline>
                  <wp:extent cx="5544151" cy="5544151"/>
                  <wp:effectExtent b="0" l="0" r="0" t="0"/>
                  <wp:docPr descr="" title="" id="51" name="Picture"/>
                  <a:graphic>
                    <a:graphicData uri="http://schemas.openxmlformats.org/drawingml/2006/picture">
                      <pic:pic>
                        <pic:nvPicPr>
                          <pic:cNvPr descr="index_files/figure-docx/fig-hurstsamp-1.png" id="52" name="Picture"/>
                          <pic:cNvPicPr>
                            <a:picLocks noChangeArrowheads="1" noChangeAspect="1"/>
                          </pic:cNvPicPr>
                        </pic:nvPicPr>
                        <pic:blipFill>
                          <a:blip r:embed="rId50"/>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 D) Correlation plots of H vs. mean FD for rest (green) and movie (orange).</w:t>
            </w:r>
          </w:p>
          <w:bookmarkEnd w:id="53"/>
        </w:tc>
      </w:tr>
    </w:tbl>
    <w:bookmarkEnd w:id="54"/>
    <w:bookmarkEnd w:id="55"/>
    <w:bookmarkStart w:id="67" w:name="h-and-ei"/>
    <w:p>
      <w:pPr>
        <w:pStyle w:val="Heading2"/>
      </w:pPr>
      <w:r>
        <w:t xml:space="preserve">3.3 H and E:I</w:t>
      </w:r>
    </w:p>
    <w:p>
      <w:pPr>
        <w:pStyle w:val="FirstParagraph"/>
      </w:pPr>
      <w:r>
        <w:t xml:space="preserve">Mean ± sd of metabolites,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5</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56"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 / tCr</w:t>
                  </w:r>
                </w:p>
              </w:tc>
              <w:tc>
                <w:tcPr/>
                <w:p>
                  <w:pPr>
                    <w:pStyle w:val="Compact"/>
                    <w:jc w:val="center"/>
                  </w:pPr>
                  <w:r>
                    <w:t xml:space="preserve">1.19 ± 0.11</w:t>
                  </w:r>
                </w:p>
              </w:tc>
              <w:tc>
                <w:tcPr/>
                <w:p>
                  <w:pPr>
                    <w:pStyle w:val="Compact"/>
                    <w:jc w:val="center"/>
                  </w:pPr>
                  <w:r>
                    <w:t xml:space="preserve">1.14 ± 0.11</w:t>
                  </w:r>
                </w:p>
              </w:tc>
              <w:tc>
                <w:tcPr/>
                <w:p>
                  <w:pPr>
                    <w:pStyle w:val="Compact"/>
                    <w:jc w:val="center"/>
                  </w:pPr>
                  <w:r>
                    <w:t xml:space="preserve">0.09</w:t>
                  </w:r>
                </w:p>
              </w:tc>
            </w:tr>
            <w:tr>
              <w:tc>
                <w:tcPr/>
                <w:p>
                  <w:pPr>
                    <w:pStyle w:val="Compact"/>
                    <w:jc w:val="center"/>
                  </w:pPr>
                  <w:r>
                    <w:rPr>
                      <w:b/>
                      <w:bCs/>
                    </w:rPr>
                    <w:t xml:space="preserve">GABA+ / tCr</w:t>
                  </w:r>
                </w:p>
              </w:tc>
              <w:tc>
                <w:tcPr/>
                <w:p>
                  <w:pPr>
                    <w:pStyle w:val="Compact"/>
                    <w:jc w:val="center"/>
                  </w:pPr>
                  <w:r>
                    <w:t xml:space="preserve">0.45 ± 0.06</w:t>
                  </w:r>
                </w:p>
              </w:tc>
              <w:tc>
                <w:tcPr/>
                <w:p>
                  <w:pPr>
                    <w:pStyle w:val="Compact"/>
                    <w:jc w:val="center"/>
                  </w:pPr>
                  <w:r>
                    <w:t xml:space="preserve">0.44 ± 0.06</w:t>
                  </w:r>
                </w:p>
              </w:tc>
              <w:tc>
                <w:tcPr/>
                <w:p>
                  <w:pPr>
                    <w:pStyle w:val="Compact"/>
                    <w:jc w:val="center"/>
                  </w:pPr>
                  <w:r>
                    <w:t xml:space="preserve">0.50</w:t>
                  </w:r>
                </w:p>
              </w:tc>
            </w:tr>
            <w:tr>
              <w:tc>
                <w:tcPr/>
                <w:p>
                  <w:pPr>
                    <w:pStyle w:val="Compact"/>
                    <w:jc w:val="center"/>
                  </w:pPr>
                  <w:r>
                    <w:rPr>
                      <w:b/>
                      <w:bCs/>
                    </w:rPr>
                    <w:t xml:space="preserve">E:I Ratio</w:t>
                  </w:r>
                </w:p>
              </w:tc>
              <w:tc>
                <w:tcPr/>
                <w:p>
                  <w:pPr>
                    <w:pStyle w:val="Compact"/>
                    <w:jc w:val="center"/>
                  </w:pPr>
                  <w:r>
                    <w:t xml:space="preserve">2.68 ± 0.49</w:t>
                  </w:r>
                </w:p>
              </w:tc>
              <w:tc>
                <w:tcPr/>
                <w:p>
                  <w:pPr>
                    <w:pStyle w:val="Compact"/>
                    <w:jc w:val="center"/>
                  </w:pPr>
                  <w:r>
                    <w:t xml:space="preserve">2.65 ± 0.45</w:t>
                  </w:r>
                </w:p>
              </w:tc>
              <w:tc>
                <w:tcPr/>
                <w:p>
                  <w:pPr>
                    <w:pStyle w:val="Compact"/>
                    <w:jc w:val="center"/>
                  </w:pPr>
                  <w:r>
                    <w:t xml:space="preserve">0.82</w:t>
                  </w:r>
                </w:p>
              </w:tc>
            </w:tr>
            <w:tr>
              <w:tc>
                <w:tcPr/>
                <w:p>
                  <w:pPr>
                    <w:pStyle w:val="Compact"/>
                    <w:jc w:val="center"/>
                  </w:pPr>
                  <w:r>
                    <w:rPr>
                      <w:b/>
                      <w:bCs/>
                    </w:rPr>
                    <w:t xml:space="preserve">H</w:t>
                  </w:r>
                </w:p>
              </w:tc>
              <w:tc>
                <w:tcPr/>
                <w:p>
                  <w:pPr>
                    <w:pStyle w:val="Compact"/>
                    <w:jc w:val="center"/>
                  </w:pPr>
                  <w:r>
                    <w:t xml:space="preserve">0.98 ± 0.98</w:t>
                  </w:r>
                </w:p>
              </w:tc>
              <w:tc>
                <w:tcPr/>
                <w:p>
                  <w:pPr>
                    <w:pStyle w:val="Compact"/>
                    <w:jc w:val="center"/>
                  </w:pPr>
                  <w:r>
                    <w:t xml:space="preserve">1.05 ± 1.05</w:t>
                  </w:r>
                </w:p>
              </w:tc>
              <w:tc>
                <w:tcPr/>
                <w:p>
                  <w:pPr>
                    <w:pStyle w:val="Compact"/>
                    <w:jc w:val="center"/>
                  </w:pPr>
                  <w:r>
                    <w:t xml:space="preserve">&lt; 0.01</w:t>
                  </w:r>
                </w:p>
              </w:tc>
            </w:tr>
          </w:tbl>
          <w:p>
            <w:pPr>
              <w:jc w:val="center"/>
            </w:pPr>
            <w:pPr>
              <w:jc w:val="start"/>
              <w:spacing w:before="200"/>
              <w:pStyle w:val="ImageCaption"/>
            </w:pPr>
            <w:r>
              <w:rPr>
                <w:b/>
                <w:bCs/>
              </w:rPr>
              <w:t xml:space="preserve">Table</w:t>
            </w:r>
            <w:r>
              <w:t xml:space="preserve"> 2</w:t>
            </w:r>
            <w:r>
              <w:rPr>
                <w:b/>
                <w:bCs/>
              </w:rPr>
              <w:t xml:space="preserve">.</w:t>
            </w:r>
            <w:r>
              <w:t xml:space="preserve"> </w:t>
            </w:r>
            <w:r>
              <w:rPr>
                <w:b/>
                <w:bCs/>
              </w:rPr>
              <w:t xml:space="preserve">Summary of main results</w:t>
            </w:r>
          </w:p>
          <w:bookmarkEnd w:id="56"/>
        </w:tc>
      </w:tr>
    </w:tbl>
    <w:bookmarkStart w:id="61" w:name="cell-fig-results"/>
    <w:tbl>
      <w:tblPr>
        <w:tblStyle w:val="Table"/>
        <w:tblW w:type="pct" w:w="5000"/>
        <w:tblLayout w:type="fixed"/>
        <w:tblLook w:firstRow="0" w:lastRow="0" w:firstColumn="0" w:lastColumn="0" w:noHBand="0" w:noVBand="0" w:val="0000"/>
      </w:tblPr>
      <w:tblGrid>
        <w:gridCol w:w="7920"/>
      </w:tblGrid>
      <w:tr>
        <w:tc>
          <w:tcPr/>
          <w:bookmarkStart w:id="60" w:name="fig-results"/>
          <w:p>
            <w:pPr>
              <w:pStyle w:val="Compact"/>
              <w:jc w:val="center"/>
            </w:pPr>
            <w:r>
              <w:drawing>
                <wp:inline>
                  <wp:extent cx="5943600" cy="4754880"/>
                  <wp:effectExtent b="0" l="0" r="0" t="0"/>
                  <wp:docPr descr="" title="" id="58" name="Picture"/>
                  <a:graphic>
                    <a:graphicData uri="http://schemas.openxmlformats.org/drawingml/2006/picture">
                      <pic:pic>
                        <pic:nvPicPr>
                          <pic:cNvPr descr="index_files/figure-docx/fig-results-1.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5</w:t>
            </w:r>
            <w:r>
              <w:rPr>
                <w:b/>
                <w:bCs/>
              </w:rPr>
              <w:t xml:space="preserve">.</w:t>
            </w:r>
            <w:r>
              <w:t xml:space="preserve"> </w:t>
            </w:r>
            <w:r>
              <w:rPr>
                <w:b/>
                <w:bCs/>
              </w:rPr>
              <w:t xml:space="preserve">Paired comparison of metabolite values during rest (green) and movie (orange) conditions.</w:t>
            </w:r>
            <w:r>
              <w:t xml:space="preserve"> </w:t>
            </w:r>
            <w:r>
              <w:t xml:space="preserve">A) Glx / tCr; B) GABA+ / tCr; and C) E:I. Paired dots represent the same participant across conditions. Mean difference with 95% confidence intervals, and as Cohen’s D are reported at the top of each plot.</w:t>
            </w:r>
          </w:p>
          <w:bookmarkEnd w:id="60"/>
        </w:tc>
      </w:tr>
    </w:tbl>
    <w:bookmarkEnd w:id="61"/>
    <w:p>
      <w:pPr>
        <w:pStyle w:val="TextBody"/>
      </w:pPr>
      <w:r>
        <w:t xml:space="preserve">H was not found to correlate with Glx, GABA+, or E:I, during rest or movie (</w:t>
      </w:r>
      <w:hyperlink w:anchor="fig-correlations">
        <w:r>
          <w:rPr>
            <w:rStyle w:val="InternetLink"/>
          </w:rPr>
          <w:t xml:space="preserve">Figure 6</w:t>
        </w:r>
      </w:hyperlink>
      <w:r>
        <w:t xml:space="preserve">).</w:t>
      </w:r>
      <w:r>
        <w:t xml:space="preserve"> </w:t>
      </w:r>
    </w:p>
    <w:bookmarkStart w:id="66" w:name="cell-fig-correlations"/>
    <w:tbl>
      <w:tblPr>
        <w:tblStyle w:val="Table"/>
        <w:tblW w:type="pct" w:w="5000"/>
        <w:tblLayout w:type="fixed"/>
        <w:tblLook w:firstRow="0" w:lastRow="0" w:firstColumn="0" w:lastColumn="0" w:noHBand="0" w:noVBand="0" w:val="0000"/>
      </w:tblPr>
      <w:tblGrid>
        <w:gridCol w:w="7920"/>
      </w:tblGrid>
      <w:tr>
        <w:tc>
          <w:tcPr/>
          <w:bookmarkStart w:id="65" w:name="fig-correlations"/>
          <w:p>
            <w:pPr>
              <w:pStyle w:val="Compact"/>
              <w:jc w:val="center"/>
            </w:pPr>
            <w:r>
              <w:drawing>
                <wp:inline>
                  <wp:extent cx="5943600" cy="5094514"/>
                  <wp:effectExtent b="0" l="0" r="0" t="0"/>
                  <wp:docPr descr="" title="" id="63" name="Picture"/>
                  <a:graphic>
                    <a:graphicData uri="http://schemas.openxmlformats.org/drawingml/2006/picture">
                      <pic:pic>
                        <pic:nvPicPr>
                          <pic:cNvPr descr="index_files/figure-docx/fig-correlations-1.png" id="64" name="Picture"/>
                          <pic:cNvPicPr>
                            <a:picLocks noChangeArrowheads="1" noChangeAspect="1"/>
                          </pic:cNvPicPr>
                        </pic:nvPicPr>
                        <pic:blipFill>
                          <a:blip r:embed="rId62"/>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6</w:t>
            </w:r>
            <w:r>
              <w:rPr>
                <w:b/>
                <w:bCs/>
              </w:rPr>
              <w:t xml:space="preserve">.</w:t>
            </w:r>
            <w:r>
              <w:t xml:space="preserve"> </w:t>
            </w:r>
            <w:r>
              <w:rPr>
                <w:b/>
                <w:bCs/>
              </w:rPr>
              <w:t xml:space="preserve">Scatter plots of H vs. metabolites.</w:t>
            </w:r>
            <w:r>
              <w:t xml:space="preserve"> </w:t>
            </w:r>
            <w:r>
              <w:t xml:space="preserve">A) Glx / tCr; B) GABA+ / tCr; and C) E:I. Rest is in green, while movie is in orange. p-values are reported at the top of each plot.</w:t>
            </w:r>
          </w:p>
          <w:bookmarkEnd w:id="65"/>
        </w:tc>
      </w:tr>
    </w:tbl>
    <w:bookmarkEnd w:id="66"/>
    <w:p>
      <w:pPr>
        <w:pStyle w:val="TextBody"/>
      </w:pPr>
      <w:r>
        <w:t xml:space="preserve">To ensure that mean FD and FWHM were not confounding our results, we also ran a linear mixed-effects model with H as dependent variable, Glx/GABA+ as primary predictor of interest, and mean FD, FWHM(Glx), and FWHM(GABA+) as covariates, Condition (rest vs. movie) as fixed effects, and subjects as random effects:</w:t>
      </w:r>
    </w:p>
    <w:p>
      <w:pPr>
        <w:pStyle w:val="TextBody"/>
      </w:pPr>
      <m:oMathPara>
        <m:oMathParaPr>
          <m:jc m:val="center"/>
        </m:oMathParaPr>
        <m:oMath>
          <m:r>
            <m:rPr>
              <m:sty m:val="p"/>
            </m:rPr>
            <m:t>H</m:t>
          </m:r>
          <m:r>
            <m:rPr>
              <m:sty m:val="p"/>
            </m:rPr>
            <m:t>∼</m:t>
          </m:r>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sty m:val="p"/>
                </m:rPr>
                <m:t>+</m:t>
              </m:r>
            </m:den>
          </m:f>
          <m:r>
            <m:rPr>
              <m:sty m:val="p"/>
            </m:rPr>
            <m:t>+</m:t>
          </m:r>
          <m:r>
            <m:rPr>
              <m:sty m:val="p"/>
            </m:rPr>
            <m:t>m</m:t>
          </m:r>
          <m:r>
            <m:rPr>
              <m:sty m:val="p"/>
            </m:rPr>
            <m:t>e</m:t>
          </m:r>
          <m:r>
            <m:rPr>
              <m:sty m:val="p"/>
            </m:rPr>
            <m:t>a</m:t>
          </m:r>
          <m:r>
            <m:rPr>
              <m:sty m:val="p"/>
            </m:rPr>
            <m:t>n</m:t>
          </m:r>
          <m:r>
            <m:rPr>
              <m:sty m:val="p"/>
            </m:rPr>
            <m:t>F</m:t>
          </m:r>
          <m:r>
            <m:rPr>
              <m:sty m:val="p"/>
            </m:rPr>
            <m:t>D</m:t>
          </m:r>
          <m:r>
            <m:rPr>
              <m:sty m:val="p"/>
            </m:rPr>
            <m:t>+</m:t>
          </m:r>
          <m:r>
            <m:rPr>
              <m:sty m:val="p"/>
            </m:rPr>
            <m:t>F</m:t>
          </m:r>
          <m:r>
            <m:rPr>
              <m:sty m:val="p"/>
            </m:rPr>
            <m:t>W</m:t>
          </m:r>
          <m:r>
            <m:rPr>
              <m:sty m:val="p"/>
            </m:rPr>
            <m:t>H</m:t>
          </m:r>
          <m:sSub>
            <m:e>
              <m:r>
                <m:rPr>
                  <m:sty m:val="p"/>
                </m:rPr>
                <m:t>M</m:t>
              </m:r>
            </m:e>
            <m:sub>
              <m:r>
                <m:rPr>
                  <m:sty m:val="p"/>
                </m:rPr>
                <m:t>G</m:t>
              </m:r>
              <m:r>
                <m:rPr>
                  <m:sty m:val="p"/>
                </m:rPr>
                <m:t>l</m:t>
              </m:r>
              <m:r>
                <m:rPr>
                  <m:sty m:val="p"/>
                </m:rPr>
                <m:t>x</m:t>
              </m:r>
            </m:sub>
          </m:sSub>
          <m:r>
            <m:rPr>
              <m:sty m:val="p"/>
            </m:rPr>
            <m:t>+</m:t>
          </m:r>
          <m:r>
            <m:rPr>
              <m:sty m:val="p"/>
            </m:rPr>
            <m:t>F</m:t>
          </m:r>
          <m:r>
            <m:rPr>
              <m:sty m:val="p"/>
            </m:rPr>
            <m:t>W</m:t>
          </m:r>
          <m:r>
            <m:rPr>
              <m:sty m:val="p"/>
            </m:rPr>
            <m:t>H</m:t>
          </m:r>
          <m:sSub>
            <m:e>
              <m:r>
                <m:rPr>
                  <m:sty m:val="p"/>
                </m:rPr>
                <m:t>M</m:t>
              </m:r>
            </m:e>
            <m:sub>
              <m:r>
                <m:rPr>
                  <m:sty m:val="p"/>
                </m:rPr>
                <m:t>G</m:t>
              </m:r>
              <m:r>
                <m:rPr>
                  <m:sty m:val="p"/>
                </m:rPr>
                <m:t>A</m:t>
              </m:r>
              <m:r>
                <m:rPr>
                  <m:sty m:val="p"/>
                </m:rPr>
                <m:t>B</m:t>
              </m:r>
              <m:r>
                <m:rPr>
                  <m:sty m:val="p"/>
                </m:rPr>
                <m:t>A</m:t>
              </m:r>
              <m:r>
                <m:rPr>
                  <m:sty m:val="p"/>
                </m:rPr>
                <m:t>+</m:t>
              </m:r>
            </m:sub>
          </m:sSub>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d>
            <m:dPr>
              <m:begChr m:val="("/>
              <m:endChr m:val=")"/>
              <m:sepChr m:val=""/>
              <m:grow/>
            </m:dPr>
            <m:e>
              <m:r>
                <m:t>1</m:t>
              </m:r>
              <m:r>
                <m:rPr>
                  <m:sty m:val="p"/>
                </m:rPr>
                <m:t>|</m:t>
              </m:r>
              <m:r>
                <m:rPr>
                  <m:sty m:val="p"/>
                </m:rPr>
                <m:t>S</m:t>
              </m:r>
              <m:r>
                <m:rPr>
                  <m:sty m:val="p"/>
                </m:rPr>
                <m:t>u</m:t>
              </m:r>
              <m:r>
                <m:rPr>
                  <m:sty m:val="p"/>
                </m:rPr>
                <m:t>b</m:t>
              </m:r>
              <m:r>
                <m:rPr>
                  <m:sty m:val="p"/>
                </m:rPr>
                <m:t>j</m:t>
              </m:r>
              <m:r>
                <m:rPr>
                  <m:sty m:val="p"/>
                </m:rPr>
                <m:t>e</m:t>
              </m:r>
              <m:r>
                <m:rPr>
                  <m:sty m:val="p"/>
                </m:rPr>
                <m:t>c</m:t>
              </m:r>
              <m:r>
                <m:rPr>
                  <m:sty m:val="p"/>
                </m:rPr>
                <m:t>t</m:t>
              </m:r>
            </m:e>
          </m:d>
        </m:oMath>
      </m:oMathPara>
    </w:p>
    <w:p>
      <w:pPr>
        <w:pStyle w:val="FirstParagraph"/>
      </w:pPr>
      <w:r>
        <w:t xml:space="preserve">The model’s total explanatory power was substantial (conditional r</w:t>
      </w:r>
      <w:r>
        <w:rPr>
          <w:vertAlign w:val="superscript"/>
        </w:rPr>
        <w:t xml:space="preserve">2</w:t>
      </w:r>
      <w:r>
        <w:t xml:space="preserve"> </w:t>
      </w:r>
      <w:r>
        <w:t xml:space="preserve">= 0.69), with fixed effects alone (marginal r</w:t>
      </w:r>
      <w:r>
        <w:rPr>
          <w:vertAlign w:val="superscript"/>
        </w:rPr>
        <w:t xml:space="preserve">2</w:t>
      </w:r>
      <w:r>
        <w:t xml:space="preserve">) equal to 0.19. The model’s intercept, corresponding to EI = 0, Condition = Movie, FWHMs_Glx_ = 0, FWHM_GABA+_ = 0 and meanFD = 0, was 0.98 (95%</w:t>
      </w:r>
      <w:r>
        <w:t xml:space="preserve"> </w:t>
      </w:r>
      <w:r>
        <w:t xml:space="preserve">CI [0.41, 1.56], t(30) = 3.34, p = 0.002). Within this model, only the effect of Condition [Rest] was statistically significant (beta = -0.09, 95% CI [-0.13, -0.04], t(30) = -3.99, p &lt; 0.01).</w:t>
      </w:r>
    </w:p>
    <w:bookmarkEnd w:id="67"/>
    <w:bookmarkStart w:id="68" w:name="re-analysis-using-gannet"/>
    <w:p>
      <w:pPr>
        <w:pStyle w:val="Heading2"/>
      </w:pPr>
      <w:r>
        <w:t xml:space="preserve">3.4 Re-analysis using Gannet</w:t>
      </w:r>
    </w:p>
    <w:p>
      <w:pPr>
        <w:pStyle w:val="FirstParagraph"/>
      </w:pPr>
      <w:r>
        <w:t xml:space="preserve">Re-running our analysis using Glx and GABA+ values from</w:t>
      </w:r>
      <w:r>
        <w:t xml:space="preserve"> </w:t>
      </w:r>
      <w:r>
        <w:rPr>
          <w:rStyle w:val="VerbatimChar"/>
        </w:rPr>
        <w:t xml:space="preserve">Gannet</w:t>
      </w:r>
      <w:r>
        <w:t xml:space="preserve"> </w:t>
      </w:r>
      <w:r>
        <w:t xml:space="preserve">did not result in any significant changes from the results reported above. We did, however, obtain quantitative Glx values much closer to what has been reported in the literature. We have included these results in the Supplementary Material.</w:t>
      </w:r>
    </w:p>
    <w:bookmarkEnd w:id="68"/>
    <w:bookmarkEnd w:id="69"/>
    <w:bookmarkStart w:id="73" w:name="discussion"/>
    <w:p>
      <w:pPr>
        <w:pStyle w:val="Heading1"/>
      </w:pPr>
      <w:r>
        <w:t xml:space="preserve">4. Discussion</w:t>
      </w:r>
    </w:p>
    <w:p>
      <w:pPr>
        <w:pStyle w:val="FirstParagraph"/>
      </w:pPr>
      <w:r>
        <w:t xml:space="preserve">We report here the first</w:t>
      </w:r>
      <w:r>
        <w:t xml:space="preserve"> </w:t>
      </w:r>
      <w:r>
        <w:rPr>
          <w:i/>
          <w:iCs/>
        </w:rPr>
        <w:t xml:space="preserve">in vivo</w:t>
      </w:r>
      <w:r>
        <w:t xml:space="preserve"> </w:t>
      </w:r>
      <w:r>
        <w:t xml:space="preserve">human study of the E:I-H relationship. An increase in H was observed during movie-watching as compared to rest, indicating stronger long-range temporal dependencies in BOLD activity during visual stimulation. No difference was found in Glx, GABA+, nor Glx/GABA+ between rest and movie-watching. Furthermore, no association was found between H and Glx, GABA+, nor Glx/GABA+. Attempting to control for mean FD and FWHM using a linear mixed-effects model did not alter these results.</w:t>
      </w:r>
    </w:p>
    <w:p>
      <w:pPr>
        <w:pStyle w:val="TextBody"/>
      </w:pPr>
      <w:r>
        <w:t xml:space="preserve">Our finding that H increases during movie-watching compared to rest is consistent with a previous study from our lab</w:t>
      </w:r>
      <w:r>
        <w:rPr>
          <w:vertAlign w:val="superscript"/>
        </w:rPr>
        <w:t xml:space="preserve">30</w:t>
      </w:r>
      <w:r>
        <w:t xml:space="preserve">, which reported increased H in the visual network (from Yeo’s seven resting-state networks</w:t>
      </w:r>
      <w:r>
        <w:rPr>
          <w:vertAlign w:val="superscript"/>
        </w:rPr>
        <w:t xml:space="preserve">104</w:t>
      </w:r>
      <w:r>
        <w:t xml:space="preserve">) during movie-watching using data from the Human Connectome Project</w:t>
      </w:r>
      <w:r>
        <w:rPr>
          <w:vertAlign w:val="superscript"/>
        </w:rPr>
        <w:t xml:space="preserve">105</w:t>
      </w:r>
      <w:r>
        <w:t xml:space="preserve">. While this increase in H is consistent with our prior findings, other studies have reported decreases in H during active tasks</w:t>
      </w:r>
      <w:r>
        <w:rPr>
          <w:vertAlign w:val="superscript"/>
        </w:rPr>
        <w:t xml:space="preserve">28,29,31,106</w:t>
      </w:r>
      <w:r>
        <w:t xml:space="preserve">. Our results suggest that the naturalistic, passive nature of movie-watching elicits a different effect on H compared to more active tasks. This is consistent with literature indicating distinct neural responses and BOLD signal characteristics between conventional active visual tasks and naturalistic passive visual stimuli</w:t>
      </w:r>
      <w:r>
        <w:rPr>
          <w:vertAlign w:val="superscript"/>
        </w:rPr>
        <w:t xml:space="preserve">30,107</w:t>
      </w:r>
      <w:r>
        <w:t xml:space="preserve">. Richer scaling properties (higher H) during movie-watching may support the continuous perception of visual stimuli</w:t>
      </w:r>
      <w:r>
        <w:rPr>
          <w:vertAlign w:val="superscript"/>
        </w:rPr>
        <w:t xml:space="preserve">30</w:t>
      </w:r>
      <w:r>
        <w:t xml:space="preserve">.</w:t>
      </w:r>
    </w:p>
    <w:p>
      <w:pPr>
        <w:pStyle w:val="TextBody"/>
      </w:pPr>
      <w:r>
        <w:t xml:space="preserve">We found no changes in either Glx or GABA+ between conditions. Given that no difference was observed for either metabolite, it is unsurprising that E:I did not change either. This was unfortunate as our study was designed to include two conditions in order to elicit changes in H, Glx, and GABA+, aiming to confirm that our experiment induced measurable alterations in these metrics. Establishing such changes would have provided a foundation for directly examining the correlation between H and the E/I ratio. However, because Glx and GABA+ did not show significant changes between conditions, our main results are likely to be met with doubt. Without evidence of condition-induced variations in Glx and GABA+, it remains unclear whether the absence of correlation reflects a true lack of association or insufficient sensitivity of our measurement approach to detect changes in these metabolites.</w:t>
      </w:r>
    </w:p>
    <w:p>
      <w:pPr>
        <w:pStyle w:val="TextBody"/>
      </w:pPr>
      <w:r>
        <w:t xml:space="preserve">A recent meta-analysis of Glu/Glx studies</w:t>
      </w:r>
      <w:r>
        <w:rPr>
          <w:vertAlign w:val="superscript"/>
        </w:rPr>
        <w:t xml:space="preserve">77</w:t>
      </w:r>
      <w:r>
        <w:t xml:space="preserve"> </w:t>
      </w:r>
      <w:r>
        <w:t xml:space="preserve">reported a minimal task-induced increase in Glu/Glx within the visual cortex; however, this finding was not linked to any visual stimuli task, but rather to pain, learning, and motor tasks. Additionally, many of the studies included in the review were conducted at 7T, offering increased sensitivity for detecting changes in Glu/Glx. Nonetheless, several studies have demonstrated changes in Glu/Glx at 3T (e.g.,</w:t>
      </w:r>
      <w:r>
        <w:rPr>
          <w:vertAlign w:val="superscript"/>
        </w:rPr>
        <w:t xml:space="preserve">108–110</w:t>
      </w:r>
      <w:r>
        <w:t xml:space="preserve">). Regarding our GABA+ findings, the same meta-analysis</w:t>
      </w:r>
      <w:r>
        <w:rPr>
          <w:vertAlign w:val="superscript"/>
        </w:rPr>
        <w:t xml:space="preserve">77</w:t>
      </w:r>
      <w:r>
        <w:t xml:space="preserve"> </w:t>
      </w:r>
      <w:r>
        <w:t xml:space="preserve">reported no task-dependent change in GABA within the visual cortex. This may be attributable to technical difficulties associated with capturing GABA levels using MRS at 3T due to its low concentration and signal overlap with more abundant metabolites</w:t>
      </w:r>
      <w:r>
        <w:rPr>
          <w:vertAlign w:val="superscript"/>
        </w:rPr>
        <w:t xml:space="preserve">77</w:t>
      </w:r>
      <w:r>
        <w:t xml:space="preserve">. Nevertheless, it is worth noting that several studies have successfully reported changes in GABA at 3T using different paradigms and/or regions of interest (e.g.,</w:t>
      </w:r>
      <w:r>
        <w:rPr>
          <w:vertAlign w:val="superscript"/>
        </w:rPr>
        <w:t xml:space="preserve">111–113</w:t>
      </w:r>
      <w:r>
        <w:t xml:space="preserve">).</w:t>
      </w:r>
    </w:p>
    <w:p>
      <w:pPr>
        <w:pStyle w:val="TextBody"/>
      </w:pPr>
      <w:r>
        <w:t xml:space="preserve">Another reason we may not have found changes in Glx or GABA+ may be due to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110,114</w:t>
      </w:r>
      <w:r>
        <w:t xml:space="preserve">.</w:t>
      </w:r>
      <w:r>
        <w:t xml:space="preserve"> </w:t>
      </w:r>
      <w:r>
        <w:t xml:space="preserve">Indeed, Pasanta et al. (2023)</w:t>
      </w:r>
      <w:r>
        <w:rPr>
          <w:vertAlign w:val="superscript"/>
        </w:rPr>
        <w:t xml:space="preserve">77</w:t>
      </w:r>
      <w:r>
        <w:t xml:space="preserve"> </w:t>
      </w:r>
      <w:r>
        <w:t xml:space="preserve">found the magnitude of effect sizes were observed to be smaller for block designs than event-related designs.</w:t>
      </w:r>
    </w:p>
    <w:p>
      <w:pPr>
        <w:pStyle w:val="TextBody"/>
      </w:pPr>
      <w:r>
        <w:t xml:space="preserve">However, it may be possible that our results do support the idea that H and E:I are not directly linked; at least not in a simple manner. This 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 The heterogeneity across these E:I-Hurst studies highlights the challenges of studying this phenomenon as well as the complexity of any potential relationship between these two metrics. It may be that, given the mixed-findings of these studies in combination with our data, an E:I-Hurst relationship — should it exist — may depend in part on how the data is collected. This could include variables such as the experimental setup, sampling methods, or data analysis techniques used. Further research is needed to elucidate the true nature of any potential E:I-Hurst relationship and better understand the complexities involved in studying this phenomenon.</w:t>
      </w:r>
    </w:p>
    <w:tbl>
      <w:tblPr>
        <w:tblStyle w:val="Table"/>
        <w:tblW w:type="pct" w:w="5000"/>
        <w:tblLayout w:type="fixed"/>
        <w:tblLook w:firstRow="0" w:lastRow="0" w:firstColumn="0" w:lastColumn="0" w:noHBand="0" w:noVBand="0" w:val="0000"/>
      </w:tblPr>
      <w:tblGrid>
        <w:gridCol w:w="7920"/>
      </w:tblGrid>
      <w:tr>
        <w:tc>
          <w:tcPr/>
          <w:bookmarkStart w:id="70"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center"/>
                  </w:pPr>
                  <w:r>
                    <w:t xml:space="preserve">Citation</w:t>
                  </w:r>
                </w:p>
              </w:tc>
              <w:tc>
                <w:tcPr/>
                <w:p>
                  <w:pPr>
                    <w:pStyle w:val="Compact"/>
                    <w:jc w:val="center"/>
                  </w:pPr>
                  <w:r>
                    <w:t xml:space="preserve">Study Type</w:t>
                  </w:r>
                </w:p>
              </w:tc>
              <w:tc>
                <w:tcPr/>
                <w:p>
                  <w:pPr>
                    <w:pStyle w:val="Compact"/>
                    <w:jc w:val="center"/>
                  </w:pPr>
                  <w:r>
                    <w:t xml:space="preserve">H Data Type</w:t>
                  </w:r>
                </w:p>
              </w:tc>
              <w:tc>
                <w:tcPr/>
                <w:p>
                  <w:pPr>
                    <w:pStyle w:val="Compact"/>
                    <w:jc w:val="center"/>
                  </w:pPr>
                  <w:r>
                    <w:t xml:space="preserve">H Calculation Method</w:t>
                  </w:r>
                </w:p>
              </w:tc>
              <w:tc>
                <w:tcPr/>
                <w:p>
                  <w:pPr>
                    <w:pStyle w:val="Compact"/>
                    <w:jc w:val="center"/>
                  </w:pPr>
                  <w:r>
                    <w:t xml:space="preserve">E:I Type</w:t>
                  </w:r>
                </w:p>
              </w:tc>
              <w:tc>
                <w:tcPr/>
                <w:p>
                  <w:pPr>
                    <w:pStyle w:val="Compact"/>
                    <w:jc w:val="center"/>
                  </w:pPr>
                  <w:r>
                    <w:t xml:space="preserve">E:I-Hurst Relationship</w:t>
                  </w:r>
                </w:p>
              </w:tc>
            </w:tr>
            <w:tr>
              <w:tc>
                <w:tcPr/>
                <w:p>
                  <w:pPr>
                    <w:pStyle w:val="Compact"/>
                    <w:jc w:val="center"/>
                  </w:pPr>
                  <w:r>
                    <w:t xml:space="preserve">Poil et al. (2012)</w:t>
                  </w:r>
                  <w:r>
                    <w:rPr>
                      <w:vertAlign w:val="superscript"/>
                    </w:rPr>
                    <w:t xml:space="preserve">7</w:t>
                  </w:r>
                </w:p>
              </w:tc>
              <w:tc>
                <w:tcPr/>
                <w:p>
                  <w:pPr>
                    <w:pStyle w:val="Compact"/>
                    <w:jc w:val="center"/>
                  </w:pPr>
                  <w:r>
                    <w:t xml:space="preserve">Computational with in-house simulated model</w:t>
                  </w:r>
                </w:p>
              </w:tc>
              <w:tc>
                <w:tcPr/>
                <w:p>
                  <w:pPr>
                    <w:pStyle w:val="Compact"/>
                    <w:jc w:val="center"/>
                  </w:pPr>
                  <w:r>
                    <w:t xml:space="preserve">Neuronal avalanche size</w:t>
                  </w:r>
                </w:p>
              </w:tc>
              <w:tc>
                <w:tcPr/>
                <w:p>
                  <w:pPr>
                    <w:pStyle w:val="Compact"/>
                    <w:jc w:val="center"/>
                  </w:pPr>
                  <w:r>
                    <w:t xml:space="preserve">Detrendend fluctuation analysis (DFA)</w:t>
                  </w:r>
                </w:p>
              </w:tc>
              <w:tc>
                <w:tcPr/>
                <w:p>
                  <w:pPr>
                    <w:pStyle w:val="Compact"/>
                    <w:jc w:val="center"/>
                  </w:pPr>
                  <w:r>
                    <w:t xml:space="preserve">Structural: number of E-to-I neurons</w:t>
                  </w:r>
                </w:p>
              </w:tc>
              <w:tc>
                <w:tcPr/>
                <w:p>
                  <w:pPr>
                    <w:pStyle w:val="Compact"/>
                    <w:jc w:val="center"/>
                  </w:pPr>
                  <w:r>
                    <w:t xml:space="preserve">Inverse U</w:t>
                  </w:r>
                </w:p>
              </w:tc>
            </w:tr>
            <w:tr>
              <w:tc>
                <w:tcPr/>
                <w:p>
                  <w:pPr>
                    <w:pStyle w:val="Compact"/>
                    <w:jc w:val="center"/>
                  </w:pPr>
                  <w:r>
                    <w:t xml:space="preserve">Bruining et al. (2020)</w:t>
                  </w:r>
                  <w:r>
                    <w:rPr>
                      <w:vertAlign w:val="superscript"/>
                    </w:rPr>
                    <w:t xml:space="preserve">10</w:t>
                  </w:r>
                </w:p>
              </w:tc>
              <w:tc>
                <w:tcPr/>
                <w:p>
                  <w:pPr>
                    <w:pStyle w:val="Compact"/>
                    <w:jc w:val="center"/>
                  </w:pPr>
                  <w:r>
                    <w:t xml:space="preserve">Computational with model by Poil et al. (2012); modified in-house</w:t>
                  </w:r>
                </w:p>
              </w:tc>
              <w:tc>
                <w:tcPr/>
                <w:p>
                  <w:pPr>
                    <w:pStyle w:val="Compact"/>
                    <w:jc w:val="center"/>
                  </w:pPr>
                  <w:r>
                    <w:t xml:space="preserve">Neuronal oscillation amplitude</w:t>
                  </w:r>
                </w:p>
              </w:tc>
              <w:tc>
                <w:tcPr/>
                <w:p>
                  <w:pPr>
                    <w:pStyle w:val="Compact"/>
                    <w:jc w:val="center"/>
                  </w:pPr>
                  <w:r>
                    <w:t xml:space="preserve">DFA</w:t>
                  </w:r>
                </w:p>
              </w:tc>
              <w:tc>
                <w:tcPr/>
                <w:p>
                  <w:pPr>
                    <w:pStyle w:val="Compact"/>
                    <w:jc w:val="center"/>
                  </w:pPr>
                  <w:r>
                    <w:t xml:space="preserve">Structural: number of E-to-I synapses</w:t>
                  </w:r>
                </w:p>
              </w:tc>
              <w:tc>
                <w:tcPr/>
                <w:p>
                  <w:pPr>
                    <w:pStyle w:val="Compact"/>
                    <w:jc w:val="center"/>
                  </w:pPr>
                  <w:r>
                    <w:t xml:space="preserve">Inverse U</w:t>
                  </w:r>
                </w:p>
              </w:tc>
            </w:tr>
            <w:tr>
              <w:tc>
                <w:tcPr/>
                <w:p>
                  <w:pPr>
                    <w:pStyle w:val="Compact"/>
                    <w:jc w:val="center"/>
                  </w:pPr>
                  <w:r>
                    <w:t xml:space="preserve">Gao et al. (2017)</w:t>
                  </w:r>
                  <w:r>
                    <w:rPr>
                      <w:vertAlign w:val="superscript"/>
                    </w:rPr>
                    <w:t xml:space="preserve">12</w:t>
                  </w:r>
                </w:p>
              </w:tc>
              <w:tc>
                <w:tcPr/>
                <w:p>
                  <w:pPr>
                    <w:pStyle w:val="Compact"/>
                    <w:jc w:val="center"/>
                  </w:pPr>
                  <w:r>
                    <w:t xml:space="preserve">Computational; in vivo in rats and macaques</w:t>
                  </w:r>
                </w:p>
              </w:tc>
              <w:tc>
                <w:tcPr/>
                <w:p>
                  <w:pPr>
                    <w:pStyle w:val="Compact"/>
                    <w:jc w:val="center"/>
                  </w:pPr>
                  <w:r>
                    <w:t xml:space="preserve">Local field potential (LFP)</w:t>
                  </w:r>
                </w:p>
              </w:tc>
              <w:tc>
                <w:tcPr/>
                <w:p>
                  <w:pPr>
                    <w:pStyle w:val="Compact"/>
                    <w:jc w:val="center"/>
                  </w:pPr>
                  <w:r>
                    <w:t xml:space="preserve">PSD</w:t>
                  </w:r>
                </w:p>
              </w:tc>
              <w:tc>
                <w:tcPr/>
                <w:p>
                  <w:pPr>
                    <w:pStyle w:val="Compact"/>
                    <w:jc w:val="center"/>
                  </w:pPr>
                  <w:r>
                    <w:t xml:space="preserve">Estimated from LFP</w:t>
                  </w:r>
                </w:p>
              </w:tc>
              <w:tc>
                <w:tcPr/>
                <w:p>
                  <w:pPr>
                    <w:pStyle w:val="Compact"/>
                    <w:jc w:val="center"/>
                  </w:pPr>
                  <w:r>
                    <w:t xml:space="preserve">Positive linear</w:t>
                  </w:r>
                </w:p>
              </w:tc>
            </w:tr>
            <w:tr>
              <w:tc>
                <w:tcPr/>
                <w:p>
                  <w:pPr>
                    <w:pStyle w:val="Compact"/>
                    <w:jc w:val="center"/>
                  </w:pPr>
                  <w:r>
                    <w:t xml:space="preserve">Lombardi et al. (2017)</w:t>
                  </w:r>
                  <w:r>
                    <w:rPr>
                      <w:vertAlign w:val="superscript"/>
                    </w:rPr>
                    <w:t xml:space="preserve">8</w:t>
                  </w:r>
                </w:p>
              </w:tc>
              <w:tc>
                <w:tcPr/>
                <w:p>
                  <w:pPr>
                    <w:pStyle w:val="Compact"/>
                    <w:jc w:val="center"/>
                  </w:pPr>
                  <w:r>
                    <w:t xml:space="preserve">Computational with in-house model</w:t>
                  </w:r>
                </w:p>
              </w:tc>
              <w:tc>
                <w:tcPr/>
                <w:p>
                  <w:pPr>
                    <w:pStyle w:val="Compact"/>
                    <w:jc w:val="center"/>
                  </w:pPr>
                  <w:r>
                    <w:t xml:space="preserve">Neuronal avalanche size</w:t>
                  </w:r>
                </w:p>
              </w:tc>
              <w:tc>
                <w:tcPr/>
                <w:p>
                  <w:pPr>
                    <w:pStyle w:val="Compact"/>
                    <w:jc w:val="center"/>
                  </w:pPr>
                  <w:r>
                    <w:t xml:space="preserve">PSD</w:t>
                  </w:r>
                </w:p>
              </w:tc>
              <w:tc>
                <w:tcPr/>
                <w:p>
                  <w:pPr>
                    <w:pStyle w:val="Compact"/>
                    <w:jc w:val="center"/>
                  </w:pPr>
                  <w:r>
                    <w:t xml:space="preserve">Structural: number of E-to-I neurons</w:t>
                  </w:r>
                </w:p>
              </w:tc>
              <w:tc>
                <w:tcPr/>
                <w:p>
                  <w:pPr>
                    <w:pStyle w:val="Compact"/>
                    <w:jc w:val="center"/>
                  </w:pPr>
                  <w:r>
                    <w:t xml:space="preserve">Negative linear</w:t>
                  </w:r>
                </w:p>
              </w:tc>
            </w:tr>
            <w:tr>
              <w:tc>
                <w:tcPr/>
                <w:p>
                  <w:pPr>
                    <w:pStyle w:val="Compact"/>
                    <w:jc w:val="center"/>
                  </w:pPr>
                  <w:r>
                    <w:t xml:space="preserve">Trakoshis et al. (2020)</w:t>
                  </w:r>
                  <w:r>
                    <w:rPr>
                      <w:vertAlign w:val="superscript"/>
                    </w:rPr>
                    <w:t xml:space="preserve">11</w:t>
                  </w:r>
                </w:p>
              </w:tc>
              <w:tc>
                <w:tcPr/>
                <w:p>
                  <w:pPr>
                    <w:pStyle w:val="Compact"/>
                    <w:jc w:val="center"/>
                  </w:pPr>
                  <w:r>
                    <w:t xml:space="preserve">Computational with simulated data; in vivo in mice</w:t>
                  </w:r>
                </w:p>
              </w:tc>
              <w:tc>
                <w:tcPr/>
                <w:p>
                  <w:pPr>
                    <w:pStyle w:val="Compact"/>
                    <w:jc w:val="center"/>
                  </w:pPr>
                  <w:r>
                    <w:t xml:space="preserve">fMRI BOLD signal</w:t>
                  </w:r>
                </w:p>
              </w:tc>
              <w:tc>
                <w:tcPr/>
                <w:p>
                  <w:pPr>
                    <w:pStyle w:val="Compact"/>
                    <w:jc w:val="center"/>
                  </w:pPr>
                  <w:r>
                    <w:t xml:space="preserve">Wavelet-based maximum likelihood method</w:t>
                  </w:r>
                </w:p>
              </w:tc>
              <w:tc>
                <w:tcPr/>
                <w:p>
                  <w:pPr>
                    <w:pStyle w:val="Compact"/>
                    <w:jc w:val="center"/>
                  </w:pPr>
                  <w:r>
                    <w:t xml:space="preserve">E-to-I synaptic conductance</w:t>
                  </w:r>
                </w:p>
              </w:tc>
              <w:tc>
                <w:tcPr/>
                <w:p>
                  <w:pPr>
                    <w:pStyle w:val="Compact"/>
                    <w:jc w:val="center"/>
                  </w:pPr>
                  <w:r>
                    <w:t xml:space="preserve">Positive linear</w:t>
                  </w:r>
                </w:p>
              </w:tc>
            </w:tr>
          </w:tbl>
          <w:p>
            <w:pPr>
              <w:jc w:val="center"/>
            </w:pPr>
            <w:pPr>
              <w:jc w:val="star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70"/>
        </w:tc>
      </w:tr>
    </w:tbl>
    <w:p>
      <w:pPr>
        <w:pStyle w:val="TextBody"/>
      </w:pPr>
      <w:r>
        <w:t xml:space="preserve">Finally, it is also possible that while an E:I-Hurst relationship exists, it is not observed within the visual cortex. This theory seems plausible given that MRS studies of disrupted E:I, mostly conducted within the context of adult autism spectrum disorder, have found changes in E:I within other brain regions such as the anterior cingulate cortex, frontal lobe, or temporal lobe</w:t>
      </w:r>
      <w:r>
        <w:rPr>
          <w:vertAlign w:val="superscript"/>
        </w:rPr>
        <w:t xml:space="preserve">50</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77</w:t>
      </w:r>
      <w:r>
        <w:t xml:space="preserve">. However, this would suggest that the E:I-H relationship would be region dependent, and therefore not a generalizable theory as it is often portrayed.</w:t>
      </w:r>
    </w:p>
    <w:bookmarkStart w:id="71"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19 participants’ data were analyzed. With this small sample size, it is difficult to make conclusions about a concept as complex as the E:I-Hurst relationship. We hope that by publishing our work, future researchers can use our reported effect sizes to calculate potential sample sizes. We would also like to list some of the strengths of our study, which include: using sLASER (as opposed to PRESS), which has been shown to have enhanced detection of complex multiplets such as Glu</w:t>
      </w:r>
      <w:r>
        <w:rPr>
          <w:vertAlign w:val="superscript"/>
        </w:rPr>
        <w:t xml:space="preserve">115</w:t>
      </w:r>
      <w:r>
        <w:t xml:space="preserve">; using the J-editing sequence MEGA-PRESS for improved GABA detection</w:t>
      </w:r>
      <w:r>
        <w:rPr>
          <w:vertAlign w:val="superscript"/>
        </w:rPr>
        <w:t xml:space="preserve">53</w:t>
      </w:r>
      <w:r>
        <w:t xml:space="preserve">; using a large MRS voxel size (~22 ml) as per consensus recommendations</w:t>
      </w:r>
      <w:r>
        <w:rPr>
          <w:vertAlign w:val="superscript"/>
        </w:rPr>
        <w:t xml:space="preserve">116–118</w:t>
      </w:r>
      <w:r>
        <w:t xml:space="preserve">; measuring H within the same region as our single-voxel MRS; and using multi-echo fMRI for improved motion artifact regression</w:t>
      </w:r>
      <w:r>
        <w:rPr>
          <w:vertAlign w:val="superscript"/>
        </w:rPr>
        <w:t xml:space="preserve">119</w:t>
      </w:r>
      <w:r>
        <w:t xml:space="preserve">.</w:t>
      </w:r>
    </w:p>
    <w:bookmarkEnd w:id="71"/>
    <w:bookmarkStart w:id="72" w:name="lessons-for-future-researchers"/>
    <w:p>
      <w:pPr>
        <w:pStyle w:val="Heading2"/>
      </w:pPr>
      <w:r>
        <w:t xml:space="preserve">4.2 Lessons for Future Researchers</w:t>
      </w:r>
    </w:p>
    <w:p>
      <w:pPr>
        <w:pStyle w:val="FirstParagraph"/>
      </w:pPr>
      <w:r>
        <w:t xml:space="preserve">Finally, we hope that by publishing our findings,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108,109,120</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120–123</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124</w:t>
      </w:r>
      <w:r>
        <w:t xml:space="preserve">. However, see Pasanta et al. (2023)</w:t>
      </w:r>
      <w:r>
        <w:rPr>
          <w:vertAlign w:val="superscript"/>
        </w:rPr>
        <w:t xml:space="preserve">77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58,89</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72"/>
    <w:bookmarkEnd w:id="73"/>
    <w:bookmarkStart w:id="74" w:name="conclusion"/>
    <w:p>
      <w:pPr>
        <w:pStyle w:val="Heading1"/>
      </w:pPr>
      <w:r>
        <w:t xml:space="preserve">5. Conclusion</w:t>
      </w:r>
    </w:p>
    <w:p>
      <w:pPr>
        <w:pStyle w:val="FirstParagraph"/>
      </w:pPr>
      <w:r>
        <w:t xml:space="preserve">In conclusion, our findings do not support a relationship between H and E:I in the visual cortex either during rest or during movie-watching at 3T in humans. In addition, while we found a task-related change in H, we did not find any changes in Glu, GABA, or E:I between movie and rest. Comparing our findings to the broader literature, E:I balance may be too subtle to be detected with conventional 3T MRS methods.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74"/>
    <w:bookmarkStart w:id="76"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32">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‘reproducible manner’</w:t>
      </w:r>
      <w:r>
        <w:t xml:space="preserve">: the entire manuscript, including statistics reported, figures, and tables, can be reproduced here:</w:t>
      </w:r>
      <w:r>
        <w:t xml:space="preserve"> </w:t>
      </w:r>
      <w:hyperlink r:id="rId75">
        <w:r>
          <w:rPr>
            <w:rStyle w:val="InternetLink"/>
          </w:rPr>
          <w:t xml:space="preserve">weberlab.github.io/EI_Hurst_Manuscript/</w:t>
        </w:r>
      </w:hyperlink>
    </w:p>
    <w:bookmarkEnd w:id="76"/>
    <w:bookmarkStart w:id="77" w:name="competing-interests"/>
    <w:p>
      <w:pPr>
        <w:pStyle w:val="Heading1"/>
      </w:pPr>
      <w:r>
        <w:t xml:space="preserve">Competing interests</w:t>
      </w:r>
    </w:p>
    <w:p>
      <w:pPr>
        <w:pStyle w:val="FirstParagraph"/>
      </w:pPr>
      <w:r>
        <w:t xml:space="preserve">The authors declare they have no known competing interests.</w:t>
      </w:r>
    </w:p>
    <w:bookmarkEnd w:id="77"/>
    <w:bookmarkStart w:id="78"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JS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78"/>
    <w:bookmarkStart w:id="79"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79"/>
    <w:bookmarkStart w:id="96" w:name="supplementary-material"/>
    <w:p>
      <w:pPr>
        <w:pStyle w:val="Heading1"/>
      </w:pPr>
      <w:r>
        <w:t xml:space="preserve">Supplementary Material</w:t>
      </w:r>
    </w:p>
    <w:bookmarkStart w:id="95"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fig-gannet">
        <w:r>
          <w:rPr>
            <w:rStyle w:val="Internet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fig-gannet"/>
          <w:p>
            <w:pPr>
              <w:pStyle w:val="Compact"/>
              <w:jc w:val="center"/>
            </w:pPr>
            <w:r>
              <w:drawing>
                <wp:inline>
                  <wp:extent cx="5943600" cy="4592781"/>
                  <wp:effectExtent b="0" l="0" r="0" t="0"/>
                  <wp:docPr descr="" title="" id="81" name="Picture"/>
                  <a:graphic>
                    <a:graphicData uri="http://schemas.openxmlformats.org/drawingml/2006/picture">
                      <pic:pic>
                        <pic:nvPicPr>
                          <pic:cNvPr descr="./Data/megapress/sub-Pilot01/rest_gannet/GannetFit_output/P38912_vox1_fit.png" id="82" name="Picture"/>
                          <pic:cNvPicPr>
                            <a:picLocks noChangeArrowheads="1" noChangeAspect="1"/>
                          </pic:cNvPicPr>
                        </pic:nvPicPr>
                        <pic:blipFill>
                          <a:blip r:embed="rId80"/>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7</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 and tissue- and alpha-correction.</w:t>
            </w:r>
          </w:p>
          <w:bookmarkEnd w:id="83"/>
        </w:tc>
      </w:tr>
    </w:tbl>
    <w:p>
      <w:pPr>
        <w:pStyle w:val="TextBody"/>
      </w:pPr>
      <w:r>
        <w:t xml:space="preserve">Mean ± sd of metabolites and E:I when analyzed using Gannet, during rest and movie, are reported in</w:t>
      </w:r>
      <w:r>
        <w:t xml:space="preserve"> </w:t>
      </w:r>
      <w:hyperlink w:anchor="tbl-gannetresults">
        <w:r>
          <w:rPr>
            <w:rStyle w:val="InternetLink"/>
          </w:rPr>
          <w:t xml:space="preserve">Table 4</w:t>
        </w:r>
      </w:hyperlink>
      <w:r>
        <w:t xml:space="preserve">. Boxplots between rest and movie can be seen in</w:t>
      </w:r>
      <w:r>
        <w:t xml:space="preserve"> </w:t>
      </w:r>
      <w:hyperlink w:anchor="fig-gannetresults">
        <w:r>
          <w:rPr>
            <w:rStyle w:val="InternetLink"/>
          </w:rPr>
          <w:t xml:space="preserve">Figure 8</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84" w:name="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w:t>
                  </w:r>
                </w:p>
              </w:tc>
              <w:tc>
                <w:tcPr/>
                <w:p>
                  <w:pPr>
                    <w:pStyle w:val="Compact"/>
                    <w:jc w:val="center"/>
                  </w:pPr>
                  <w:r>
                    <w:t xml:space="preserve">9.32 ± 0.85</w:t>
                  </w:r>
                </w:p>
              </w:tc>
              <w:tc>
                <w:tcPr/>
                <w:p>
                  <w:pPr>
                    <w:pStyle w:val="Compact"/>
                    <w:jc w:val="center"/>
                  </w:pPr>
                  <w:r>
                    <w:t xml:space="preserve">9.19 ± 0.6</w:t>
                  </w:r>
                </w:p>
              </w:tc>
              <w:tc>
                <w:tcPr/>
                <w:p>
                  <w:pPr>
                    <w:pStyle w:val="Compact"/>
                    <w:jc w:val="center"/>
                  </w:pPr>
                  <w:r>
                    <w:t xml:space="preserve">0.30</w:t>
                  </w:r>
                </w:p>
              </w:tc>
            </w:tr>
            <w:tr>
              <w:tc>
                <w:tcPr/>
                <w:p>
                  <w:pPr>
                    <w:pStyle w:val="Compact"/>
                    <w:jc w:val="center"/>
                  </w:pPr>
                  <w:r>
                    <w:rPr>
                      <w:b/>
                      <w:bCs/>
                    </w:rPr>
                    <w:t xml:space="preserve">GABA+</w:t>
                  </w:r>
                </w:p>
              </w:tc>
              <w:tc>
                <w:tcPr/>
                <w:p>
                  <w:pPr>
                    <w:pStyle w:val="Compact"/>
                    <w:jc w:val="center"/>
                  </w:pPr>
                  <w:r>
                    <w:t xml:space="preserve">3.09 ± 0.32</w:t>
                  </w:r>
                </w:p>
              </w:tc>
              <w:tc>
                <w:tcPr/>
                <w:p>
                  <w:pPr>
                    <w:pStyle w:val="Compact"/>
                    <w:jc w:val="center"/>
                  </w:pPr>
                  <w:r>
                    <w:t xml:space="preserve">3.03 ± 0.33</w:t>
                  </w:r>
                </w:p>
              </w:tc>
              <w:tc>
                <w:tcPr/>
                <w:p>
                  <w:pPr>
                    <w:pStyle w:val="Compact"/>
                    <w:jc w:val="center"/>
                  </w:pPr>
                  <w:r>
                    <w:t xml:space="preserve">0.22</w:t>
                  </w:r>
                </w:p>
              </w:tc>
            </w:tr>
            <w:tr>
              <w:tc>
                <w:tcPr/>
                <w:p>
                  <w:pPr>
                    <w:pStyle w:val="Compact"/>
                    <w:jc w:val="center"/>
                  </w:pPr>
                  <w:r>
                    <w:rPr>
                      <w:b/>
                      <w:bCs/>
                    </w:rPr>
                    <w:t xml:space="preserve">E:I Ratio</w:t>
                  </w:r>
                </w:p>
              </w:tc>
              <w:tc>
                <w:tcPr/>
                <w:p>
                  <w:pPr>
                    <w:pStyle w:val="Compact"/>
                    <w:jc w:val="center"/>
                  </w:pPr>
                  <w:r>
                    <w:t xml:space="preserve">3.04 ± 0.3</w:t>
                  </w:r>
                </w:p>
              </w:tc>
              <w:tc>
                <w:tcPr/>
                <w:p>
                  <w:pPr>
                    <w:pStyle w:val="Compact"/>
                    <w:jc w:val="center"/>
                  </w:pPr>
                  <w:r>
                    <w:t xml:space="preserve">3.06 ± 0.26</w:t>
                  </w:r>
                </w:p>
              </w:tc>
              <w:tc>
                <w:tcPr/>
                <w:p>
                  <w:pPr>
                    <w:pStyle w:val="Compact"/>
                    <w:jc w:val="center"/>
                  </w:pPr>
                  <w:r>
                    <w:t xml:space="preserve">0.68</w:t>
                  </w:r>
                </w:p>
              </w:tc>
            </w:tr>
          </w:tbl>
          <w:p>
            <w:pPr>
              <w:jc w:val="center"/>
            </w:pPr>
            <w:pPr>
              <w:jc w:val="start"/>
              <w:spacing w:before="200"/>
              <w:pStyle w:val="ImageCaption"/>
            </w:pPr>
            <w:r>
              <w:rPr>
                <w:b/>
                <w:bCs/>
              </w:rPr>
              <w:t xml:space="preserve">Table</w:t>
            </w:r>
            <w:r>
              <w:t xml:space="preserve"> 4</w:t>
            </w:r>
            <w:r>
              <w:rPr>
                <w:b/>
                <w:bCs/>
              </w:rPr>
              <w:t xml:space="preserve">.</w:t>
            </w:r>
            <w:r>
              <w:t xml:space="preserve"> </w:t>
            </w:r>
            <w:r>
              <w:rPr>
                <w:b/>
                <w:bCs/>
              </w:rPr>
              <w:t xml:space="preserve">Summary of main metabolite results using Gannet</w:t>
            </w:r>
          </w:p>
          <w:bookmarkEnd w:id="84"/>
        </w:tc>
      </w:tr>
    </w:tbl>
    <w:bookmarkStart w:id="89" w:name="cell-fig-gannetresults"/>
    <w:tbl>
      <w:tblPr>
        <w:tblStyle w:val="Table"/>
        <w:tblW w:type="pct" w:w="5000"/>
        <w:tblLayout w:type="fixed"/>
        <w:tblLook w:firstRow="0" w:lastRow="0" w:firstColumn="0" w:lastColumn="0" w:noHBand="0" w:noVBand="0" w:val="0000"/>
      </w:tblPr>
      <w:tblGrid>
        <w:gridCol w:w="7920"/>
      </w:tblGrid>
      <w:tr>
        <w:tc>
          <w:tcPr/>
          <w:bookmarkStart w:id="88" w:name="fig-gannetresults"/>
          <w:p>
            <w:pPr>
              <w:pStyle w:val="Compact"/>
              <w:jc w:val="center"/>
            </w:pPr>
            <w:r>
              <w:drawing>
                <wp:inline>
                  <wp:extent cx="5943600" cy="4754880"/>
                  <wp:effectExtent b="0" l="0" r="0" t="0"/>
                  <wp:docPr descr="" title="" id="86" name="Picture"/>
                  <a:graphic>
                    <a:graphicData uri="http://schemas.openxmlformats.org/drawingml/2006/picture">
                      <pic:pic>
                        <pic:nvPicPr>
                          <pic:cNvPr descr="index_files/figure-docx/fig-gannetresults-1.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8</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B) GABA+; and C) E:I. Paired dots represent the same participant across conditions. Mean difference with 95% confidence intervals, and as Cohen’s D are reported at the top of each plot.</w:t>
            </w:r>
          </w:p>
          <w:bookmarkEnd w:id="88"/>
        </w:tc>
      </w:tr>
    </w:tbl>
    <w:bookmarkEnd w:id="89"/>
    <w:p>
      <w:pPr>
        <w:pStyle w:val="TextBody"/>
      </w:pPr>
      <w:r>
        <w:t xml:space="preserve">H was not found to correlate with Glx, GABA+, or E:I, during rest or movie (</w:t>
      </w:r>
      <w:hyperlink w:anchor="fig-gannetcorrelations">
        <w:r>
          <w:rPr>
            <w:rStyle w:val="InternetLink"/>
          </w:rPr>
          <w:t xml:space="preserve">Figure 9</w:t>
        </w:r>
      </w:hyperlink>
      <w:r>
        <w:t xml:space="preserve">).</w:t>
      </w:r>
      <w:r>
        <w:t xml:space="preserve"> </w:t>
      </w:r>
    </w:p>
    <w:bookmarkStart w:id="94" w:name="cell-fig-gannetcorrelations"/>
    <w:tbl>
      <w:tblPr>
        <w:tblStyle w:val="Table"/>
        <w:tblW w:type="pct" w:w="5000"/>
        <w:tblLayout w:type="fixed"/>
        <w:tblLook w:firstRow="0" w:lastRow="0" w:firstColumn="0" w:lastColumn="0" w:noHBand="0" w:noVBand="0" w:val="0000"/>
      </w:tblPr>
      <w:tblGrid>
        <w:gridCol w:w="7920"/>
      </w:tblGrid>
      <w:tr>
        <w:tc>
          <w:tcPr/>
          <w:bookmarkStart w:id="93" w:name="fig-gannetcorrelations"/>
          <w:p>
            <w:pPr>
              <w:pStyle w:val="Compact"/>
              <w:jc w:val="center"/>
            </w:pPr>
            <w:r>
              <w:drawing>
                <wp:inline>
                  <wp:extent cx="5943600" cy="5094514"/>
                  <wp:effectExtent b="0" l="0" r="0" t="0"/>
                  <wp:docPr descr="" title="" id="91" name="Picture"/>
                  <a:graphic>
                    <a:graphicData uri="http://schemas.openxmlformats.org/drawingml/2006/picture">
                      <pic:pic>
                        <pic:nvPicPr>
                          <pic:cNvPr descr="index_files/figure-docx/fig-gannetcorrelations-1.png" id="92" name="Picture"/>
                          <pic:cNvPicPr>
                            <a:picLocks noChangeArrowheads="1" noChangeAspect="1"/>
                          </pic:cNvPicPr>
                        </pic:nvPicPr>
                        <pic:blipFill>
                          <a:blip r:embed="rId9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9</w:t>
            </w:r>
            <w:r>
              <w:rPr>
                <w:b/>
                <w:bCs/>
              </w:rPr>
              <w:t xml:space="preserve">.</w:t>
            </w:r>
            <w:r>
              <w:t xml:space="preserve"> </w:t>
            </w:r>
            <w:r>
              <w:rPr>
                <w:b/>
                <w:bCs/>
              </w:rPr>
              <w:t xml:space="preserve">Scatter plots of H vs. metabolites when analyzed using Gannet.</w:t>
            </w:r>
            <w:r>
              <w:t xml:space="preserve"> </w:t>
            </w:r>
            <w:r>
              <w:t xml:space="preserve">A) Glx; B) GABA+; and C) E:I. Rest is in green, while movie is in orange. p-values are reported at the top of each plot.</w:t>
            </w:r>
          </w:p>
          <w:bookmarkEnd w:id="93"/>
        </w:tc>
      </w:tr>
    </w:tbl>
    <w:bookmarkEnd w:id="94"/>
    <w:bookmarkEnd w:id="95"/>
    <w:bookmarkEnd w:id="96"/>
    <w:bookmarkStart w:id="337" w:name="references"/>
    <w:p>
      <w:pPr>
        <w:pStyle w:val="Heading1"/>
      </w:pPr>
      <w:r>
        <w:t xml:space="preserve">References</w:t>
      </w:r>
    </w:p>
    <w:bookmarkStart w:id="336" w:name="refs"/>
    <w:bookmarkStart w:id="98" w:name="ref-decoRestingBrainsNever2013"/>
    <w:p>
      <w:pPr>
        <w:pStyle w:val="Bibliography"/>
      </w:pPr>
      <w:r>
        <w:t xml:space="preserve">1.</w:t>
      </w:r>
      <w:r>
        <w:t xml:space="preserve"> </w:t>
      </w:r>
      <w:r>
        <w:t xml:space="preserve">	</w:t>
      </w:r>
      <w:r>
        <w:t xml:space="preserve">Deco, G., Jirsa, V. K. &amp; McIntosh, A. R.</w:t>
      </w:r>
      <w:r>
        <w:t xml:space="preserve"> </w:t>
      </w:r>
      <w:hyperlink r:id="rId97">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98"/>
    <w:bookmarkStart w:id="99"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99"/>
    <w:bookmarkStart w:id="100"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100"/>
    <w:bookmarkStart w:id="102" w:name="X3987a7f9f2843d143a6b08774176d9ab9bc4f8d"/>
    <w:p>
      <w:pPr>
        <w:pStyle w:val="Bibliography"/>
      </w:pPr>
      <w:r>
        <w:t xml:space="preserve">4.</w:t>
      </w:r>
      <w:r>
        <w:t xml:space="preserve"> </w:t>
      </w:r>
      <w:r>
        <w:t xml:space="preserve">	</w:t>
      </w:r>
      <w:r>
        <w:t xml:space="preserve">Bassett, D. S. &amp; Gazzaniga, M. S.</w:t>
      </w:r>
      <w:r>
        <w:t xml:space="preserve"> </w:t>
      </w:r>
      <w:hyperlink r:id="rId101">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102"/>
    <w:bookmarkStart w:id="103"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103"/>
    <w:bookmarkStart w:id="105"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104">
        <w:r>
          <w:rPr>
            <w:rStyle w:val="InternetLink"/>
          </w:rPr>
          <w:t xml:space="preserve">10.1177/10738584231221766</w:t>
        </w:r>
      </w:hyperlink>
      <w:r>
        <w:t xml:space="preserve">.</w:t>
      </w:r>
    </w:p>
    <w:bookmarkEnd w:id="105"/>
    <w:bookmarkStart w:id="107"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106">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107"/>
    <w:bookmarkStart w:id="109"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108">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109"/>
    <w:bookmarkStart w:id="111" w:name="Xfe4345fc4d266d969d4559abe9321e337b060ba"/>
    <w:p>
      <w:pPr>
        <w:pStyle w:val="Bibliography"/>
      </w:pPr>
      <w:r>
        <w:t xml:space="preserve">9.</w:t>
      </w:r>
      <w:r>
        <w:t xml:space="preserve"> </w:t>
      </w:r>
      <w:r>
        <w:t xml:space="preserve">	</w:t>
      </w:r>
      <w:r>
        <w:t xml:space="preserve">Baumgarten, L. &amp; Bornholdt, S.</w:t>
      </w:r>
      <w:r>
        <w:t xml:space="preserve"> </w:t>
      </w:r>
      <w:hyperlink r:id="rId110">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111"/>
    <w:bookmarkStart w:id="113"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112">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113"/>
    <w:bookmarkStart w:id="115"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114">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w:t>
      </w:r>
    </w:p>
    <w:bookmarkEnd w:id="115"/>
    <w:bookmarkStart w:id="117" w:name="ref-gaoInferringSynapticExcitation2017"/>
    <w:p>
      <w:pPr>
        <w:pStyle w:val="Bibliography"/>
      </w:pPr>
      <w:r>
        <w:t xml:space="preserve">12.</w:t>
      </w:r>
      <w:r>
        <w:t xml:space="preserve"> </w:t>
      </w:r>
      <w:r>
        <w:t xml:space="preserve">	</w:t>
      </w:r>
      <w:r>
        <w:t xml:space="preserve">Gao, R., Peterson, E. J. &amp; Voytek, B.</w:t>
      </w:r>
      <w:r>
        <w:t xml:space="preserve"> </w:t>
      </w:r>
      <w:hyperlink r:id="rId116">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117"/>
    <w:bookmarkStart w:id="119"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118">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119"/>
    <w:bookmarkStart w:id="121"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20">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21"/>
    <w:bookmarkStart w:id="123" w:name="X15522e51d4999d4481434cec6c8927ac1afe02d"/>
    <w:p>
      <w:pPr>
        <w:pStyle w:val="Bibliography"/>
      </w:pPr>
      <w:r>
        <w:t xml:space="preserve">15.</w:t>
      </w:r>
      <w:r>
        <w:t xml:space="preserve"> </w:t>
      </w:r>
      <w:r>
        <w:t xml:space="preserve">	</w:t>
      </w:r>
      <w:r>
        <w:t xml:space="preserve">Muñoz, M. A.</w:t>
      </w:r>
      <w:r>
        <w:t xml:space="preserve"> </w:t>
      </w:r>
      <w:hyperlink r:id="rId122">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23"/>
    <w:bookmarkStart w:id="125" w:name="X3100962fe0ebda0a64b076c39ca996352c3077e"/>
    <w:p>
      <w:pPr>
        <w:pStyle w:val="Bibliography"/>
      </w:pPr>
      <w:r>
        <w:t xml:space="preserve">16.</w:t>
      </w:r>
      <w:r>
        <w:t xml:space="preserve"> </w:t>
      </w:r>
      <w:r>
        <w:t xml:space="preserve">	</w:t>
      </w:r>
      <w:r>
        <w:t xml:space="preserve">Caserta, F.</w:t>
      </w:r>
      <w:r>
        <w:t xml:space="preserve"> </w:t>
      </w:r>
      <w:r>
        <w:rPr>
          <w:i/>
          <w:iCs/>
        </w:rPr>
        <w:t xml:space="preserve">et al.</w:t>
      </w:r>
      <w:r>
        <w:t xml:space="preserve"> </w:t>
      </w:r>
      <w:hyperlink r:id="rId124">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25"/>
    <w:bookmarkStart w:id="127" w:name="X3f056608b292383f7f819c315b768813843e4ba"/>
    <w:p>
      <w:pPr>
        <w:pStyle w:val="Bibliography"/>
      </w:pPr>
      <w:r>
        <w:t xml:space="preserve">17.</w:t>
      </w:r>
      <w:r>
        <w:t xml:space="preserve"> </w:t>
      </w:r>
      <w:r>
        <w:t xml:space="preserve">	</w:t>
      </w:r>
      <w:r>
        <w:t xml:space="preserve">Lowen, S. B., Cash, S. S., Poo, M. &amp; Teich, M. C.</w:t>
      </w:r>
      <w:r>
        <w:t xml:space="preserve"> </w:t>
      </w:r>
      <w:hyperlink r:id="rId126">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27"/>
    <w:bookmarkStart w:id="129" w:name="X2d1e1346fb5eebb46556911e8a6473781bd7363"/>
    <w:p>
      <w:pPr>
        <w:pStyle w:val="Bibliography"/>
      </w:pPr>
      <w:r>
        <w:t xml:space="preserve">18.</w:t>
      </w:r>
      <w:r>
        <w:t xml:space="preserve"> </w:t>
      </w:r>
      <w:r>
        <w:t xml:space="preserve">	</w:t>
      </w:r>
      <w:r>
        <w:t xml:space="preserve">Mazzoni, A.</w:t>
      </w:r>
      <w:r>
        <w:t xml:space="preserve"> </w:t>
      </w:r>
      <w:r>
        <w:rPr>
          <w:i/>
          <w:iCs/>
        </w:rPr>
        <w:t xml:space="preserve">et al.</w:t>
      </w:r>
      <w:r>
        <w:t xml:space="preserve"> </w:t>
      </w:r>
      <w:hyperlink r:id="rId128">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29"/>
    <w:bookmarkStart w:id="131" w:name="ref-bedardMacroscopicModelsLocal2009"/>
    <w:p>
      <w:pPr>
        <w:pStyle w:val="Bibliography"/>
      </w:pPr>
      <w:r>
        <w:t xml:space="preserve">19.</w:t>
      </w:r>
      <w:r>
        <w:t xml:space="preserve"> </w:t>
      </w:r>
      <w:r>
        <w:t xml:space="preserve">	</w:t>
      </w:r>
      <w:r>
        <w:t xml:space="preserve">Bédard, C. &amp; Destexhe, A.</w:t>
      </w:r>
      <w:r>
        <w:t xml:space="preserve"> </w:t>
      </w:r>
      <w:hyperlink r:id="rId130">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31"/>
    <w:bookmarkStart w:id="133" w:name="X320e96e3d65881e8fa79bfcbbde85012f4f91da"/>
    <w:p>
      <w:pPr>
        <w:pStyle w:val="Bibliography"/>
      </w:pPr>
      <w:r>
        <w:t xml:space="preserve">20.</w:t>
      </w:r>
      <w:r>
        <w:t xml:space="preserve"> </w:t>
      </w:r>
      <w:r>
        <w:t xml:space="preserve">	</w:t>
      </w:r>
      <w:r>
        <w:t xml:space="preserve">Bullmore, E. T.</w:t>
      </w:r>
      <w:r>
        <w:t xml:space="preserve"> </w:t>
      </w:r>
      <w:r>
        <w:rPr>
          <w:i/>
          <w:iCs/>
        </w:rPr>
        <w:t xml:space="preserve">et al.</w:t>
      </w:r>
      <w:r>
        <w:t xml:space="preserve"> </w:t>
      </w:r>
      <w:hyperlink r:id="rId132">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33"/>
    <w:bookmarkStart w:id="135" w:name="ref-zarahnEmpiricalAnalysesBOLD1997"/>
    <w:p>
      <w:pPr>
        <w:pStyle w:val="Bibliography"/>
      </w:pPr>
      <w:r>
        <w:t xml:space="preserve">21.</w:t>
      </w:r>
      <w:r>
        <w:t xml:space="preserve"> </w:t>
      </w:r>
      <w:r>
        <w:t xml:space="preserve">	</w:t>
      </w:r>
      <w:r>
        <w:t xml:space="preserve">Zarahn, E., Aguirre, G. K. &amp; D’Esposito, M.</w:t>
      </w:r>
      <w:r>
        <w:t xml:space="preserve"> </w:t>
      </w:r>
      <w:hyperlink r:id="rId134">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35"/>
    <w:bookmarkStart w:id="137" w:name="Xd7b015f33a1488d89f221ec12f970e1003b9efe"/>
    <w:p>
      <w:pPr>
        <w:pStyle w:val="Bibliography"/>
      </w:pPr>
      <w:r>
        <w:t xml:space="preserve">22.</w:t>
      </w:r>
      <w:r>
        <w:t xml:space="preserve"> </w:t>
      </w:r>
      <w:r>
        <w:t xml:space="preserve">	</w:t>
      </w:r>
      <w:r>
        <w:t xml:space="preserve">Fadili, M. J. &amp; Bullmore, E. T.</w:t>
      </w:r>
      <w:r>
        <w:t xml:space="preserve"> </w:t>
      </w:r>
      <w:hyperlink r:id="rId136">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37"/>
    <w:bookmarkStart w:id="139" w:name="X790fe44bee6d974469e7b4e816b8211f69a1fdd"/>
    <w:p>
      <w:pPr>
        <w:pStyle w:val="Bibliography"/>
      </w:pPr>
      <w:r>
        <w:t xml:space="preserve">23.</w:t>
      </w:r>
      <w:r>
        <w:t xml:space="preserve"> </w:t>
      </w:r>
      <w:r>
        <w:t xml:space="preserve">	</w:t>
      </w:r>
      <w:r>
        <w:t xml:space="preserve">Campbell, O. L. &amp; Weber, A. M.</w:t>
      </w:r>
      <w:r>
        <w:t xml:space="preserve"> </w:t>
      </w:r>
      <w:hyperlink r:id="rId138">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39"/>
    <w:bookmarkStart w:id="141" w:name="X3ea812e4ccad662b9abc313f9dff7ec9c62bbb8"/>
    <w:p>
      <w:pPr>
        <w:pStyle w:val="Bibliography"/>
      </w:pPr>
      <w:r>
        <w:t xml:space="preserve">24.</w:t>
      </w:r>
      <w:r>
        <w:t xml:space="preserve"> </w:t>
      </w:r>
      <w:r>
        <w:t xml:space="preserve">	</w:t>
      </w:r>
      <w:r>
        <w:t xml:space="preserve">Eke, A., Herman, P., Kocsis, L. &amp; Kozak, L. R.</w:t>
      </w:r>
      <w:r>
        <w:t xml:space="preserve"> </w:t>
      </w:r>
      <w:hyperlink r:id="rId140">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41"/>
    <w:bookmarkStart w:id="143" w:name="ref-hurstLongTermStorageCapacity1951"/>
    <w:p>
      <w:pPr>
        <w:pStyle w:val="Bibliography"/>
      </w:pPr>
      <w:r>
        <w:t xml:space="preserve">25.</w:t>
      </w:r>
      <w:r>
        <w:t xml:space="preserve"> </w:t>
      </w:r>
      <w:r>
        <w:t xml:space="preserve">	</w:t>
      </w:r>
      <w:r>
        <w:t xml:space="preserve">Hurst, H. E.</w:t>
      </w:r>
      <w:r>
        <w:t xml:space="preserve"> </w:t>
      </w:r>
      <w:hyperlink r:id="rId142">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43"/>
    <w:bookmarkStart w:id="144" w:name="ref-dongHurstExponentAnalysis2018"/>
    <w:p>
      <w:pPr>
        <w:pStyle w:val="Bibliography"/>
      </w:pPr>
      <w:r>
        <w:t xml:space="preserve">26.</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44"/>
    <w:bookmarkStart w:id="146" w:name="X6ee2ccee5d4e65211fef03ed8b33a5daf3d2e4e"/>
    <w:p>
      <w:pPr>
        <w:pStyle w:val="Bibliography"/>
      </w:pPr>
      <w:r>
        <w:t xml:space="preserve">27.</w:t>
      </w:r>
      <w:r>
        <w:t xml:space="preserve"> </w:t>
      </w:r>
      <w:r>
        <w:t xml:space="preserve">	</w:t>
      </w:r>
      <w:r>
        <w:t xml:space="preserve">Wink, A.-M., Bullmore, E., Barnes, A., Bernard, F. &amp; Suckling, J.</w:t>
      </w:r>
      <w:r>
        <w:t xml:space="preserve"> </w:t>
      </w:r>
      <w:hyperlink r:id="rId145">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46"/>
    <w:bookmarkStart w:id="148" w:name="X67f88f309fcd2f4a1598267ccaa3cd1cbb49c50"/>
    <w:p>
      <w:pPr>
        <w:pStyle w:val="Bibliography"/>
      </w:pPr>
      <w:r>
        <w:t xml:space="preserve">28.</w:t>
      </w:r>
      <w:r>
        <w:t xml:space="preserve"> </w:t>
      </w:r>
      <w:r>
        <w:t xml:space="preserve">	</w:t>
      </w:r>
      <w:r>
        <w:t xml:space="preserve">Ciuciu, P., Abry, P. &amp; He, B. J.</w:t>
      </w:r>
      <w:r>
        <w:t xml:space="preserve"> </w:t>
      </w:r>
      <w:hyperlink r:id="rId147">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48"/>
    <w:bookmarkStart w:id="150" w:name="ref-heScaleFreePropertiesFunctional2011"/>
    <w:p>
      <w:pPr>
        <w:pStyle w:val="Bibliography"/>
      </w:pPr>
      <w:r>
        <w:t xml:space="preserve">29.</w:t>
      </w:r>
      <w:r>
        <w:t xml:space="preserve"> </w:t>
      </w:r>
      <w:r>
        <w:t xml:space="preserve">	</w:t>
      </w:r>
      <w:r>
        <w:t xml:space="preserve">He, B. J.</w:t>
      </w:r>
      <w:r>
        <w:t xml:space="preserve"> </w:t>
      </w:r>
      <w:hyperlink r:id="rId149">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50"/>
    <w:bookmarkStart w:id="151" w:name="ref-campbellFractalBasedAnalysisFMRI2022"/>
    <w:p>
      <w:pPr>
        <w:pStyle w:val="Bibliography"/>
      </w:pPr>
      <w:r>
        <w:t xml:space="preserve">30.</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51"/>
    <w:bookmarkStart w:id="153" w:name="Xafc73dd94de471dc6ce7bfbb5fb85cdff354abb"/>
    <w:p>
      <w:pPr>
        <w:pStyle w:val="Bibliography"/>
      </w:pPr>
      <w:r>
        <w:t xml:space="preserve">31.</w:t>
      </w:r>
      <w:r>
        <w:t xml:space="preserve"> </w:t>
      </w:r>
      <w:r>
        <w:t xml:space="preserve">	</w:t>
      </w:r>
      <w:r>
        <w:t xml:space="preserve">Churchill, N. W.</w:t>
      </w:r>
      <w:r>
        <w:t xml:space="preserve"> </w:t>
      </w:r>
      <w:r>
        <w:rPr>
          <w:i/>
          <w:iCs/>
        </w:rPr>
        <w:t xml:space="preserve">et al.</w:t>
      </w:r>
      <w:r>
        <w:t xml:space="preserve"> </w:t>
      </w:r>
      <w:hyperlink r:id="rId152">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53"/>
    <w:bookmarkStart w:id="155" w:name="ref-winkAgeCholinergicEffects2006"/>
    <w:p>
      <w:pPr>
        <w:pStyle w:val="Bibliography"/>
      </w:pPr>
      <w:r>
        <w:t xml:space="preserve">32.</w:t>
      </w:r>
      <w:r>
        <w:t xml:space="preserve"> </w:t>
      </w:r>
      <w:r>
        <w:t xml:space="preserve">	</w:t>
      </w:r>
      <w:r>
        <w:t xml:space="preserve">Wink, A. M., Bernard, F., Salvador, R., Bullmore, E. &amp; Suckling, J.</w:t>
      </w:r>
      <w:r>
        <w:t xml:space="preserve"> </w:t>
      </w:r>
      <w:hyperlink r:id="rId154">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55"/>
    <w:bookmarkStart w:id="157" w:name="Xb783d2555b92d46afdfcb97c84763e9aa4bd336"/>
    <w:p>
      <w:pPr>
        <w:pStyle w:val="Bibliography"/>
      </w:pPr>
      <w:r>
        <w:t xml:space="preserve">33.</w:t>
      </w:r>
      <w:r>
        <w:t xml:space="preserve"> </w:t>
      </w:r>
      <w:r>
        <w:t xml:space="preserve">	</w:t>
      </w:r>
      <w:r>
        <w:t xml:space="preserve">Mella, A. E., Vanderwal, T., Miller, S. P. &amp; Weber, A. M.</w:t>
      </w:r>
      <w:r>
        <w:t xml:space="preserve"> </w:t>
      </w:r>
      <w:hyperlink r:id="rId156">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57"/>
    <w:bookmarkStart w:id="159" w:name="ref-maximFractionalGaussianNoise2005"/>
    <w:p>
      <w:pPr>
        <w:pStyle w:val="Bibliography"/>
      </w:pPr>
      <w:r>
        <w:t xml:space="preserve">34.</w:t>
      </w:r>
      <w:r>
        <w:t xml:space="preserve"> </w:t>
      </w:r>
      <w:r>
        <w:t xml:space="preserve">	</w:t>
      </w:r>
      <w:r>
        <w:t xml:space="preserve">Maxim, V.</w:t>
      </w:r>
      <w:r>
        <w:t xml:space="preserve"> </w:t>
      </w:r>
      <w:r>
        <w:rPr>
          <w:i/>
          <w:iCs/>
        </w:rPr>
        <w:t xml:space="preserve">et al.</w:t>
      </w:r>
      <w:r>
        <w:t xml:space="preserve"> </w:t>
      </w:r>
      <w:hyperlink r:id="rId158">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59"/>
    <w:bookmarkStart w:id="161" w:name="ref-warsiCorrelatingBrainBlood2012"/>
    <w:p>
      <w:pPr>
        <w:pStyle w:val="Bibliography"/>
      </w:pPr>
      <w:r>
        <w:t xml:space="preserve">35.</w:t>
      </w:r>
      <w:r>
        <w:t xml:space="preserve"> </w:t>
      </w:r>
      <w:r>
        <w:t xml:space="preserve">	</w:t>
      </w:r>
      <w:r>
        <w:t xml:space="preserve">Warsi, M. A., Molloy, W. &amp; Noseworthy, M. D.</w:t>
      </w:r>
      <w:r>
        <w:t xml:space="preserve"> </w:t>
      </w:r>
      <w:hyperlink r:id="rId160">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61"/>
    <w:bookmarkStart w:id="163" w:name="ref-donaTemporalFractalAnalysis2017"/>
    <w:p>
      <w:pPr>
        <w:pStyle w:val="Bibliography"/>
      </w:pPr>
      <w:r>
        <w:t xml:space="preserve">36.</w:t>
      </w:r>
      <w:r>
        <w:t xml:space="preserve"> </w:t>
      </w:r>
      <w:r>
        <w:t xml:space="preserve">	</w:t>
      </w:r>
      <w:r>
        <w:t xml:space="preserve">Dona, O., Hall, G. B. &amp; Noseworthy, M. D.</w:t>
      </w:r>
      <w:r>
        <w:t xml:space="preserve"> </w:t>
      </w:r>
      <w:hyperlink r:id="rId162">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63"/>
    <w:bookmarkStart w:id="165" w:name="ref-laiShiftRandomnessBrain2010"/>
    <w:p>
      <w:pPr>
        <w:pStyle w:val="Bibliography"/>
      </w:pPr>
      <w:r>
        <w:t xml:space="preserve">37.</w:t>
      </w:r>
      <w:r>
        <w:t xml:space="preserve"> </w:t>
      </w:r>
      <w:r>
        <w:t xml:space="preserve">	</w:t>
      </w:r>
      <w:r>
        <w:t xml:space="preserve">Lai, M.-C.</w:t>
      </w:r>
      <w:r>
        <w:t xml:space="preserve"> </w:t>
      </w:r>
      <w:r>
        <w:rPr>
          <w:i/>
          <w:iCs/>
        </w:rPr>
        <w:t xml:space="preserve">et al.</w:t>
      </w:r>
      <w:r>
        <w:t xml:space="preserve"> </w:t>
      </w:r>
      <w:hyperlink r:id="rId164">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65"/>
    <w:bookmarkStart w:id="167" w:name="ref-linkeAlteredDevelopmentHurst2024"/>
    <w:p>
      <w:pPr>
        <w:pStyle w:val="Bibliography"/>
      </w:pPr>
      <w:r>
        <w:t xml:space="preserve">38.</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66">
        <w:r>
          <w:rPr>
            <w:rStyle w:val="InternetLink"/>
          </w:rPr>
          <w:t xml:space="preserve">10.1016/j.bpsc.2024.09.003</w:t>
        </w:r>
      </w:hyperlink>
      <w:r>
        <w:t xml:space="preserve">.</w:t>
      </w:r>
    </w:p>
    <w:bookmarkEnd w:id="167"/>
    <w:bookmarkStart w:id="169" w:name="X9db7696ad2e4faacd50572793eadf5dbc11376b"/>
    <w:p>
      <w:pPr>
        <w:pStyle w:val="Bibliography"/>
      </w:pPr>
      <w:r>
        <w:t xml:space="preserve">39.</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68">
        <w:r>
          <w:rPr>
            <w:rStyle w:val="InternetLink"/>
          </w:rPr>
          <w:t xml:space="preserve">10.1101/2022.05.24.22275531</w:t>
        </w:r>
      </w:hyperlink>
      <w:r>
        <w:t xml:space="preserve">.</w:t>
      </w:r>
    </w:p>
    <w:bookmarkEnd w:id="169"/>
    <w:bookmarkStart w:id="171" w:name="ref-donaFractalAnalysisBrain2017"/>
    <w:p>
      <w:pPr>
        <w:pStyle w:val="Bibliography"/>
      </w:pPr>
      <w:r>
        <w:t xml:space="preserve">40.</w:t>
      </w:r>
      <w:r>
        <w:t xml:space="preserve"> </w:t>
      </w:r>
      <w:r>
        <w:t xml:space="preserve">	</w:t>
      </w:r>
      <w:r>
        <w:t xml:space="preserve">Dona, O., Noseworthy, M. D., DeMatteo, C. &amp; Connolly, J. F.</w:t>
      </w:r>
      <w:r>
        <w:t xml:space="preserve"> </w:t>
      </w:r>
      <w:hyperlink r:id="rId170">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71"/>
    <w:bookmarkStart w:id="173" w:name="ref-weiIdentifyingMajorDepressive2013"/>
    <w:p>
      <w:pPr>
        <w:pStyle w:val="Bibliography"/>
      </w:pPr>
      <w:r>
        <w:t xml:space="preserve">41.</w:t>
      </w:r>
      <w:r>
        <w:t xml:space="preserve"> </w:t>
      </w:r>
      <w:r>
        <w:t xml:space="preserve">	</w:t>
      </w:r>
      <w:r>
        <w:t xml:space="preserve">Wei, M.</w:t>
      </w:r>
      <w:r>
        <w:t xml:space="preserve"> </w:t>
      </w:r>
      <w:r>
        <w:rPr>
          <w:i/>
          <w:iCs/>
        </w:rPr>
        <w:t xml:space="preserve">et al.</w:t>
      </w:r>
      <w:r>
        <w:t xml:space="preserve"> </w:t>
      </w:r>
      <w:hyperlink r:id="rId172">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73"/>
    <w:bookmarkStart w:id="175" w:name="ref-jingIdentifyingCurrentRemitted2017"/>
    <w:p>
      <w:pPr>
        <w:pStyle w:val="Bibliography"/>
      </w:pPr>
      <w:r>
        <w:t xml:space="preserve">42.</w:t>
      </w:r>
      <w:r>
        <w:t xml:space="preserve"> </w:t>
      </w:r>
      <w:r>
        <w:t xml:space="preserve">	</w:t>
      </w:r>
      <w:r>
        <w:t xml:space="preserve">Jing, B.</w:t>
      </w:r>
      <w:r>
        <w:t xml:space="preserve"> </w:t>
      </w:r>
      <w:r>
        <w:rPr>
          <w:i/>
          <w:iCs/>
        </w:rPr>
        <w:t xml:space="preserve">et al.</w:t>
      </w:r>
      <w:r>
        <w:t xml:space="preserve"> </w:t>
      </w:r>
      <w:hyperlink r:id="rId174">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75"/>
    <w:bookmarkStart w:id="177" w:name="Xb33ad22c9aea02cb9e68fb14f52e57e52d7323b"/>
    <w:p>
      <w:pPr>
        <w:pStyle w:val="Bibliography"/>
      </w:pPr>
      <w:r>
        <w:t xml:space="preserve">43.</w:t>
      </w:r>
      <w:r>
        <w:t xml:space="preserve"> </w:t>
      </w:r>
      <w:r>
        <w:t xml:space="preserve">	</w:t>
      </w:r>
      <w:r>
        <w:t xml:space="preserve">Sokunbi, M. O.</w:t>
      </w:r>
      <w:r>
        <w:t xml:space="preserve"> </w:t>
      </w:r>
      <w:r>
        <w:rPr>
          <w:i/>
          <w:iCs/>
        </w:rPr>
        <w:t xml:space="preserve">et al.</w:t>
      </w:r>
      <w:r>
        <w:t xml:space="preserve"> </w:t>
      </w:r>
      <w:hyperlink r:id="rId176">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77"/>
    <w:bookmarkStart w:id="179" w:name="X8844ad3d8d9e8a223627135108c22cce11cb1c9"/>
    <w:p>
      <w:pPr>
        <w:pStyle w:val="Bibliography"/>
      </w:pPr>
      <w:r>
        <w:t xml:space="preserve">44.</w:t>
      </w:r>
      <w:r>
        <w:t xml:space="preserve"> </w:t>
      </w:r>
      <w:r>
        <w:t xml:space="preserve">	</w:t>
      </w:r>
      <w:r>
        <w:t xml:space="preserve">Lauterborn, J. C.</w:t>
      </w:r>
      <w:r>
        <w:t xml:space="preserve"> </w:t>
      </w:r>
      <w:r>
        <w:rPr>
          <w:i/>
          <w:iCs/>
        </w:rPr>
        <w:t xml:space="preserve">et al.</w:t>
      </w:r>
      <w:r>
        <w:t xml:space="preserve"> </w:t>
      </w:r>
      <w:hyperlink r:id="rId178">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79"/>
    <w:bookmarkStart w:id="181" w:name="X79642ef279d4aea0ebe5e10d2cba19e16f93a8d"/>
    <w:p>
      <w:pPr>
        <w:pStyle w:val="Bibliography"/>
      </w:pPr>
      <w:r>
        <w:t xml:space="preserve">45.</w:t>
      </w:r>
      <w:r>
        <w:t xml:space="preserve"> </w:t>
      </w:r>
      <w:r>
        <w:t xml:space="preserve">	</w:t>
      </w:r>
      <w:r>
        <w:t xml:space="preserve">Vico Varela, E., Etter, G. &amp; Williams, S.</w:t>
      </w:r>
      <w:r>
        <w:t xml:space="preserve"> </w:t>
      </w:r>
      <w:hyperlink r:id="rId180">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81"/>
    <w:bookmarkStart w:id="183" w:name="X64994448b976e637152e47fbc640fd4797f44ad"/>
    <w:p>
      <w:pPr>
        <w:pStyle w:val="Bibliography"/>
      </w:pPr>
      <w:r>
        <w:t xml:space="preserve">46.</w:t>
      </w:r>
      <w:r>
        <w:t xml:space="preserve"> </w:t>
      </w:r>
      <w:r>
        <w:t xml:space="preserve">	</w:t>
      </w:r>
      <w:r>
        <w:t xml:space="preserve">Sohal, V. S. &amp; Rubenstein, J. L. R.</w:t>
      </w:r>
      <w:r>
        <w:t xml:space="preserve"> </w:t>
      </w:r>
      <w:hyperlink r:id="rId182">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83"/>
    <w:bookmarkStart w:id="185" w:name="X74eeba1900ceb98dfbcd7382bee95fe128676bf"/>
    <w:p>
      <w:pPr>
        <w:pStyle w:val="Bibliography"/>
      </w:pPr>
      <w:r>
        <w:t xml:space="preserve">47.</w:t>
      </w:r>
      <w:r>
        <w:t xml:space="preserve"> </w:t>
      </w:r>
      <w:r>
        <w:t xml:space="preserve">	</w:t>
      </w:r>
      <w:r>
        <w:t xml:space="preserve">Uzunova, G., Pallanti, S. &amp; Hollander, E.</w:t>
      </w:r>
      <w:r>
        <w:t xml:space="preserve"> </w:t>
      </w:r>
      <w:hyperlink r:id="rId184">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85"/>
    <w:bookmarkStart w:id="187" w:name="X195a6a133ec6fab0acbef6fbf212c03ad0ed323"/>
    <w:p>
      <w:pPr>
        <w:pStyle w:val="Bibliography"/>
      </w:pPr>
      <w:r>
        <w:t xml:space="preserve">48.</w:t>
      </w:r>
      <w:r>
        <w:t xml:space="preserve"> </w:t>
      </w:r>
      <w:r>
        <w:t xml:space="preserve">	</w:t>
      </w:r>
      <w:r>
        <w:t xml:space="preserve">Page, C. E. &amp; Coutellier, L.</w:t>
      </w:r>
      <w:r>
        <w:t xml:space="preserve"> </w:t>
      </w:r>
      <w:hyperlink r:id="rId186">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87"/>
    <w:bookmarkStart w:id="189" w:name="ref-kangInterplayMentalDisorder2019"/>
    <w:p>
      <w:pPr>
        <w:pStyle w:val="Bibliography"/>
      </w:pPr>
      <w:r>
        <w:t xml:space="preserve">49.</w:t>
      </w:r>
      <w:r>
        <w:t xml:space="preserve"> </w:t>
      </w:r>
      <w:r>
        <w:t xml:space="preserve">	</w:t>
      </w:r>
      <w:r>
        <w:t xml:space="preserve">Kang, E.</w:t>
      </w:r>
      <w:r>
        <w:t xml:space="preserve"> </w:t>
      </w:r>
      <w:r>
        <w:rPr>
          <w:i/>
          <w:iCs/>
        </w:rPr>
        <w:t xml:space="preserve">et al.</w:t>
      </w:r>
      <w:r>
        <w:t xml:space="preserve"> </w:t>
      </w:r>
      <w:hyperlink r:id="rId188">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89"/>
    <w:bookmarkStart w:id="191" w:name="ref-ajramContribution1HMagnetic2019"/>
    <w:p>
      <w:pPr>
        <w:pStyle w:val="Bibliography"/>
      </w:pPr>
      <w:r>
        <w:t xml:space="preserve">50.</w:t>
      </w:r>
      <w:r>
        <w:t xml:space="preserve"> </w:t>
      </w:r>
      <w:r>
        <w:t xml:space="preserve">	</w:t>
      </w:r>
      <w:r>
        <w:t xml:space="preserve">Ajram, L. A.</w:t>
      </w:r>
      <w:r>
        <w:t xml:space="preserve"> </w:t>
      </w:r>
      <w:r>
        <w:rPr>
          <w:i/>
          <w:iCs/>
        </w:rPr>
        <w:t xml:space="preserve">et al.</w:t>
      </w:r>
      <w:r>
        <w:t xml:space="preserve"> </w:t>
      </w:r>
      <w:hyperlink r:id="rId190">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91"/>
    <w:bookmarkStart w:id="193" w:name="X33af55f10e3529ea3b703273ed55b97973a9c47"/>
    <w:p>
      <w:pPr>
        <w:pStyle w:val="Bibliography"/>
      </w:pPr>
      <w:r>
        <w:t xml:space="preserve">51.</w:t>
      </w:r>
      <w:r>
        <w:t xml:space="preserve"> </w:t>
      </w:r>
      <w:r>
        <w:t xml:space="preserve">	</w:t>
      </w:r>
      <w:r>
        <w:t xml:space="preserve">Stanley, J. A. &amp; Raz, N.</w:t>
      </w:r>
      <w:r>
        <w:t xml:space="preserve"> </w:t>
      </w:r>
      <w:hyperlink r:id="rId192">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93"/>
    <w:bookmarkStart w:id="195" w:name="ref-harrisEdited1Magnetic2017"/>
    <w:p>
      <w:pPr>
        <w:pStyle w:val="Bibliography"/>
      </w:pPr>
      <w:r>
        <w:t xml:space="preserve">52.</w:t>
      </w:r>
      <w:r>
        <w:t xml:space="preserve"> </w:t>
      </w:r>
      <w:r>
        <w:t xml:space="preserve">	</w:t>
      </w:r>
      <w:r>
        <w:t xml:space="preserve">Harris, A. D., Saleh, M. G. &amp; Edden, R. A. E.</w:t>
      </w:r>
      <w:r>
        <w:t xml:space="preserve"> </w:t>
      </w:r>
      <w:hyperlink r:id="rId194">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95"/>
    <w:bookmarkStart w:id="197" w:name="ref-peekComprehensiveGuideMEGAPRESS2023"/>
    <w:p>
      <w:pPr>
        <w:pStyle w:val="Bibliography"/>
      </w:pPr>
      <w:r>
        <w:t xml:space="preserve">53.</w:t>
      </w:r>
      <w:r>
        <w:t xml:space="preserve"> </w:t>
      </w:r>
      <w:r>
        <w:t xml:space="preserve">	</w:t>
      </w:r>
      <w:r>
        <w:t xml:space="preserve">Peek, A. L.</w:t>
      </w:r>
      <w:r>
        <w:t xml:space="preserve"> </w:t>
      </w:r>
      <w:r>
        <w:rPr>
          <w:i/>
          <w:iCs/>
        </w:rPr>
        <w:t xml:space="preserve">et al.</w:t>
      </w:r>
      <w:r>
        <w:t xml:space="preserve"> </w:t>
      </w:r>
      <w:hyperlink r:id="rId196">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97"/>
    <w:bookmarkStart w:id="199" w:name="ref-xiePharmacoresistantTemporalLobe2024"/>
    <w:p>
      <w:pPr>
        <w:pStyle w:val="Bibliography"/>
      </w:pPr>
      <w:r>
        <w:t xml:space="preserve">54.</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198">
        <w:r>
          <w:rPr>
            <w:rStyle w:val="InternetLink"/>
          </w:rPr>
          <w:t xml:space="preserve">10.1101/2024.04.22.590555</w:t>
        </w:r>
      </w:hyperlink>
      <w:r>
        <w:t xml:space="preserve">.</w:t>
      </w:r>
    </w:p>
    <w:bookmarkEnd w:id="199"/>
    <w:bookmarkStart w:id="201" w:name="X2deb2be2adb62c9f33832d8596f4171cb63eb82"/>
    <w:p>
      <w:pPr>
        <w:pStyle w:val="Bibliography"/>
      </w:pPr>
      <w:r>
        <w:t xml:space="preserve">55.</w:t>
      </w:r>
      <w:r>
        <w:t xml:space="preserve"> </w:t>
      </w:r>
      <w:r>
        <w:t xml:space="preserve">	</w:t>
      </w:r>
      <w:r>
        <w:t xml:space="preserve">Oz, G. &amp; Tkáč, I.</w:t>
      </w:r>
      <w:r>
        <w:t xml:space="preserve"> </w:t>
      </w:r>
      <w:hyperlink r:id="rId200">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01"/>
    <w:bookmarkStart w:id="203" w:name="ref-mescherSimultaneousVivoSpectral1998"/>
    <w:p>
      <w:pPr>
        <w:pStyle w:val="Bibliography"/>
      </w:pPr>
      <w:r>
        <w:t xml:space="preserve">56.</w:t>
      </w:r>
      <w:r>
        <w:t xml:space="preserve"> </w:t>
      </w:r>
      <w:r>
        <w:t xml:space="preserve">	</w:t>
      </w:r>
      <w:r>
        <w:t xml:space="preserve">Mescher, M., Merkle, H., Kirsch, J., Garwood, M. &amp; Gruetter, R.</w:t>
      </w:r>
      <w:r>
        <w:t xml:space="preserve"> </w:t>
      </w:r>
      <w:hyperlink r:id="rId202">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03"/>
    <w:bookmarkStart w:id="204" w:name="ref-cordeyJungles2019"/>
    <w:p>
      <w:pPr>
        <w:pStyle w:val="Bibliography"/>
      </w:pPr>
      <w:r>
        <w:t xml:space="preserve">57.</w:t>
      </w:r>
      <w:r>
        <w:t xml:space="preserve"> </w:t>
      </w:r>
      <w:r>
        <w:t xml:space="preserve">	</w:t>
      </w:r>
      <w:r>
        <w:t xml:space="preserve">Cordey, H. Jungles.</w:t>
      </w:r>
      <w:r>
        <w:t xml:space="preserve"> </w:t>
      </w:r>
      <w:r>
        <w:rPr>
          <w:i/>
          <w:iCs/>
        </w:rPr>
        <w:t xml:space="preserve">Our Planet</w:t>
      </w:r>
      <w:r>
        <w:t xml:space="preserve"> </w:t>
      </w:r>
      <w:r>
        <w:t xml:space="preserve">(2019).</w:t>
      </w:r>
    </w:p>
    <w:bookmarkEnd w:id="204"/>
    <w:bookmarkStart w:id="206" w:name="ref-ipCombinedFMRIMRSAcquires2017"/>
    <w:p>
      <w:pPr>
        <w:pStyle w:val="Bibliography"/>
      </w:pPr>
      <w:r>
        <w:t xml:space="preserve">58.</w:t>
      </w:r>
      <w:r>
        <w:t xml:space="preserve"> </w:t>
      </w:r>
      <w:r>
        <w:t xml:space="preserve">	</w:t>
      </w:r>
      <w:r>
        <w:t xml:space="preserve">Ip, I. B.</w:t>
      </w:r>
      <w:r>
        <w:t xml:space="preserve"> </w:t>
      </w:r>
      <w:r>
        <w:rPr>
          <w:i/>
          <w:iCs/>
        </w:rPr>
        <w:t xml:space="preserve">et al.</w:t>
      </w:r>
      <w:r>
        <w:t xml:space="preserve"> </w:t>
      </w:r>
      <w:hyperlink r:id="rId205">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06"/>
    <w:bookmarkStart w:id="208" w:name="ref-liFirstStepNeuroimaging2016"/>
    <w:p>
      <w:pPr>
        <w:pStyle w:val="Bibliography"/>
      </w:pPr>
      <w:r>
        <w:t xml:space="preserve">59.</w:t>
      </w:r>
      <w:r>
        <w:t xml:space="preserve"> </w:t>
      </w:r>
      <w:r>
        <w:t xml:space="preserve">	</w:t>
      </w:r>
      <w:r>
        <w:t xml:space="preserve">Li, X., Morgan, P. S., Ashburner, J., Smith, J. &amp; Rorden, C.</w:t>
      </w:r>
      <w:r>
        <w:t xml:space="preserve"> </w:t>
      </w:r>
      <w:hyperlink r:id="rId207">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08"/>
    <w:bookmarkStart w:id="210" w:name="ref-gorgolewskiBrainImagingData2016"/>
    <w:p>
      <w:pPr>
        <w:pStyle w:val="Bibliography"/>
      </w:pPr>
      <w:r>
        <w:t xml:space="preserve">60.</w:t>
      </w:r>
      <w:r>
        <w:t xml:space="preserve"> </w:t>
      </w:r>
      <w:r>
        <w:t xml:space="preserve">	</w:t>
      </w:r>
      <w:r>
        <w:t xml:space="preserve">Gorgolewski, K. J.</w:t>
      </w:r>
      <w:r>
        <w:t xml:space="preserve"> </w:t>
      </w:r>
      <w:r>
        <w:rPr>
          <w:i/>
          <w:iCs/>
        </w:rPr>
        <w:t xml:space="preserve">et al.</w:t>
      </w:r>
      <w:r>
        <w:t xml:space="preserve"> </w:t>
      </w:r>
      <w:hyperlink r:id="rId209">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10"/>
    <w:bookmarkStart w:id="212" w:name="ref-boreDcm2Bids2023"/>
    <w:p>
      <w:pPr>
        <w:pStyle w:val="Bibliography"/>
      </w:pPr>
      <w:r>
        <w:t xml:space="preserve">61.</w:t>
      </w:r>
      <w:r>
        <w:t xml:space="preserve"> </w:t>
      </w:r>
      <w:r>
        <w:t xml:space="preserve">	</w:t>
      </w:r>
      <w:r>
        <w:t xml:space="preserve">Boré, A., Guay, S., Bedetti, C., Meisler, S. &amp; GuenTher, N.</w:t>
      </w:r>
      <w:r>
        <w:t xml:space="preserve"> </w:t>
      </w:r>
      <w:r>
        <w:t xml:space="preserve">Dcm2Bids</w:t>
      </w:r>
      <w:r>
        <w:t xml:space="preserve">. (2023) doi:</w:t>
      </w:r>
      <w:hyperlink r:id="rId211">
        <w:r>
          <w:rPr>
            <w:rStyle w:val="InternetLink"/>
          </w:rPr>
          <w:t xml:space="preserve">10.5281/zenodo.8436509</w:t>
        </w:r>
      </w:hyperlink>
      <w:r>
        <w:t xml:space="preserve">.</w:t>
      </w:r>
    </w:p>
    <w:bookmarkEnd w:id="212"/>
    <w:bookmarkStart w:id="214" w:name="ref-tustisonN4ITKImprovedN32010"/>
    <w:p>
      <w:pPr>
        <w:pStyle w:val="Bibliography"/>
      </w:pPr>
      <w:r>
        <w:t xml:space="preserve">62.</w:t>
      </w:r>
      <w:r>
        <w:t xml:space="preserve"> </w:t>
      </w:r>
      <w:r>
        <w:t xml:space="preserve">	</w:t>
      </w:r>
      <w:r>
        <w:t xml:space="preserve">Tustison, N. J.</w:t>
      </w:r>
      <w:r>
        <w:t xml:space="preserve"> </w:t>
      </w:r>
      <w:r>
        <w:rPr>
          <w:i/>
          <w:iCs/>
        </w:rPr>
        <w:t xml:space="preserve">et al.</w:t>
      </w:r>
      <w:r>
        <w:t xml:space="preserve"> </w:t>
      </w:r>
      <w:hyperlink r:id="rId213">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14"/>
    <w:bookmarkStart w:id="216" w:name="Xeefaf9082b75bd08ec775a50708dca4153d9690"/>
    <w:p>
      <w:pPr>
        <w:pStyle w:val="Bibliography"/>
      </w:pPr>
      <w:r>
        <w:t xml:space="preserve">63.</w:t>
      </w:r>
      <w:r>
        <w:t xml:space="preserve"> </w:t>
      </w:r>
      <w:r>
        <w:t xml:space="preserve">	</w:t>
      </w:r>
      <w:r>
        <w:t xml:space="preserve">Avants, B. B., Epstein, C. L., Grossman, M. &amp; Gee, J. C.</w:t>
      </w:r>
      <w:r>
        <w:t xml:space="preserve"> </w:t>
      </w:r>
      <w:hyperlink r:id="rId215">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16"/>
    <w:bookmarkStart w:id="218" w:name="X43711a0a118a74b3ee63b3c5ba2faa681733756"/>
    <w:p>
      <w:pPr>
        <w:pStyle w:val="Bibliography"/>
      </w:pPr>
      <w:r>
        <w:t xml:space="preserve">64.</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17">
        <w:r>
          <w:rPr>
            <w:rStyle w:val="InternetLink"/>
          </w:rPr>
          <w:t xml:space="preserve">10.5281/zenodo.50186</w:t>
        </w:r>
      </w:hyperlink>
      <w:r>
        <w:t xml:space="preserve">.</w:t>
      </w:r>
    </w:p>
    <w:bookmarkEnd w:id="218"/>
    <w:bookmarkStart w:id="220" w:name="ref-zhangSegmentationBrainMR2001"/>
    <w:p>
      <w:pPr>
        <w:pStyle w:val="Bibliography"/>
      </w:pPr>
      <w:r>
        <w:t xml:space="preserve">65.</w:t>
      </w:r>
      <w:r>
        <w:t xml:space="preserve"> </w:t>
      </w:r>
      <w:r>
        <w:t xml:space="preserve">	</w:t>
      </w:r>
      <w:r>
        <w:t xml:space="preserve">Zhang, Y., Brady, M. &amp; Smith, S.</w:t>
      </w:r>
      <w:r>
        <w:t xml:space="preserve"> </w:t>
      </w:r>
      <w:hyperlink r:id="rId219">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20"/>
    <w:bookmarkStart w:id="222" w:name="X9e85724468787baf5444247f89a11ca552f98cd"/>
    <w:p>
      <w:pPr>
        <w:pStyle w:val="Bibliography"/>
      </w:pPr>
      <w:r>
        <w:t xml:space="preserve">66.</w:t>
      </w:r>
      <w:r>
        <w:t xml:space="preserve"> </w:t>
      </w:r>
      <w:r>
        <w:t xml:space="preserve">	</w:t>
      </w:r>
      <w:r>
        <w:t xml:space="preserve">Smith, S. M.</w:t>
      </w:r>
      <w:r>
        <w:t xml:space="preserve"> </w:t>
      </w:r>
      <w:r>
        <w:rPr>
          <w:i/>
          <w:iCs/>
        </w:rPr>
        <w:t xml:space="preserve">et al.</w:t>
      </w:r>
      <w:r>
        <w:t xml:space="preserve"> </w:t>
      </w:r>
      <w:hyperlink r:id="rId221">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22"/>
    <w:bookmarkStart w:id="224" w:name="ref-daleCorticalSurfacebasedAnalysis1999"/>
    <w:p>
      <w:pPr>
        <w:pStyle w:val="Bibliography"/>
      </w:pPr>
      <w:r>
        <w:t xml:space="preserve">67.</w:t>
      </w:r>
      <w:r>
        <w:t xml:space="preserve"> </w:t>
      </w:r>
      <w:r>
        <w:t xml:space="preserve">	</w:t>
      </w:r>
      <w:r>
        <w:t xml:space="preserve">Dale, A. M., Fischl, B. &amp; Sereno, M. I.</w:t>
      </w:r>
      <w:r>
        <w:t xml:space="preserve"> </w:t>
      </w:r>
      <w:hyperlink r:id="rId223">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24"/>
    <w:bookmarkStart w:id="226" w:name="X3c1fe9de21a1d29d636da9e3eada512cffb92e2"/>
    <w:p>
      <w:pPr>
        <w:pStyle w:val="Bibliography"/>
      </w:pPr>
      <w:r>
        <w:t xml:space="preserve">68.</w:t>
      </w:r>
      <w:r>
        <w:t xml:space="preserve"> </w:t>
      </w:r>
      <w:r>
        <w:t xml:space="preserve">	</w:t>
      </w:r>
      <w:r>
        <w:t xml:space="preserve">Klein, A.</w:t>
      </w:r>
      <w:r>
        <w:t xml:space="preserve"> </w:t>
      </w:r>
      <w:r>
        <w:rPr>
          <w:i/>
          <w:iCs/>
        </w:rPr>
        <w:t xml:space="preserve">et al.</w:t>
      </w:r>
      <w:r>
        <w:t xml:space="preserve"> </w:t>
      </w:r>
      <w:hyperlink r:id="rId225">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26"/>
    <w:bookmarkStart w:id="228" w:name="Xe1081da162060deb82331b9df54dc7d82337269"/>
    <w:p>
      <w:pPr>
        <w:pStyle w:val="Bibliography"/>
      </w:pPr>
      <w:r>
        <w:t xml:space="preserve">69.</w:t>
      </w:r>
      <w:r>
        <w:t xml:space="preserve"> </w:t>
      </w:r>
      <w:r>
        <w:t xml:space="preserve">	</w:t>
      </w:r>
      <w:r>
        <w:t xml:space="preserve">Esteban, O.</w:t>
      </w:r>
      <w:r>
        <w:t xml:space="preserve"> </w:t>
      </w:r>
      <w:r>
        <w:rPr>
          <w:i/>
          <w:iCs/>
        </w:rPr>
        <w:t xml:space="preserve">et al.</w:t>
      </w:r>
      <w:r>
        <w:t xml:space="preserve"> </w:t>
      </w:r>
      <w:hyperlink r:id="rId227">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28"/>
    <w:bookmarkStart w:id="230" w:name="Xf6126b899085a9a785ebf6398c9bce49f28ea50"/>
    <w:p>
      <w:pPr>
        <w:pStyle w:val="Bibliography"/>
      </w:pPr>
      <w:r>
        <w:t xml:space="preserve">70.</w:t>
      </w:r>
      <w:r>
        <w:t xml:space="preserve"> </w:t>
      </w:r>
      <w:r>
        <w:t xml:space="preserve">	</w:t>
      </w:r>
      <w:r>
        <w:t xml:space="preserve">Jenkinson, M., Bannister, P., Brady, M. &amp; Smith, S.</w:t>
      </w:r>
      <w:r>
        <w:t xml:space="preserve"> </w:t>
      </w:r>
      <w:hyperlink r:id="rId229">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30"/>
    <w:bookmarkStart w:id="232" w:name="ref-coxAFNISoftwareAnalysis1996"/>
    <w:p>
      <w:pPr>
        <w:pStyle w:val="Bibliography"/>
      </w:pPr>
      <w:r>
        <w:t xml:space="preserve">71.</w:t>
      </w:r>
      <w:r>
        <w:t xml:space="preserve"> </w:t>
      </w:r>
      <w:r>
        <w:t xml:space="preserve">	</w:t>
      </w:r>
      <w:r>
        <w:t xml:space="preserve">Cox, R. W.</w:t>
      </w:r>
      <w:r>
        <w:t xml:space="preserve"> </w:t>
      </w:r>
      <w:hyperlink r:id="rId231">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32"/>
    <w:bookmarkStart w:id="234" w:name="X699ec02cddd59da9f6ce2f525f26c7d6f5ae283"/>
    <w:p>
      <w:pPr>
        <w:pStyle w:val="Bibliography"/>
      </w:pPr>
      <w:r>
        <w:t xml:space="preserve">72.</w:t>
      </w:r>
      <w:r>
        <w:t xml:space="preserve"> </w:t>
      </w:r>
      <w:r>
        <w:t xml:space="preserve">	</w:t>
      </w:r>
      <w:r>
        <w:t xml:space="preserve">Posse, S.</w:t>
      </w:r>
      <w:r>
        <w:t xml:space="preserve"> </w:t>
      </w:r>
      <w:r>
        <w:rPr>
          <w:i/>
          <w:iCs/>
        </w:rPr>
        <w:t xml:space="preserve">et al.</w:t>
      </w:r>
      <w:r>
        <w:t xml:space="preserve"> </w:t>
      </w:r>
      <w:hyperlink r:id="rId233">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34"/>
    <w:bookmarkStart w:id="236" w:name="X3a598bbf6fcf345f81ae1f5a13bc405d17b0a4c"/>
    <w:p>
      <w:pPr>
        <w:pStyle w:val="Bibliography"/>
      </w:pPr>
      <w:r>
        <w:t xml:space="preserve">73.</w:t>
      </w:r>
      <w:r>
        <w:t xml:space="preserve"> </w:t>
      </w:r>
      <w:r>
        <w:t xml:space="preserve">	</w:t>
      </w:r>
      <w:r>
        <w:t xml:space="preserve">DuPre, E.</w:t>
      </w:r>
      <w:r>
        <w:t xml:space="preserve"> </w:t>
      </w:r>
      <w:r>
        <w:rPr>
          <w:i/>
          <w:iCs/>
        </w:rPr>
        <w:t xml:space="preserve">et al.</w:t>
      </w:r>
      <w:r>
        <w:t xml:space="preserve"> </w:t>
      </w:r>
      <w:hyperlink r:id="rId235">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36"/>
    <w:bookmarkStart w:id="238" w:name="X3269ade3d7f8b0f39f41bc530824d1dc76d0dfa"/>
    <w:p>
      <w:pPr>
        <w:pStyle w:val="Bibliography"/>
      </w:pPr>
      <w:r>
        <w:t xml:space="preserve">74.</w:t>
      </w:r>
      <w:r>
        <w:t xml:space="preserve"> </w:t>
      </w:r>
      <w:r>
        <w:t xml:space="preserve">	</w:t>
      </w:r>
      <w:r>
        <w:t xml:space="preserve">Oeltzschner, G.</w:t>
      </w:r>
      <w:r>
        <w:t xml:space="preserve"> </w:t>
      </w:r>
      <w:r>
        <w:rPr>
          <w:i/>
          <w:iCs/>
        </w:rPr>
        <w:t xml:space="preserve">et al.</w:t>
      </w:r>
      <w:r>
        <w:t xml:space="preserve"> </w:t>
      </w:r>
      <w:hyperlink r:id="rId237">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38"/>
    <w:bookmarkStart w:id="239" w:name="Xa40a6c308a7c4ecd374d5d433164d97a4c07e0f"/>
    <w:p>
      <w:pPr>
        <w:pStyle w:val="Bibliography"/>
      </w:pPr>
      <w:r>
        <w:t xml:space="preserve">75.</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39"/>
    <w:bookmarkStart w:id="241" w:name="ref-gasparovicUseTissueWater2006"/>
    <w:p>
      <w:pPr>
        <w:pStyle w:val="Bibliography"/>
      </w:pPr>
      <w:r>
        <w:t xml:space="preserve">76.</w:t>
      </w:r>
      <w:r>
        <w:t xml:space="preserve"> </w:t>
      </w:r>
      <w:r>
        <w:t xml:space="preserve">	</w:t>
      </w:r>
      <w:r>
        <w:t xml:space="preserve">Gasparovic, C.</w:t>
      </w:r>
      <w:r>
        <w:t xml:space="preserve"> </w:t>
      </w:r>
      <w:r>
        <w:rPr>
          <w:i/>
          <w:iCs/>
        </w:rPr>
        <w:t xml:space="preserve">et al.</w:t>
      </w:r>
      <w:r>
        <w:t xml:space="preserve"> </w:t>
      </w:r>
      <w:hyperlink r:id="rId240">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41"/>
    <w:bookmarkStart w:id="243" w:name="ref-pasantaFunctionalMRSStudies2023"/>
    <w:p>
      <w:pPr>
        <w:pStyle w:val="Bibliography"/>
      </w:pPr>
      <w:r>
        <w:t xml:space="preserve">77.</w:t>
      </w:r>
      <w:r>
        <w:t xml:space="preserve"> </w:t>
      </w:r>
      <w:r>
        <w:t xml:space="preserve">	</w:t>
      </w:r>
      <w:r>
        <w:t xml:space="preserve">Pasanta, D.</w:t>
      </w:r>
      <w:r>
        <w:t xml:space="preserve"> </w:t>
      </w:r>
      <w:r>
        <w:rPr>
          <w:i/>
          <w:iCs/>
        </w:rPr>
        <w:t xml:space="preserve">et al.</w:t>
      </w:r>
      <w:r>
        <w:t xml:space="preserve"> </w:t>
      </w:r>
      <w:hyperlink r:id="rId242">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43"/>
    <w:bookmarkStart w:id="245" w:name="ref-ramadanGlutamateGlutamineReview2013"/>
    <w:p>
      <w:pPr>
        <w:pStyle w:val="Bibliography"/>
      </w:pPr>
      <w:r>
        <w:t xml:space="preserve">78.</w:t>
      </w:r>
      <w:r>
        <w:t xml:space="preserve"> </w:t>
      </w:r>
      <w:r>
        <w:t xml:space="preserve">	</w:t>
      </w:r>
      <w:r>
        <w:t xml:space="preserve">Ramadan, S., Lin, A. &amp; Stanwell, P.</w:t>
      </w:r>
      <w:r>
        <w:t xml:space="preserve"> </w:t>
      </w:r>
      <w:hyperlink r:id="rId244">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45"/>
    <w:bookmarkStart w:id="247" w:name="X052b6cafc7e5dc3a47aa528e7a043214fc5326f"/>
    <w:p>
      <w:pPr>
        <w:pStyle w:val="Bibliography"/>
      </w:pPr>
      <w:r>
        <w:t xml:space="preserve">79.</w:t>
      </w:r>
      <w:r>
        <w:t xml:space="preserve"> </w:t>
      </w:r>
      <w:r>
        <w:t xml:space="preserve">	</w:t>
      </w:r>
      <w:r>
        <w:t xml:space="preserve">Zöllner, H. J.</w:t>
      </w:r>
      <w:r>
        <w:t xml:space="preserve"> </w:t>
      </w:r>
      <w:r>
        <w:rPr>
          <w:i/>
          <w:iCs/>
        </w:rPr>
        <w:t xml:space="preserve">et al.</w:t>
      </w:r>
      <w:r>
        <w:t xml:space="preserve"> </w:t>
      </w:r>
      <w:hyperlink r:id="rId246">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47"/>
    <w:bookmarkStart w:id="249" w:name="X75e3a610a061c8794902153a8faf5931aea2967"/>
    <w:p>
      <w:pPr>
        <w:pStyle w:val="Bibliography"/>
      </w:pPr>
      <w:r>
        <w:t xml:space="preserve">80.</w:t>
      </w:r>
      <w:r>
        <w:t xml:space="preserve"> </w:t>
      </w:r>
      <w:r>
        <w:t xml:space="preserve">	</w:t>
      </w:r>
      <w:r>
        <w:t xml:space="preserve">Zöllner, H. J.</w:t>
      </w:r>
      <w:r>
        <w:t xml:space="preserve"> </w:t>
      </w:r>
      <w:r>
        <w:rPr>
          <w:i/>
          <w:iCs/>
        </w:rPr>
        <w:t xml:space="preserve">et al.</w:t>
      </w:r>
      <w:r>
        <w:t xml:space="preserve"> </w:t>
      </w:r>
      <w:hyperlink r:id="rId248">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49"/>
    <w:bookmarkStart w:id="251" w:name="X34dcf5b26e20f7c34f09cc47bce142128fdda22"/>
    <w:p>
      <w:pPr>
        <w:pStyle w:val="Bibliography"/>
      </w:pPr>
      <w:r>
        <w:t xml:space="preserve">81.</w:t>
      </w:r>
      <w:r>
        <w:t xml:space="preserve"> </w:t>
      </w:r>
      <w:r>
        <w:t xml:space="preserve">	</w:t>
      </w:r>
      <w:r>
        <w:t xml:space="preserve">Harris, A. D., Puts, N. A. J., Barker, P. B. &amp; Edden, R. A. E.</w:t>
      </w:r>
      <w:r>
        <w:t xml:space="preserve"> </w:t>
      </w:r>
      <w:hyperlink r:id="rId250">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51"/>
    <w:bookmarkStart w:id="253" w:name="ref-mikkelsenBigGABAII2019"/>
    <w:p>
      <w:pPr>
        <w:pStyle w:val="Bibliography"/>
      </w:pPr>
      <w:r>
        <w:t xml:space="preserve">82.</w:t>
      </w:r>
      <w:r>
        <w:t xml:space="preserve"> </w:t>
      </w:r>
      <w:r>
        <w:t xml:space="preserve">	</w:t>
      </w:r>
      <w:r>
        <w:t xml:space="preserve">Mikkelsen, M.</w:t>
      </w:r>
      <w:r>
        <w:t xml:space="preserve"> </w:t>
      </w:r>
      <w:r>
        <w:rPr>
          <w:i/>
          <w:iCs/>
        </w:rPr>
        <w:t xml:space="preserve">et al.</w:t>
      </w:r>
      <w:r>
        <w:t xml:space="preserve"> </w:t>
      </w:r>
      <w:hyperlink r:id="rId252">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53"/>
    <w:bookmarkStart w:id="255" w:name="ref-mikkelsenBigGABAEdited2017"/>
    <w:p>
      <w:pPr>
        <w:pStyle w:val="Bibliography"/>
      </w:pPr>
      <w:r>
        <w:t xml:space="preserve">83.</w:t>
      </w:r>
      <w:r>
        <w:t xml:space="preserve"> </w:t>
      </w:r>
      <w:r>
        <w:t xml:space="preserve">	</w:t>
      </w:r>
      <w:r>
        <w:t xml:space="preserve">Mikkelsen, M.</w:t>
      </w:r>
      <w:r>
        <w:t xml:space="preserve"> </w:t>
      </w:r>
      <w:r>
        <w:rPr>
          <w:i/>
          <w:iCs/>
        </w:rPr>
        <w:t xml:space="preserve">et al.</w:t>
      </w:r>
      <w:r>
        <w:t xml:space="preserve"> </w:t>
      </w:r>
      <w:hyperlink r:id="rId254">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55"/>
    <w:bookmarkStart w:id="257" w:name="ref-huiMRSCloudCloudbasedMRS2022"/>
    <w:p>
      <w:pPr>
        <w:pStyle w:val="Bibliography"/>
      </w:pPr>
      <w:r>
        <w:t xml:space="preserve">84.</w:t>
      </w:r>
      <w:r>
        <w:t xml:space="preserve"> </w:t>
      </w:r>
      <w:r>
        <w:t xml:space="preserve">	</w:t>
      </w:r>
      <w:r>
        <w:t xml:space="preserve">Hui, S. C. N.</w:t>
      </w:r>
      <w:r>
        <w:t xml:space="preserve"> </w:t>
      </w:r>
      <w:r>
        <w:rPr>
          <w:i/>
          <w:iCs/>
        </w:rPr>
        <w:t xml:space="preserve">et al.</w:t>
      </w:r>
      <w:r>
        <w:t xml:space="preserve"> </w:t>
      </w:r>
      <w:hyperlink r:id="rId256">
        <w:r>
          <w:rPr>
            <w:rStyle w:val="InternetLink"/>
          </w:rPr>
          <w:t xml:space="preserve">MRSCloud</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cloud-based</w:t>
        </w:r>
        <w:r>
          <w:rPr>
            <w:rStyle w:val="InternetLink"/>
          </w:rPr>
          <w:t xml:space="preserve"> </w:t>
        </w:r>
        <w:r>
          <w:rPr>
            <w:rStyle w:val="InternetLink"/>
          </w:rPr>
          <w:t xml:space="preserve">MRS</w:t>
        </w:r>
        <w:r>
          <w:rPr>
            <w:rStyle w:val="InternetLink"/>
          </w:rPr>
          <w:t xml:space="preserve"> </w:t>
        </w:r>
        <w:r>
          <w:rPr>
            <w:rStyle w:val="InternetLink"/>
          </w:rPr>
          <w:t xml:space="preserve">tool for basis set simulation</w:t>
        </w:r>
      </w:hyperlink>
      <w:r>
        <w:t xml:space="preserve">.</w:t>
      </w:r>
      <w:r>
        <w:t xml:space="preserve"> </w:t>
      </w:r>
      <w:r>
        <w:rPr>
          <w:i/>
          <w:iCs/>
        </w:rPr>
        <w:t xml:space="preserve">Magnetic Resonance in Medicine</w:t>
      </w:r>
      <w:r>
        <w:t xml:space="preserve"> </w:t>
      </w:r>
      <w:r>
        <w:rPr>
          <w:b/>
          <w:bCs/>
        </w:rPr>
        <w:t xml:space="preserve">88</w:t>
      </w:r>
      <w:r>
        <w:t xml:space="preserve">, 1994–2004 (2022).</w:t>
      </w:r>
    </w:p>
    <w:bookmarkEnd w:id="257"/>
    <w:bookmarkStart w:id="259" w:name="X8244c66bb79eb3236eea2cca298e67f04778a6c"/>
    <w:p>
      <w:pPr>
        <w:pStyle w:val="Bibliography"/>
      </w:pPr>
      <w:r>
        <w:t xml:space="preserve">85.</w:t>
      </w:r>
      <w:r>
        <w:t xml:space="preserve"> </w:t>
      </w:r>
      <w:r>
        <w:t xml:space="preserve">	</w:t>
      </w:r>
      <w:r>
        <w:t xml:space="preserve">Mori, S.</w:t>
      </w:r>
      <w:r>
        <w:t xml:space="preserve"> </w:t>
      </w:r>
      <w:r>
        <w:rPr>
          <w:i/>
          <w:iCs/>
        </w:rPr>
        <w:t xml:space="preserve">et al.</w:t>
      </w:r>
      <w:r>
        <w:t xml:space="preserve"> </w:t>
      </w:r>
      <w:hyperlink r:id="rId258">
        <w:r>
          <w:rPr>
            <w:rStyle w:val="InternetLink"/>
          </w:rPr>
          <w:t xml:space="preserve">MRICloud</w:t>
        </w:r>
        <w:r>
          <w:rPr>
            <w:rStyle w:val="InternetLink"/>
          </w:rPr>
          <w:t xml:space="preserve">:</w:t>
        </w:r>
        <w:r>
          <w:rPr>
            <w:rStyle w:val="InternetLink"/>
          </w:rPr>
          <w:t xml:space="preserve"> </w:t>
        </w:r>
        <w:r>
          <w:rPr>
            <w:rStyle w:val="InternetLink"/>
          </w:rPr>
          <w:t xml:space="preserve">Delivering High-Throughput MRI Neuroinformatics</w:t>
        </w:r>
        <w:r>
          <w:rPr>
            <w:rStyle w:val="InternetLink"/>
          </w:rPr>
          <w:t xml:space="preserve"> </w:t>
        </w:r>
        <w:r>
          <w:rPr>
            <w:rStyle w:val="InternetLink"/>
          </w:rPr>
          <w:t xml:space="preserve">as</w:t>
        </w:r>
        <w:r>
          <w:rPr>
            <w:rStyle w:val="InternetLink"/>
          </w:rPr>
          <w:t xml:space="preserve"> </w:t>
        </w:r>
        <w:r>
          <w:rPr>
            <w:rStyle w:val="InternetLink"/>
          </w:rPr>
          <w:t xml:space="preserve">Cloud-Based Software</w:t>
        </w:r>
        <w:r>
          <w:rPr>
            <w:rStyle w:val="InternetLink"/>
          </w:rPr>
          <w:t xml:space="preserve"> </w:t>
        </w:r>
        <w:r>
          <w:rPr>
            <w:rStyle w:val="InternetLink"/>
          </w:rPr>
          <w:t xml:space="preserve">as a</w:t>
        </w:r>
        <w:r>
          <w:rPr>
            <w:rStyle w:val="InternetLink"/>
          </w:rPr>
          <w:t xml:space="preserve"> </w:t>
        </w:r>
        <w:r>
          <w:rPr>
            <w:rStyle w:val="InternetLink"/>
          </w:rPr>
          <w:t xml:space="preserve">Service</w:t>
        </w:r>
      </w:hyperlink>
      <w:r>
        <w:t xml:space="preserve">.</w:t>
      </w:r>
      <w:r>
        <w:t xml:space="preserve"> </w:t>
      </w:r>
      <w:r>
        <w:rPr>
          <w:i/>
          <w:iCs/>
        </w:rPr>
        <w:t xml:space="preserve">Computing in Science &amp; Engineering</w:t>
      </w:r>
      <w:r>
        <w:t xml:space="preserve"> </w:t>
      </w:r>
      <w:r>
        <w:rPr>
          <w:b/>
          <w:bCs/>
        </w:rPr>
        <w:t xml:space="preserve">18</w:t>
      </w:r>
      <w:r>
        <w:t xml:space="preserve">, 21–35 (2016).</w:t>
      </w:r>
    </w:p>
    <w:bookmarkEnd w:id="259"/>
    <w:bookmarkStart w:id="261" w:name="X3bd4325490f39fc8d86d2a451dd0fe154a395df"/>
    <w:p>
      <w:pPr>
        <w:pStyle w:val="Bibliography"/>
      </w:pPr>
      <w:r>
        <w:t xml:space="preserve">86.</w:t>
      </w:r>
      <w:r>
        <w:t xml:space="preserve"> </w:t>
      </w:r>
      <w:r>
        <w:t xml:space="preserve">	</w:t>
      </w:r>
      <w:r>
        <w:t xml:space="preserve">Rideaux, R.</w:t>
      </w:r>
      <w:r>
        <w:t xml:space="preserve"> </w:t>
      </w:r>
      <w:hyperlink r:id="rId260">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61"/>
    <w:bookmarkStart w:id="263" w:name="ref-clarkeFSLMRSEndtoendSpectroscopy2021"/>
    <w:p>
      <w:pPr>
        <w:pStyle w:val="Bibliography"/>
      </w:pPr>
      <w:r>
        <w:t xml:space="preserve">87.</w:t>
      </w:r>
      <w:r>
        <w:t xml:space="preserve"> </w:t>
      </w:r>
      <w:r>
        <w:t xml:space="preserve">	</w:t>
      </w:r>
      <w:r>
        <w:t xml:space="preserve">Clarke, W. T., Stagg, C. J. &amp; Jbabdi, S.</w:t>
      </w:r>
      <w:r>
        <w:t xml:space="preserve"> </w:t>
      </w:r>
      <w:hyperlink r:id="rId262">
        <w:r>
          <w:rPr>
            <w:rStyle w:val="InternetLink"/>
          </w:rPr>
          <w:t xml:space="preserve">FSL</w:t>
        </w:r>
        <w:r>
          <w:rPr>
            <w:rStyle w:val="InternetLink"/>
          </w:rPr>
          <w:t xml:space="preserve">-</w:t>
        </w:r>
        <w:r>
          <w:rPr>
            <w:rStyle w:val="InternetLink"/>
          </w:rPr>
          <w:t xml:space="preserve">MRS</w:t>
        </w:r>
        <w:r>
          <w:rPr>
            <w:rStyle w:val="InternetLink"/>
          </w:rPr>
          <w:t xml:space="preserve">:</w:t>
        </w:r>
        <w:r>
          <w:rPr>
            <w:rStyle w:val="InternetLink"/>
          </w:rPr>
          <w:t xml:space="preserve"> </w:t>
        </w:r>
        <w:r>
          <w:rPr>
            <w:rStyle w:val="InternetLink"/>
          </w:rPr>
          <w:t xml:space="preserve">An</w:t>
        </w:r>
        <w:r>
          <w:rPr>
            <w:rStyle w:val="InternetLink"/>
          </w:rPr>
          <w:t xml:space="preserve"> </w:t>
        </w:r>
        <w:r>
          <w:rPr>
            <w:rStyle w:val="InternetLink"/>
          </w:rPr>
          <w:t xml:space="preserve">end-to-end spectroscopy analysis package</w:t>
        </w:r>
      </w:hyperlink>
      <w:r>
        <w:t xml:space="preserve">.</w:t>
      </w:r>
      <w:r>
        <w:t xml:space="preserve"> </w:t>
      </w:r>
      <w:r>
        <w:rPr>
          <w:i/>
          <w:iCs/>
        </w:rPr>
        <w:t xml:space="preserve">Magnetic Resonance in Medicine</w:t>
      </w:r>
      <w:r>
        <w:t xml:space="preserve"> </w:t>
      </w:r>
      <w:r>
        <w:rPr>
          <w:b/>
          <w:bCs/>
        </w:rPr>
        <w:t xml:space="preserve">85</w:t>
      </w:r>
      <w:r>
        <w:t xml:space="preserve">, 2950–2964 (2021).</w:t>
      </w:r>
    </w:p>
    <w:bookmarkEnd w:id="263"/>
    <w:bookmarkStart w:id="265" w:name="Xfb3a1c089a00aa4fbe29f8a1d72f1a3eb3715c9"/>
    <w:p>
      <w:pPr>
        <w:pStyle w:val="Bibliography"/>
      </w:pPr>
      <w:r>
        <w:t xml:space="preserve">88.</w:t>
      </w:r>
      <w:r>
        <w:t xml:space="preserve"> </w:t>
      </w:r>
      <w:r>
        <w:t xml:space="preserve">	</w:t>
      </w:r>
      <w:r>
        <w:t xml:space="preserve">Boillat, Y., Xin, L., van der Zwaag, W. &amp; Gruetter, R.</w:t>
      </w:r>
      <w:r>
        <w:t xml:space="preserve"> </w:t>
      </w:r>
      <w:hyperlink r:id="rId264">
        <w:r>
          <w:rPr>
            <w:rStyle w:val="InternetLink"/>
          </w:rPr>
          <w:t xml:space="preserve">Metabolite concentration changes associated with positive and negative</w:t>
        </w:r>
        <w:r>
          <w:rPr>
            <w:rStyle w:val="InternetLink"/>
          </w:rPr>
          <w:t xml:space="preserve"> </w:t>
        </w:r>
        <w:r>
          <w:rPr>
            <w:rStyle w:val="InternetLink"/>
          </w:rPr>
          <w:t xml:space="preserve">BOLD</w:t>
        </w:r>
        <w:r>
          <w:rPr>
            <w:rStyle w:val="InternetLink"/>
          </w:rPr>
          <w:t xml:space="preserve"> </w:t>
        </w:r>
        <w:r>
          <w:rPr>
            <w:rStyle w:val="InternetLink"/>
          </w:rPr>
          <w:t xml:space="preserve">responses in the human visual cortex:</w:t>
        </w:r>
        <w:r>
          <w:rPr>
            <w:rStyle w:val="InternetLink"/>
          </w:rPr>
          <w:t xml:space="preserve"> </w:t>
        </w:r>
        <w:r>
          <w:rPr>
            <w:rStyle w:val="InternetLink"/>
          </w:rPr>
          <w:t xml:space="preserve">A</w:t>
        </w:r>
        <w:r>
          <w:rPr>
            <w:rStyle w:val="InternetLink"/>
          </w:rPr>
          <w:t xml:space="preserve"> </w:t>
        </w:r>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study at 7</w:t>
        </w:r>
        <w:r>
          <w:rPr>
            <w:rStyle w:val="InternetLink"/>
          </w:rPr>
          <w:t xml:space="preserve"> </w:t>
        </w:r>
        <w:r>
          <w:rPr>
            <w:rStyle w:val="InternetLink"/>
          </w:rPr>
          <w:t xml:space="preserve">Tesla</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40</w:t>
      </w:r>
      <w:r>
        <w:t xml:space="preserve">, 488–500 (2020).</w:t>
      </w:r>
    </w:p>
    <w:bookmarkEnd w:id="265"/>
    <w:bookmarkStart w:id="267" w:name="ref-dwyerSimultaneousMeasurementBOLD2021"/>
    <w:p>
      <w:pPr>
        <w:pStyle w:val="Bibliography"/>
      </w:pPr>
      <w:r>
        <w:t xml:space="preserve">89.</w:t>
      </w:r>
      <w:r>
        <w:t xml:space="preserve"> </w:t>
      </w:r>
      <w:r>
        <w:t xml:space="preserve">	</w:t>
      </w:r>
      <w:r>
        <w:t xml:space="preserve">Dwyer, G. E.</w:t>
      </w:r>
      <w:r>
        <w:t xml:space="preserve"> </w:t>
      </w:r>
      <w:r>
        <w:rPr>
          <w:i/>
          <w:iCs/>
        </w:rPr>
        <w:t xml:space="preserve">et al.</w:t>
      </w:r>
      <w:r>
        <w:t xml:space="preserve"> </w:t>
      </w:r>
      <w:hyperlink r:id="rId266">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267"/>
    <w:bookmarkStart w:id="269" w:name="X3c88d9f185b840e7d37383eacc851b1a1df9e52"/>
    <w:p>
      <w:pPr>
        <w:pStyle w:val="Bibliography"/>
      </w:pPr>
      <w:r>
        <w:t xml:space="preserve">90.</w:t>
      </w:r>
      <w:r>
        <w:t xml:space="preserve"> </w:t>
      </w:r>
      <w:r>
        <w:t xml:space="preserve">	</w:t>
      </w:r>
      <w:r>
        <w:t xml:space="preserve">Martínez-Maestro, M., Labadie, C. &amp; Möller, H. E.</w:t>
      </w:r>
      <w:r>
        <w:t xml:space="preserve"> </w:t>
      </w:r>
      <w:hyperlink r:id="rId268">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69"/>
    <w:bookmarkStart w:id="271" w:name="ref-mekleDetectionMetaboliteChanges2017"/>
    <w:p>
      <w:pPr>
        <w:pStyle w:val="Bibliography"/>
      </w:pPr>
      <w:r>
        <w:t xml:space="preserve">91.</w:t>
      </w:r>
      <w:r>
        <w:t xml:space="preserve"> </w:t>
      </w:r>
      <w:r>
        <w:t xml:space="preserve">	</w:t>
      </w:r>
      <w:r>
        <w:t xml:space="preserve">Mekle, R.</w:t>
      </w:r>
      <w:r>
        <w:t xml:space="preserve"> </w:t>
      </w:r>
      <w:r>
        <w:rPr>
          <w:i/>
          <w:iCs/>
        </w:rPr>
        <w:t xml:space="preserve">et al.</w:t>
      </w:r>
      <w:r>
        <w:t xml:space="preserve"> </w:t>
      </w:r>
      <w:hyperlink r:id="rId270">
        <w:r>
          <w:rPr>
            <w:rStyle w:val="InternetLink"/>
          </w:rPr>
          <w:t xml:space="preserve">Detection of metabolite changes in response to a varying visual stimulation paradigm using short-</w:t>
        </w:r>
        <w:r>
          <w:rPr>
            <w:rStyle w:val="InternetLink"/>
          </w:rPr>
          <w:t xml:space="preserve">TE</w:t>
        </w:r>
        <w:r>
          <w:rPr>
            <w:rStyle w:val="InternetLink"/>
            <w:vertAlign w:val="superscript"/>
          </w:rPr>
          <w:t xml:space="preserve">1</w:t>
        </w:r>
        <w:r>
          <w:rPr>
            <w:rStyle w:val="InternetLink"/>
          </w:rPr>
          <w:t xml:space="preserve"> </w:t>
        </w:r>
        <w:r>
          <w:rPr>
            <w:rStyle w:val="InternetLink"/>
          </w:rPr>
          <w:t xml:space="preserve">H MRS</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NMR in Biomedicine</w:t>
      </w:r>
      <w:r>
        <w:t xml:space="preserve"> </w:t>
      </w:r>
      <w:r>
        <w:rPr>
          <w:b/>
          <w:bCs/>
        </w:rPr>
        <w:t xml:space="preserve">30</w:t>
      </w:r>
      <w:r>
        <w:t xml:space="preserve">, e3672 (2017).</w:t>
      </w:r>
    </w:p>
    <w:bookmarkEnd w:id="271"/>
    <w:bookmarkStart w:id="273" w:name="ref-schallerNetIncreaseLactate2013"/>
    <w:p>
      <w:pPr>
        <w:pStyle w:val="Bibliography"/>
      </w:pPr>
      <w:r>
        <w:t xml:space="preserve">92.</w:t>
      </w:r>
      <w:r>
        <w:t xml:space="preserve"> </w:t>
      </w:r>
      <w:r>
        <w:t xml:space="preserve">	</w:t>
      </w:r>
      <w:r>
        <w:t xml:space="preserve">Schaller, B., Mekle, R., Xin, L., Kunz, N. &amp; Gruetter, R.</w:t>
      </w:r>
      <w:r>
        <w:t xml:space="preserve"> </w:t>
      </w:r>
      <w:hyperlink r:id="rId272">
        <w:r>
          <w:rPr>
            <w:rStyle w:val="InternetLink"/>
          </w:rPr>
          <w:t xml:space="preserve">Net increase of lactate and glutamate concentration in activated human visual cortex detected with magnetic resonance spectroscopy at 7 tesla</w:t>
        </w:r>
      </w:hyperlink>
      <w:r>
        <w:t xml:space="preserve">.</w:t>
      </w:r>
      <w:r>
        <w:t xml:space="preserve"> </w:t>
      </w:r>
      <w:r>
        <w:rPr>
          <w:i/>
          <w:iCs/>
        </w:rPr>
        <w:t xml:space="preserve">Journal of Neuroscience Research</w:t>
      </w:r>
      <w:r>
        <w:t xml:space="preserve"> </w:t>
      </w:r>
      <w:r>
        <w:rPr>
          <w:b/>
          <w:bCs/>
        </w:rPr>
        <w:t xml:space="preserve">91</w:t>
      </w:r>
      <w:r>
        <w:t xml:space="preserve">, 1076–1083 (2013).</w:t>
      </w:r>
    </w:p>
    <w:bookmarkEnd w:id="273"/>
    <w:bookmarkStart w:id="275" w:name="ref-eddenGannetBatchprocessingTool2014"/>
    <w:p>
      <w:pPr>
        <w:pStyle w:val="Bibliography"/>
      </w:pPr>
      <w:r>
        <w:t xml:space="preserve">93.</w:t>
      </w:r>
      <w:r>
        <w:t xml:space="preserve"> </w:t>
      </w:r>
      <w:r>
        <w:t xml:space="preserve">	</w:t>
      </w:r>
      <w:r>
        <w:t xml:space="preserve">Edden, R. A. E., Puts, N. A. J., Harris, A. D., Barker, P. B. &amp; Evans, C. J.</w:t>
      </w:r>
      <w:r>
        <w:t xml:space="preserve"> </w:t>
      </w:r>
      <w:hyperlink r:id="rId274">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275"/>
    <w:bookmarkStart w:id="277" w:name="ref-duffPowerSpectralDensity2008"/>
    <w:p>
      <w:pPr>
        <w:pStyle w:val="Bibliography"/>
      </w:pPr>
      <w:r>
        <w:t xml:space="preserve">94.</w:t>
      </w:r>
      <w:r>
        <w:t xml:space="preserve"> </w:t>
      </w:r>
      <w:r>
        <w:t xml:space="preserve">	</w:t>
      </w:r>
      <w:r>
        <w:t xml:space="preserve">Duff, E. P.</w:t>
      </w:r>
      <w:r>
        <w:t xml:space="preserve"> </w:t>
      </w:r>
      <w:r>
        <w:rPr>
          <w:i/>
          <w:iCs/>
        </w:rPr>
        <w:t xml:space="preserve">et al.</w:t>
      </w:r>
      <w:r>
        <w:t xml:space="preserve"> </w:t>
      </w:r>
      <w:hyperlink r:id="rId276">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277"/>
    <w:bookmarkStart w:id="279" w:name="Xd34177f599f07e2811a749ece05b12e11ebd05a"/>
    <w:p>
      <w:pPr>
        <w:pStyle w:val="Bibliography"/>
      </w:pPr>
      <w:r>
        <w:t xml:space="preserve">95.</w:t>
      </w:r>
      <w:r>
        <w:t xml:space="preserve"> </w:t>
      </w:r>
      <w:r>
        <w:t xml:space="preserve">	</w:t>
      </w:r>
      <w:r>
        <w:t xml:space="preserve">Bullmore, E.</w:t>
      </w:r>
      <w:r>
        <w:t xml:space="preserve"> </w:t>
      </w:r>
      <w:r>
        <w:rPr>
          <w:i/>
          <w:iCs/>
        </w:rPr>
        <w:t xml:space="preserve">et al.</w:t>
      </w:r>
      <w:r>
        <w:t xml:space="preserve"> </w:t>
      </w:r>
      <w:hyperlink r:id="rId278">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279"/>
    <w:bookmarkStart w:id="281" w:name="ref-welchUseFastFourier1967"/>
    <w:p>
      <w:pPr>
        <w:pStyle w:val="Bibliography"/>
      </w:pPr>
      <w:r>
        <w:t xml:space="preserve">96.</w:t>
      </w:r>
      <w:r>
        <w:t xml:space="preserve"> </w:t>
      </w:r>
      <w:r>
        <w:t xml:space="preserve">	</w:t>
      </w:r>
      <w:r>
        <w:t xml:space="preserve">Welch, P.</w:t>
      </w:r>
      <w:r>
        <w:t xml:space="preserve"> </w:t>
      </w:r>
      <w:hyperlink r:id="rId280">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281"/>
    <w:bookmarkStart w:id="283" w:name="ref-virtanenSciPy10Fundamental2020"/>
    <w:p>
      <w:pPr>
        <w:pStyle w:val="Bibliography"/>
      </w:pPr>
      <w:r>
        <w:t xml:space="preserve">97.</w:t>
      </w:r>
      <w:r>
        <w:t xml:space="preserve"> </w:t>
      </w:r>
      <w:r>
        <w:t xml:space="preserve">	</w:t>
      </w:r>
      <w:r>
        <w:t xml:space="preserve">Virtanen, P.</w:t>
      </w:r>
      <w:r>
        <w:t xml:space="preserve"> </w:t>
      </w:r>
      <w:r>
        <w:rPr>
          <w:i/>
          <w:iCs/>
        </w:rPr>
        <w:t xml:space="preserve">et al.</w:t>
      </w:r>
      <w:r>
        <w:t xml:space="preserve"> </w:t>
      </w:r>
      <w:hyperlink r:id="rId282">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283"/>
    <w:bookmarkStart w:id="285" w:name="X777c331d415e605c70ef5f00469b3557f0cea50"/>
    <w:p>
      <w:pPr>
        <w:pStyle w:val="Bibliography"/>
      </w:pPr>
      <w:r>
        <w:t xml:space="preserve">98.</w:t>
      </w:r>
      <w:r>
        <w:t xml:space="preserve"> </w:t>
      </w:r>
      <w:r>
        <w:t xml:space="preserve">	</w:t>
      </w:r>
      <w:r>
        <w:t xml:space="preserve">Schaefer, A., Brach, J. S., Perera, S. &amp; Sejdić, E.</w:t>
      </w:r>
      <w:r>
        <w:t xml:space="preserve"> </w:t>
      </w:r>
      <w:hyperlink r:id="rId284">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285"/>
    <w:bookmarkStart w:id="287" w:name="ref-hartmannRealtimeFractalSignal2013"/>
    <w:p>
      <w:pPr>
        <w:pStyle w:val="Bibliography"/>
      </w:pPr>
      <w:r>
        <w:t xml:space="preserve">99.</w:t>
      </w:r>
      <w:r>
        <w:t xml:space="preserve"> </w:t>
      </w:r>
      <w:r>
        <w:t xml:space="preserve">	</w:t>
      </w:r>
      <w:r>
        <w:t xml:space="preserve">Hartmann, A.</w:t>
      </w:r>
      <w:r>
        <w:t xml:space="preserve"> </w:t>
      </w:r>
      <w:r>
        <w:rPr>
          <w:i/>
          <w:iCs/>
        </w:rPr>
        <w:t xml:space="preserve">et al.</w:t>
      </w:r>
      <w:r>
        <w:t xml:space="preserve"> </w:t>
      </w:r>
      <w:hyperlink r:id="rId286">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287"/>
    <w:bookmarkStart w:id="289" w:name="ref-ekePhysiologicalTimeSeries2000"/>
    <w:p>
      <w:pPr>
        <w:pStyle w:val="Bibliography"/>
      </w:pPr>
      <w:r>
        <w:t xml:space="preserve">100.</w:t>
      </w:r>
      <w:r>
        <w:t xml:space="preserve"> </w:t>
      </w:r>
      <w:r>
        <w:t xml:space="preserve">	</w:t>
      </w:r>
      <w:r>
        <w:t xml:space="preserve">Eke, A.</w:t>
      </w:r>
      <w:r>
        <w:t xml:space="preserve"> </w:t>
      </w:r>
      <w:r>
        <w:rPr>
          <w:i/>
          <w:iCs/>
        </w:rPr>
        <w:t xml:space="preserve">et al.</w:t>
      </w:r>
      <w:r>
        <w:t xml:space="preserve"> </w:t>
      </w:r>
      <w:hyperlink r:id="rId288">
        <w:r>
          <w:rPr>
            <w:rStyle w:val="InternetLink"/>
          </w:rPr>
          <w:t xml:space="preserve">Physiological time series: Distinguishing fractal noises from motions</w:t>
        </w:r>
      </w:hyperlink>
      <w:r>
        <w:t xml:space="preserve">.</w:t>
      </w:r>
      <w:r>
        <w:t xml:space="preserve"> </w:t>
      </w:r>
      <w:r>
        <w:rPr>
          <w:i/>
          <w:iCs/>
        </w:rPr>
        <w:t xml:space="preserve">Pfl</w:t>
      </w:r>
      <w:r>
        <w:rPr>
          <w:i/>
          <w:iCs/>
        </w:rPr>
        <w:t xml:space="preserve">ü</w:t>
      </w:r>
      <w:r>
        <w:rPr>
          <w:i/>
          <w:iCs/>
        </w:rPr>
        <w:t xml:space="preserve">gers Archiv - European Journal of Physiology</w:t>
      </w:r>
      <w:r>
        <w:t xml:space="preserve"> </w:t>
      </w:r>
      <w:r>
        <w:rPr>
          <w:b/>
          <w:bCs/>
        </w:rPr>
        <w:t xml:space="preserve">439</w:t>
      </w:r>
      <w:r>
        <w:t xml:space="preserve">, 403–415 (2000).</w:t>
      </w:r>
    </w:p>
    <w:bookmarkEnd w:id="289"/>
    <w:bookmarkStart w:id="290" w:name="X7d7144c0a52ec3594cffc5fec0f425498533505"/>
    <w:p>
      <w:pPr>
        <w:pStyle w:val="Bibliography"/>
      </w:pPr>
      <w:r>
        <w:t xml:space="preserve">101.</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290"/>
    <w:bookmarkStart w:id="292" w:name="ref-studentProbableErrorMean1908"/>
    <w:p>
      <w:pPr>
        <w:pStyle w:val="Bibliography"/>
      </w:pPr>
      <w:r>
        <w:t xml:space="preserve">102.</w:t>
      </w:r>
      <w:r>
        <w:t xml:space="preserve"> </w:t>
      </w:r>
      <w:r>
        <w:t xml:space="preserve">	</w:t>
      </w:r>
      <w:r>
        <w:t xml:space="preserve">Student.</w:t>
      </w:r>
      <w:r>
        <w:t xml:space="preserve"> </w:t>
      </w:r>
      <w:hyperlink r:id="rId291">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292"/>
    <w:bookmarkStart w:id="293" w:name="ref-freedmanStatistics2007"/>
    <w:p>
      <w:pPr>
        <w:pStyle w:val="Bibliography"/>
      </w:pPr>
      <w:r>
        <w:t xml:space="preserve">103.</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293"/>
    <w:bookmarkStart w:id="295" w:name="X6ae0be824696d7d721165c200683fdc329ea166"/>
    <w:p>
      <w:pPr>
        <w:pStyle w:val="Bibliography"/>
      </w:pPr>
      <w:r>
        <w:t xml:space="preserve">104.</w:t>
      </w:r>
      <w:r>
        <w:t xml:space="preserve"> </w:t>
      </w:r>
      <w:r>
        <w:t xml:space="preserve">	</w:t>
      </w:r>
      <w:r>
        <w:t xml:space="preserve">Thomas Yeo, B. T.</w:t>
      </w:r>
      <w:r>
        <w:t xml:space="preserve"> </w:t>
      </w:r>
      <w:r>
        <w:rPr>
          <w:i/>
          <w:iCs/>
        </w:rPr>
        <w:t xml:space="preserve">et al.</w:t>
      </w:r>
      <w:r>
        <w:t xml:space="preserve"> </w:t>
      </w:r>
      <w:hyperlink r:id="rId294">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295"/>
    <w:bookmarkStart w:id="297" w:name="ref-vanessenHumanConnectomeProject2012"/>
    <w:p>
      <w:pPr>
        <w:pStyle w:val="Bibliography"/>
      </w:pPr>
      <w:r>
        <w:t xml:space="preserve">105.</w:t>
      </w:r>
      <w:r>
        <w:t xml:space="preserve"> </w:t>
      </w:r>
      <w:r>
        <w:t xml:space="preserve">	</w:t>
      </w:r>
      <w:r>
        <w:t xml:space="preserve">Van Essen, D. C.</w:t>
      </w:r>
      <w:r>
        <w:t xml:space="preserve"> </w:t>
      </w:r>
      <w:r>
        <w:rPr>
          <w:i/>
          <w:iCs/>
        </w:rPr>
        <w:t xml:space="preserve">et al.</w:t>
      </w:r>
      <w:r>
        <w:t xml:space="preserve"> </w:t>
      </w:r>
      <w:hyperlink r:id="rId296">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297"/>
    <w:bookmarkStart w:id="299" w:name="ref-barnesEndogenousHumanBrain2009"/>
    <w:p>
      <w:pPr>
        <w:pStyle w:val="Bibliography"/>
      </w:pPr>
      <w:r>
        <w:t xml:space="preserve">106.</w:t>
      </w:r>
      <w:r>
        <w:t xml:space="preserve"> </w:t>
      </w:r>
      <w:r>
        <w:t xml:space="preserve">	</w:t>
      </w:r>
      <w:r>
        <w:t xml:space="preserve">Barnes, A., Bullmore, E. T. &amp; Suckling, J.</w:t>
      </w:r>
      <w:r>
        <w:t xml:space="preserve"> </w:t>
      </w:r>
      <w:hyperlink r:id="rId298">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299"/>
    <w:bookmarkStart w:id="301" w:name="Xdd0f9bdb5d2d0acdde6c08413118c35b45ae4cd"/>
    <w:p>
      <w:pPr>
        <w:pStyle w:val="Bibliography"/>
      </w:pPr>
      <w:r>
        <w:t xml:space="preserve">107.</w:t>
      </w:r>
      <w:r>
        <w:t xml:space="preserve"> </w:t>
      </w:r>
      <w:r>
        <w:t xml:space="preserve">	</w:t>
      </w:r>
      <w:r>
        <w:t xml:space="preserve">Hasson, U., Malach, R. &amp; Heeger, D. J.</w:t>
      </w:r>
      <w:r>
        <w:t xml:space="preserve"> </w:t>
      </w:r>
      <w:hyperlink r:id="rId300">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01"/>
    <w:bookmarkStart w:id="303" w:name="Xd7bbbfdf199e4fdf58c437612e12147a1ffae11"/>
    <w:p>
      <w:pPr>
        <w:pStyle w:val="Bibliography"/>
      </w:pPr>
      <w:r>
        <w:t xml:space="preserve">108.</w:t>
      </w:r>
      <w:r>
        <w:t xml:space="preserve"> </w:t>
      </w:r>
      <w:r>
        <w:t xml:space="preserve">	</w:t>
      </w:r>
      <w:r>
        <w:t xml:space="preserve">Gutzeit, A.</w:t>
      </w:r>
      <w:r>
        <w:t xml:space="preserve"> </w:t>
      </w:r>
      <w:r>
        <w:rPr>
          <w:i/>
          <w:iCs/>
        </w:rPr>
        <w:t xml:space="preserve">et al.</w:t>
      </w:r>
      <w:r>
        <w:t xml:space="preserve"> </w:t>
      </w:r>
      <w:hyperlink r:id="rId302">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03"/>
    <w:bookmarkStart w:id="305" w:name="Xc031393e1e23d215e5a249602114cefaa154497"/>
    <w:p>
      <w:pPr>
        <w:pStyle w:val="Bibliography"/>
      </w:pPr>
      <w:r>
        <w:t xml:space="preserve">109.</w:t>
      </w:r>
      <w:r>
        <w:t xml:space="preserve"> </w:t>
      </w:r>
      <w:r>
        <w:t xml:space="preserve">	</w:t>
      </w:r>
      <w:r>
        <w:t xml:space="preserve">Cleve, M., Gussew, A., Wagner, G., Bär, K.-J. &amp; Reichenbach, J. R.</w:t>
      </w:r>
      <w:r>
        <w:t xml:space="preserve"> </w:t>
      </w:r>
      <w:hyperlink r:id="rId304">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05"/>
    <w:bookmarkStart w:id="307" w:name="X70d4e54e9083b8b511ad1a83fb645f92f8c48a0"/>
    <w:p>
      <w:pPr>
        <w:pStyle w:val="Bibliography"/>
      </w:pPr>
      <w:r>
        <w:t xml:space="preserve">110.</w:t>
      </w:r>
      <w:r>
        <w:t xml:space="preserve"> </w:t>
      </w:r>
      <w:r>
        <w:t xml:space="preserve">	</w:t>
      </w:r>
      <w:r>
        <w:t xml:space="preserve">Apšvalka, D., Gadie, A., Clemence, M. &amp; Mullins, P. G.</w:t>
      </w:r>
      <w:r>
        <w:t xml:space="preserve"> </w:t>
      </w:r>
      <w:hyperlink r:id="rId306">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07"/>
    <w:bookmarkStart w:id="309" w:name="ref-floyer-leaRapidModulationGABA2006"/>
    <w:p>
      <w:pPr>
        <w:pStyle w:val="Bibliography"/>
      </w:pPr>
      <w:r>
        <w:t xml:space="preserve">111.</w:t>
      </w:r>
      <w:r>
        <w:t xml:space="preserve"> </w:t>
      </w:r>
      <w:r>
        <w:t xml:space="preserve">	</w:t>
      </w:r>
      <w:r>
        <w:t xml:space="preserve">Floyer-Lea, A., Wylezinska, M., Kincses, T. &amp; Matthews, P. M.</w:t>
      </w:r>
      <w:r>
        <w:t xml:space="preserve"> </w:t>
      </w:r>
      <w:hyperlink r:id="rId308">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09"/>
    <w:bookmarkStart w:id="311" w:name="Xfd39a03a46266e9206661c98743a7164bea427c"/>
    <w:p>
      <w:pPr>
        <w:pStyle w:val="Bibliography"/>
      </w:pPr>
      <w:r>
        <w:t xml:space="preserve">112.</w:t>
      </w:r>
      <w:r>
        <w:t xml:space="preserve"> </w:t>
      </w:r>
      <w:r>
        <w:t xml:space="preserve">	</w:t>
      </w:r>
      <w:r>
        <w:t xml:space="preserve">Sampaio-Baptista, C.</w:t>
      </w:r>
      <w:r>
        <w:t xml:space="preserve"> </w:t>
      </w:r>
      <w:r>
        <w:rPr>
          <w:i/>
          <w:iCs/>
        </w:rPr>
        <w:t xml:space="preserve">et al.</w:t>
      </w:r>
      <w:r>
        <w:t xml:space="preserve"> </w:t>
      </w:r>
      <w:hyperlink r:id="rId310">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11"/>
    <w:bookmarkStart w:id="313" w:name="ref-staggRoleGABAHuman2011"/>
    <w:p>
      <w:pPr>
        <w:pStyle w:val="Bibliography"/>
      </w:pPr>
      <w:r>
        <w:t xml:space="preserve">113.</w:t>
      </w:r>
      <w:r>
        <w:t xml:space="preserve"> </w:t>
      </w:r>
      <w:r>
        <w:t xml:space="preserve">	</w:t>
      </w:r>
      <w:r>
        <w:t xml:space="preserve">Stagg, C. J., Bachtiar, V. &amp; Johansen-Berg, H.</w:t>
      </w:r>
      <w:r>
        <w:t xml:space="preserve"> </w:t>
      </w:r>
      <w:hyperlink r:id="rId312">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13"/>
    <w:bookmarkStart w:id="315" w:name="Xc23bd815f845e5380371f8632e8bf49cbd2c5fa"/>
    <w:p>
      <w:pPr>
        <w:pStyle w:val="Bibliography"/>
      </w:pPr>
      <w:r>
        <w:t xml:space="preserve">114.</w:t>
      </w:r>
      <w:r>
        <w:t xml:space="preserve"> </w:t>
      </w:r>
      <w:r>
        <w:t xml:space="preserve">	</w:t>
      </w:r>
      <w:r>
        <w:t xml:space="preserve">Mangia, S., Giove, F. &amp; Dinuzzo, M.</w:t>
      </w:r>
      <w:r>
        <w:t xml:space="preserve"> </w:t>
      </w:r>
      <w:hyperlink r:id="rId314">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15"/>
    <w:bookmarkStart w:id="317" w:name="X56c2864753b60d9230ad09d1af7ca17bd280dab"/>
    <w:p>
      <w:pPr>
        <w:pStyle w:val="Bibliography"/>
      </w:pPr>
      <w:r>
        <w:t xml:space="preserve">115.</w:t>
      </w:r>
      <w:r>
        <w:t xml:space="preserve"> </w:t>
      </w:r>
      <w:r>
        <w:t xml:space="preserve">	</w:t>
      </w:r>
      <w:r>
        <w:t xml:space="preserve">Wilson, M.</w:t>
      </w:r>
      <w:r>
        <w:t xml:space="preserve"> </w:t>
      </w:r>
      <w:r>
        <w:rPr>
          <w:i/>
          <w:iCs/>
        </w:rPr>
        <w:t xml:space="preserve">et al.</w:t>
      </w:r>
      <w:r>
        <w:t xml:space="preserve"> </w:t>
      </w:r>
      <w:hyperlink r:id="rId316">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317"/>
    <w:bookmarkStart w:id="319" w:name="ref-peekBrainGABAGlutamate2020"/>
    <w:p>
      <w:pPr>
        <w:pStyle w:val="Bibliography"/>
      </w:pPr>
      <w:r>
        <w:t xml:space="preserve">116.</w:t>
      </w:r>
      <w:r>
        <w:t xml:space="preserve"> </w:t>
      </w:r>
      <w:r>
        <w:t xml:space="preserve">	</w:t>
      </w:r>
      <w:r>
        <w:t xml:space="preserve">Peek, A. L.</w:t>
      </w:r>
      <w:r>
        <w:t xml:space="preserve"> </w:t>
      </w:r>
      <w:r>
        <w:rPr>
          <w:i/>
          <w:iCs/>
        </w:rPr>
        <w:t xml:space="preserve">et al.</w:t>
      </w:r>
      <w:r>
        <w:t xml:space="preserve"> </w:t>
      </w:r>
      <w:hyperlink r:id="rId318">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19"/>
    <w:bookmarkStart w:id="321" w:name="ref-choiSpectralEditing1H2021"/>
    <w:p>
      <w:pPr>
        <w:pStyle w:val="Bibliography"/>
      </w:pPr>
      <w:r>
        <w:t xml:space="preserve">117.</w:t>
      </w:r>
      <w:r>
        <w:t xml:space="preserve"> </w:t>
      </w:r>
      <w:r>
        <w:t xml:space="preserve">	</w:t>
      </w:r>
      <w:r>
        <w:t xml:space="preserve">Choi, I.-Y.</w:t>
      </w:r>
      <w:r>
        <w:t xml:space="preserve"> </w:t>
      </w:r>
      <w:r>
        <w:rPr>
          <w:i/>
          <w:iCs/>
        </w:rPr>
        <w:t xml:space="preserve">et al.</w:t>
      </w:r>
      <w:r>
        <w:t xml:space="preserve"> </w:t>
      </w:r>
      <w:hyperlink r:id="rId320">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21"/>
    <w:bookmarkStart w:id="323" w:name="ref-linMinimumReportingStandards2021"/>
    <w:p>
      <w:pPr>
        <w:pStyle w:val="Bibliography"/>
      </w:pPr>
      <w:r>
        <w:t xml:space="preserve">118.</w:t>
      </w:r>
      <w:r>
        <w:t xml:space="preserve"> </w:t>
      </w:r>
      <w:r>
        <w:t xml:space="preserve">	</w:t>
      </w:r>
      <w:r>
        <w:t xml:space="preserve">Lin, A.</w:t>
      </w:r>
      <w:r>
        <w:t xml:space="preserve"> </w:t>
      </w:r>
      <w:r>
        <w:rPr>
          <w:i/>
          <w:iCs/>
        </w:rPr>
        <w:t xml:space="preserve">et al.</w:t>
      </w:r>
      <w:r>
        <w:t xml:space="preserve"> </w:t>
      </w:r>
      <w:hyperlink r:id="rId322">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23"/>
    <w:bookmarkStart w:id="325" w:name="ref-kunduMultiechoFMRIReview2017"/>
    <w:p>
      <w:pPr>
        <w:pStyle w:val="Bibliography"/>
      </w:pPr>
      <w:r>
        <w:t xml:space="preserve">119.</w:t>
      </w:r>
      <w:r>
        <w:t xml:space="preserve"> </w:t>
      </w:r>
      <w:r>
        <w:t xml:space="preserve">	</w:t>
      </w:r>
      <w:r>
        <w:t xml:space="preserve">Kundu, P.</w:t>
      </w:r>
      <w:r>
        <w:t xml:space="preserve"> </w:t>
      </w:r>
      <w:r>
        <w:rPr>
          <w:i/>
          <w:iCs/>
        </w:rPr>
        <w:t xml:space="preserve">et al.</w:t>
      </w:r>
      <w:r>
        <w:t xml:space="preserve"> </w:t>
      </w:r>
      <w:hyperlink r:id="rId324">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25"/>
    <w:bookmarkStart w:id="327" w:name="X5469f64f3bb30d988fbeeb1cf3ab3d2dc0d2483"/>
    <w:p>
      <w:pPr>
        <w:pStyle w:val="Bibliography"/>
      </w:pPr>
      <w:r>
        <w:t xml:space="preserve">120.</w:t>
      </w:r>
      <w:r>
        <w:t xml:space="preserve"> </w:t>
      </w:r>
      <w:r>
        <w:t xml:space="preserve">	</w:t>
      </w:r>
      <w:r>
        <w:t xml:space="preserve">Archibald, J.</w:t>
      </w:r>
      <w:r>
        <w:t xml:space="preserve"> </w:t>
      </w:r>
      <w:r>
        <w:rPr>
          <w:i/>
          <w:iCs/>
        </w:rPr>
        <w:t xml:space="preserve">et al.</w:t>
      </w:r>
      <w:r>
        <w:t xml:space="preserve"> </w:t>
      </w:r>
      <w:hyperlink r:id="rId326">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27"/>
    <w:bookmarkStart w:id="329" w:name="ref-mullinsNovelTechniqueStudy2005"/>
    <w:p>
      <w:pPr>
        <w:pStyle w:val="Bibliography"/>
      </w:pPr>
      <w:r>
        <w:t xml:space="preserve">121.</w:t>
      </w:r>
      <w:r>
        <w:t xml:space="preserve"> </w:t>
      </w:r>
      <w:r>
        <w:t xml:space="preserve">	</w:t>
      </w:r>
      <w:r>
        <w:t xml:space="preserve">Mullins, P. G., Rowland, L. M., Jung, R. E. &amp; Sibbitt, W. L.</w:t>
      </w:r>
      <w:r>
        <w:t xml:space="preserve"> </w:t>
      </w:r>
      <w:hyperlink r:id="rId328">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29"/>
    <w:bookmarkStart w:id="331" w:name="ref-gussewTimeresolvedFunctional1H2010"/>
    <w:p>
      <w:pPr>
        <w:pStyle w:val="Bibliography"/>
      </w:pPr>
      <w:r>
        <w:t xml:space="preserve">122.</w:t>
      </w:r>
      <w:r>
        <w:t xml:space="preserve"> </w:t>
      </w:r>
      <w:r>
        <w:t xml:space="preserve">	</w:t>
      </w:r>
      <w:r>
        <w:t xml:space="preserve">Gussew, A.</w:t>
      </w:r>
      <w:r>
        <w:t xml:space="preserve"> </w:t>
      </w:r>
      <w:r>
        <w:rPr>
          <w:i/>
          <w:iCs/>
        </w:rPr>
        <w:t xml:space="preserve">et al.</w:t>
      </w:r>
      <w:r>
        <w:t xml:space="preserve"> </w:t>
      </w:r>
      <w:hyperlink r:id="rId330">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31"/>
    <w:bookmarkStart w:id="333" w:name="X80e31e083a8695b6c4a3f9174931ee68430de4b"/>
    <w:p>
      <w:pPr>
        <w:pStyle w:val="Bibliography"/>
      </w:pPr>
      <w:r>
        <w:t xml:space="preserve">123.</w:t>
      </w:r>
      <w:r>
        <w:t xml:space="preserve"> </w:t>
      </w:r>
      <w:r>
        <w:t xml:space="preserve">	</w:t>
      </w:r>
      <w:r>
        <w:t xml:space="preserve">Gutzeit, A.</w:t>
      </w:r>
      <w:r>
        <w:t xml:space="preserve"> </w:t>
      </w:r>
      <w:r>
        <w:rPr>
          <w:i/>
          <w:iCs/>
        </w:rPr>
        <w:t xml:space="preserve">et al.</w:t>
      </w:r>
      <w:r>
        <w:t xml:space="preserve"> </w:t>
      </w:r>
      <w:hyperlink r:id="rId332">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33"/>
    <w:bookmarkStart w:id="335" w:name="ref-mullinsTheoryFunctionalMagnetic2018"/>
    <w:p>
      <w:pPr>
        <w:pStyle w:val="Bibliography"/>
      </w:pPr>
      <w:r>
        <w:t xml:space="preserve">124.</w:t>
      </w:r>
      <w:r>
        <w:t xml:space="preserve"> </w:t>
      </w:r>
      <w:r>
        <w:t xml:space="preserve">	</w:t>
      </w:r>
      <w:r>
        <w:t xml:space="preserve">Mullins, P. G.</w:t>
      </w:r>
      <w:r>
        <w:t xml:space="preserve"> </w:t>
      </w:r>
      <w:hyperlink r:id="rId334">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35"/>
    <w:bookmarkEnd w:id="336"/>
    <w:bookmarkEnd w:id="337"/>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40" Target="media/rId40.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85" Target="media/rId85.pn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hyperlink" Id="rId202" Target="https://doi.org/10.1002/(sici)1099-1492(199810)11:6&lt;266::aid-nbm530&gt;3.0.co;2-j" TargetMode="External" /><Relationship Type="http://schemas.openxmlformats.org/officeDocument/2006/relationships/hyperlink" Id="rId233" Target="https://doi.org/10.1002/(sici)1522-2594(199907)42:1&lt;87::aid-mrm13&gt;3.0.co;2-o" TargetMode="External" /><Relationship Type="http://schemas.openxmlformats.org/officeDocument/2006/relationships/hyperlink" Id="rId145" Target="https://doi.org/10.1002/hbm.20593" TargetMode="External" /><Relationship Type="http://schemas.openxmlformats.org/officeDocument/2006/relationships/hyperlink" Id="rId276" Target="https://doi.org/10.1002/hbm.20601" TargetMode="External" /><Relationship Type="http://schemas.openxmlformats.org/officeDocument/2006/relationships/hyperlink" Id="rId138" Target="https://doi.org/10.1002/hbm.25801" TargetMode="External" /><Relationship Type="http://schemas.openxmlformats.org/officeDocument/2006/relationships/hyperlink" Id="rId274" Target="https://doi.org/10.1002/jmri.24478" TargetMode="External" /><Relationship Type="http://schemas.openxmlformats.org/officeDocument/2006/relationships/hyperlink" Id="rId272" Target="https://doi.org/10.1002/jnr.23194" TargetMode="External" /><Relationship Type="http://schemas.openxmlformats.org/officeDocument/2006/relationships/hyperlink" Id="rId240" Target="https://doi.org/10.1002/mrm.20901" TargetMode="External" /><Relationship Type="http://schemas.openxmlformats.org/officeDocument/2006/relationships/hyperlink" Id="rId200" Target="https://doi.org/10.1002/mrm.22708" TargetMode="External" /><Relationship Type="http://schemas.openxmlformats.org/officeDocument/2006/relationships/hyperlink" Id="rId250" Target="https://doi.org/10.1002/mrm.25549" TargetMode="External" /><Relationship Type="http://schemas.openxmlformats.org/officeDocument/2006/relationships/hyperlink" Id="rId194" Target="https://doi.org/10.1002/mrm.26619" TargetMode="External" /><Relationship Type="http://schemas.openxmlformats.org/officeDocument/2006/relationships/hyperlink" Id="rId316" Target="https://doi.org/10.1002/mrm.27742" TargetMode="External" /><Relationship Type="http://schemas.openxmlformats.org/officeDocument/2006/relationships/hyperlink" Id="rId262" Target="https://doi.org/10.1002/mrm.28630" TargetMode="External" /><Relationship Type="http://schemas.openxmlformats.org/officeDocument/2006/relationships/hyperlink" Id="rId256" Target="https://doi.org/10.1002/mrm.29370" TargetMode="External" /><Relationship Type="http://schemas.openxmlformats.org/officeDocument/2006/relationships/hyperlink" Id="rId244" Target="https://doi.org/10.1002/nbm.3045" TargetMode="External" /><Relationship Type="http://schemas.openxmlformats.org/officeDocument/2006/relationships/hyperlink" Id="rId270" Target="https://doi.org/10.1002/nbm.3672" TargetMode="External" /><Relationship Type="http://schemas.openxmlformats.org/officeDocument/2006/relationships/hyperlink" Id="rId320" Target="https://doi.org/10.1002/nbm.4411" TargetMode="External" /><Relationship Type="http://schemas.openxmlformats.org/officeDocument/2006/relationships/hyperlink" Id="rId246" Target="https://doi.org/10.1002/nbm.4482" TargetMode="External" /><Relationship Type="http://schemas.openxmlformats.org/officeDocument/2006/relationships/hyperlink" Id="rId322" Target="https://doi.org/10.1002/nbm.4484" TargetMode="External" /><Relationship Type="http://schemas.openxmlformats.org/officeDocument/2006/relationships/hyperlink" Id="rId248" Target="https://doi.org/10.1002/nbm.4618" TargetMode="External" /><Relationship Type="http://schemas.openxmlformats.org/officeDocument/2006/relationships/hyperlink" Id="rId231" Target="https://doi.org/10.1006/cbmr.1996.0014" TargetMode="External" /><Relationship Type="http://schemas.openxmlformats.org/officeDocument/2006/relationships/hyperlink" Id="rId134" Target="https://doi.org/10.1006/nimg.1997.0263" TargetMode="External" /><Relationship Type="http://schemas.openxmlformats.org/officeDocument/2006/relationships/hyperlink" Id="rId223" Target="https://doi.org/10.1006/nimg.1998.0395" TargetMode="External" /><Relationship Type="http://schemas.openxmlformats.org/officeDocument/2006/relationships/hyperlink" Id="rId136" Target="https://doi.org/10.1006/nimg.2001.0955" TargetMode="External" /><Relationship Type="http://schemas.openxmlformats.org/officeDocument/2006/relationships/hyperlink" Id="rId332" Target="https://doi.org/10.1007/s00330-010-1971-8" TargetMode="External" /><Relationship Type="http://schemas.openxmlformats.org/officeDocument/2006/relationships/hyperlink" Id="rId302" Target="https://doi.org/10.1007/s00330-012-2621-0" TargetMode="External" /><Relationship Type="http://schemas.openxmlformats.org/officeDocument/2006/relationships/hyperlink" Id="rId288" Target="https://doi.org/10.1007/s004249900135" TargetMode="External" /><Relationship Type="http://schemas.openxmlformats.org/officeDocument/2006/relationships/hyperlink" Id="rId160" Target="https://doi.org/10.1007/s10334-012-0312-0" TargetMode="External" /><Relationship Type="http://schemas.openxmlformats.org/officeDocument/2006/relationships/hyperlink" Id="rId314" Target="https://doi.org/10.1007/s11064-012-0848-4" TargetMode="External" /><Relationship Type="http://schemas.openxmlformats.org/officeDocument/2006/relationships/hyperlink" Id="rId132" Target="https://doi.org/10.1016/0013-4694(94)00181-2" TargetMode="External" /><Relationship Type="http://schemas.openxmlformats.org/officeDocument/2006/relationships/hyperlink" Id="rId124" Target="https://doi.org/10.1016/0165-0270(94)00115-W" TargetMode="External" /><Relationship Type="http://schemas.openxmlformats.org/officeDocument/2006/relationships/hyperlink" Id="rId196" Target="https://doi.org/10.1016/j.ab.2023.115113" TargetMode="External" /><Relationship Type="http://schemas.openxmlformats.org/officeDocument/2006/relationships/hyperlink" Id="rId164" Target="https://doi.org/10.1016/j.biopsych.2010.06.027" TargetMode="External" /><Relationship Type="http://schemas.openxmlformats.org/officeDocument/2006/relationships/hyperlink" Id="rId130" Target="https://doi.org/10.1016/j.bpj.2008.12.3951" TargetMode="External" /><Relationship Type="http://schemas.openxmlformats.org/officeDocument/2006/relationships/hyperlink" Id="rId166" Target="https://doi.org/10.1016/j.bpsc.2024.09.003" TargetMode="External" /><Relationship Type="http://schemas.openxmlformats.org/officeDocument/2006/relationships/hyperlink" Id="rId188" Target="https://doi.org/10.1016/j.celrep.2019.07.024" TargetMode="External" /><Relationship Type="http://schemas.openxmlformats.org/officeDocument/2006/relationships/hyperlink" Id="rId312" Target="https://doi.org/10.1016/j.cub.2011.01.069" TargetMode="External" /><Relationship Type="http://schemas.openxmlformats.org/officeDocument/2006/relationships/hyperlink" Id="rId284" Target="https://doi.org/10.1016/j.jneumeth.2013.10.017" TargetMode="External" /><Relationship Type="http://schemas.openxmlformats.org/officeDocument/2006/relationships/hyperlink" Id="rId207" Target="https://doi.org/10.1016/j.jneumeth.2016.03.001" TargetMode="External" /><Relationship Type="http://schemas.openxmlformats.org/officeDocument/2006/relationships/hyperlink" Id="rId237" Target="https://doi.org/10.1016/j.jneumeth.2020.108827" TargetMode="External" /><Relationship Type="http://schemas.openxmlformats.org/officeDocument/2006/relationships/hyperlink" Id="rId215" Target="https://doi.org/10.1016/j.media.2007.06.004" TargetMode="External" /><Relationship Type="http://schemas.openxmlformats.org/officeDocument/2006/relationships/hyperlink" Id="rId180" Target="https://doi.org/10.1016/j.nbd.2019.04.010" TargetMode="External" /><Relationship Type="http://schemas.openxmlformats.org/officeDocument/2006/relationships/hyperlink" Id="rId186" Target="https://doi.org/10.1016/j.neubiorev.2019.07.024" TargetMode="External" /><Relationship Type="http://schemas.openxmlformats.org/officeDocument/2006/relationships/hyperlink" Id="rId242" Target="https://doi.org/10.1016/j.neubiorev.2022.104940" TargetMode="External" /><Relationship Type="http://schemas.openxmlformats.org/officeDocument/2006/relationships/hyperlink" Id="rId154" Target="https://doi.org/10.1016/j.neurobiolaging.2005.08.011" TargetMode="External" /><Relationship Type="http://schemas.openxmlformats.org/officeDocument/2006/relationships/hyperlink" Id="rId278" Target="https://doi.org/10.1016/j.neuroimage.2004.07.012" TargetMode="External" /><Relationship Type="http://schemas.openxmlformats.org/officeDocument/2006/relationships/hyperlink" Id="rId221" Target="https://doi.org/10.1016/j.neuroimage.2004.07.051" TargetMode="External" /><Relationship Type="http://schemas.openxmlformats.org/officeDocument/2006/relationships/hyperlink" Id="rId158" Target="https://doi.org/10.1016/j.neuroimage.2004.10.044" TargetMode="External" /><Relationship Type="http://schemas.openxmlformats.org/officeDocument/2006/relationships/hyperlink" Id="rId328" Target="https://doi.org/10.1016/j.neuroimage.2005.02.001" TargetMode="External" /><Relationship Type="http://schemas.openxmlformats.org/officeDocument/2006/relationships/hyperlink" Id="rId330" Target="https://doi.org/10.1016/j.neuroimage.2009.09.007" TargetMode="External" /><Relationship Type="http://schemas.openxmlformats.org/officeDocument/2006/relationships/hyperlink" Id="rId296" Target="https://doi.org/10.1016/j.neuroimage.2012.02.018" TargetMode="External" /><Relationship Type="http://schemas.openxmlformats.org/officeDocument/2006/relationships/hyperlink" Id="rId147" Target="https://doi.org/10.1016/j.neuroimage.2014.03.047" TargetMode="External" /><Relationship Type="http://schemas.openxmlformats.org/officeDocument/2006/relationships/hyperlink" Id="rId310" Target="https://doi.org/10.1016/j.neuroimage.2014.11.032" TargetMode="External" /><Relationship Type="http://schemas.openxmlformats.org/officeDocument/2006/relationships/hyperlink" Id="rId306" Target="https://doi.org/10.1016/j.neuroimage.2015.06.015" TargetMode="External" /><Relationship Type="http://schemas.openxmlformats.org/officeDocument/2006/relationships/hyperlink" Id="rId324" Target="https://doi.org/10.1016/j.neuroimage.2017.03.033" TargetMode="External" /><Relationship Type="http://schemas.openxmlformats.org/officeDocument/2006/relationships/hyperlink" Id="rId205" Target="https://doi.org/10.1016/j.neuroimage.2017.04.030" TargetMode="External" /><Relationship Type="http://schemas.openxmlformats.org/officeDocument/2006/relationships/hyperlink" Id="rId116" Target="https://doi.org/10.1016/j.neuroimage.2017.06.078" TargetMode="External" /><Relationship Type="http://schemas.openxmlformats.org/officeDocument/2006/relationships/hyperlink" Id="rId254" Target="https://doi.org/10.1016/j.neuroimage.2017.07.021" TargetMode="External" /><Relationship Type="http://schemas.openxmlformats.org/officeDocument/2006/relationships/hyperlink" Id="rId252" Target="https://doi.org/10.1016/j.neuroimage.2019.02.059" TargetMode="External" /><Relationship Type="http://schemas.openxmlformats.org/officeDocument/2006/relationships/hyperlink" Id="rId318" Target="https://doi.org/10.1016/j.neuroimage.2020.116532" TargetMode="External" /><Relationship Type="http://schemas.openxmlformats.org/officeDocument/2006/relationships/hyperlink" Id="rId260" Target="https://doi.org/10.1016/j.neuroimage.2021.118191" TargetMode="External" /><Relationship Type="http://schemas.openxmlformats.org/officeDocument/2006/relationships/hyperlink" Id="rId304" Target="https://doi.org/10.1016/j.neuroscience.2017.09.037" TargetMode="External" /><Relationship Type="http://schemas.openxmlformats.org/officeDocument/2006/relationships/hyperlink" Id="rId286" Target="https://doi.org/10.1016/j.physa.2012.08.002" TargetMode="External" /><Relationship Type="http://schemas.openxmlformats.org/officeDocument/2006/relationships/hyperlink" Id="rId190" Target="https://doi.org/10.1016/j.pnpbp.2018.09.010" TargetMode="External" /><Relationship Type="http://schemas.openxmlformats.org/officeDocument/2006/relationships/hyperlink" Id="rId172" Target="https://doi.org/10.1016/j.pscychresns.2013.09.008" TargetMode="External" /><Relationship Type="http://schemas.openxmlformats.org/officeDocument/2006/relationships/hyperlink" Id="rId300" Target="https://doi.org/10.1016/j.tics.2009.10.011" TargetMode="External" /><Relationship Type="http://schemas.openxmlformats.org/officeDocument/2006/relationships/hyperlink" Id="rId101" Target="https://doi.org/10.1016/j.tics.2011.03.006" TargetMode="External" /><Relationship Type="http://schemas.openxmlformats.org/officeDocument/2006/relationships/hyperlink" Id="rId97" Target="https://doi.org/10.1016/j.tins.2013.03.001" TargetMode="External" /><Relationship Type="http://schemas.openxmlformats.org/officeDocument/2006/relationships/hyperlink" Id="rId229" Target="https://doi.org/10.1016/s1053-8119(02)91132-8" TargetMode="External" /><Relationship Type="http://schemas.openxmlformats.org/officeDocument/2006/relationships/hyperlink" Id="rId182" Target="https://doi.org/10.1038/s41380-019-0426-0" TargetMode="External" /><Relationship Type="http://schemas.openxmlformats.org/officeDocument/2006/relationships/hyperlink" Id="rId178" Target="https://doi.org/10.1038/s41467-021-22742-8" TargetMode="External" /><Relationship Type="http://schemas.openxmlformats.org/officeDocument/2006/relationships/hyperlink" Id="rId227" Target="https://doi.org/10.1038/s41592-018-0235-4" TargetMode="External" /><Relationship Type="http://schemas.openxmlformats.org/officeDocument/2006/relationships/hyperlink" Id="rId282" Target="https://doi.org/10.1038/s41592-019-0686-2" TargetMode="External" /><Relationship Type="http://schemas.openxmlformats.org/officeDocument/2006/relationships/hyperlink" Id="rId112" Target="https://doi.org/10.1038/s41598-020-65500-4" TargetMode="External" /><Relationship Type="http://schemas.openxmlformats.org/officeDocument/2006/relationships/hyperlink" Id="rId326" Target="https://doi.org/10.1038/s41598-020-76263-3" TargetMode="External" /><Relationship Type="http://schemas.openxmlformats.org/officeDocument/2006/relationships/hyperlink" Id="rId209" Target="https://doi.org/10.1038/sdata.2016.44" TargetMode="External" /><Relationship Type="http://schemas.openxmlformats.org/officeDocument/2006/relationships/hyperlink" Id="rId152" Target="https://doi.org/10.1038/srep30895" TargetMode="External" /><Relationship Type="http://schemas.openxmlformats.org/officeDocument/2006/relationships/hyperlink" Id="rId142" Target="https://doi.org/10.1061/TACEAT.0006518" TargetMode="External" /><Relationship Type="http://schemas.openxmlformats.org/officeDocument/2006/relationships/hyperlink" Id="rId108" Target="https://doi.org/10.1063/1.4979043" TargetMode="External" /><Relationship Type="http://schemas.openxmlformats.org/officeDocument/2006/relationships/hyperlink" Id="rId140" Target="https://doi.org/10.1088/0967-3334/23/1/201" TargetMode="External" /><Relationship Type="http://schemas.openxmlformats.org/officeDocument/2006/relationships/hyperlink" Id="rId156" Target="https://doi.org/10.1093/cercor/bhae426" TargetMode="External" /><Relationship Type="http://schemas.openxmlformats.org/officeDocument/2006/relationships/hyperlink" Id="rId168" Target="https://doi.org/10.1101/2022.05.24.22275531" TargetMode="External" /><Relationship Type="http://schemas.openxmlformats.org/officeDocument/2006/relationships/hyperlink" Id="rId198" Target="https://doi.org/10.1101/2024.04.22.590555" TargetMode="External" /><Relationship Type="http://schemas.openxmlformats.org/officeDocument/2006/relationships/hyperlink" Id="rId110" Target="https://doi.org/10.1103/PhysRevE.100.010301" TargetMode="External" /><Relationship Type="http://schemas.openxmlformats.org/officeDocument/2006/relationships/hyperlink" Id="rId122" Target="https://doi.org/10.1103/RevModPhys.90.031001" TargetMode="External" /><Relationship Type="http://schemas.openxmlformats.org/officeDocument/2006/relationships/hyperlink" Id="rId219" Target="https://doi.org/10.1109/42.906424" TargetMode="External" /><Relationship Type="http://schemas.openxmlformats.org/officeDocument/2006/relationships/hyperlink" Id="rId258" Target="https://doi.org/10.1109/MCSE.2016.93" TargetMode="External" /><Relationship Type="http://schemas.openxmlformats.org/officeDocument/2006/relationships/hyperlink" Id="rId280" Target="https://doi.org/10.1109/TAU.1967.1161901" TargetMode="External" /><Relationship Type="http://schemas.openxmlformats.org/officeDocument/2006/relationships/hyperlink" Id="rId213" Target="https://doi.org/10.1109/TMI.2010.2046908" TargetMode="External" /><Relationship Type="http://schemas.openxmlformats.org/officeDocument/2006/relationships/hyperlink" Id="rId334" Target="https://doi.org/10.1111/sjop.12411" TargetMode="External" /><Relationship Type="http://schemas.openxmlformats.org/officeDocument/2006/relationships/hyperlink" Id="rId294" Target="https://doi.org/10.1152/jn.00338.2011" TargetMode="External" /><Relationship Type="http://schemas.openxmlformats.org/officeDocument/2006/relationships/hyperlink" Id="rId308" Target="https://doi.org/10.1152/jn.00346.2005" TargetMode="External" /><Relationship Type="http://schemas.openxmlformats.org/officeDocument/2006/relationships/hyperlink" Id="rId118" Target="https://doi.org/10.1162/netn_a_00269" TargetMode="External" /><Relationship Type="http://schemas.openxmlformats.org/officeDocument/2006/relationships/hyperlink" Id="rId268" Target="https://doi.org/10.1177/0271678X18795426" TargetMode="External" /><Relationship Type="http://schemas.openxmlformats.org/officeDocument/2006/relationships/hyperlink" Id="rId264" Target="https://doi.org/10.1177/0271678X19831022" TargetMode="External" /><Relationship Type="http://schemas.openxmlformats.org/officeDocument/2006/relationships/hyperlink" Id="rId104" Target="https://doi.org/10.1177/10738584231221766" TargetMode="External" /><Relationship Type="http://schemas.openxmlformats.org/officeDocument/2006/relationships/hyperlink" Id="rId120" Target="https://doi.org/10.1371/journal.pcbi.1002038" TargetMode="External" /><Relationship Type="http://schemas.openxmlformats.org/officeDocument/2006/relationships/hyperlink" Id="rId225" Target="https://doi.org/10.1371/journal.pcbi.1005350" TargetMode="External" /><Relationship Type="http://schemas.openxmlformats.org/officeDocument/2006/relationships/hyperlink" Id="rId128" Target="https://doi.org/10.1371/journal.pone.0000439" TargetMode="External" /><Relationship Type="http://schemas.openxmlformats.org/officeDocument/2006/relationships/hyperlink" Id="rId298" Target="https://doi.org/10.1371/journal.pone.0006626" TargetMode="External" /><Relationship Type="http://schemas.openxmlformats.org/officeDocument/2006/relationships/hyperlink" Id="rId176" Target="https://doi.org/10.1371/journal.pone.0095146" TargetMode="External" /><Relationship Type="http://schemas.openxmlformats.org/officeDocument/2006/relationships/hyperlink" Id="rId170" Target="https://doi.org/10.1371/journal.pone.0169647" TargetMode="External" /><Relationship Type="http://schemas.openxmlformats.org/officeDocument/2006/relationships/hyperlink" Id="rId162" Target="https://doi.org/10.1371/journal.pone.0190081" TargetMode="External" /><Relationship Type="http://schemas.openxmlformats.org/officeDocument/2006/relationships/hyperlink" Id="rId126" Target="https://doi.org/10.1523/JNEUROSCI.17-15-05666.1997" TargetMode="External" /><Relationship Type="http://schemas.openxmlformats.org/officeDocument/2006/relationships/hyperlink" Id="rId149" Target="https://doi.org/10.1523/JNEUROSCI.2111-11.2011" TargetMode="External" /><Relationship Type="http://schemas.openxmlformats.org/officeDocument/2006/relationships/hyperlink" Id="rId106" Target="https://doi.org/10.1523/JNEUROSCI.5990-11.2012" TargetMode="External" /><Relationship Type="http://schemas.openxmlformats.org/officeDocument/2006/relationships/hyperlink" Id="rId174" Target="https://doi.org/10.18632/oncotarget.19860" TargetMode="External" /><Relationship Type="http://schemas.openxmlformats.org/officeDocument/2006/relationships/hyperlink" Id="rId235" Target="https://doi.org/10.21105/joss.03669" TargetMode="External" /><Relationship Type="http://schemas.openxmlformats.org/officeDocument/2006/relationships/hyperlink" Id="rId291" Target="https://doi.org/10.2307/2331554" TargetMode="External" /><Relationship Type="http://schemas.openxmlformats.org/officeDocument/2006/relationships/hyperlink" Id="rId184" Target="https://doi.org/10.3109/15622975.2015.1085597" TargetMode="External" /><Relationship Type="http://schemas.openxmlformats.org/officeDocument/2006/relationships/hyperlink" Id="rId266" Target="https://doi.org/10.3389/fnhum.2021.644079" TargetMode="External" /><Relationship Type="http://schemas.openxmlformats.org/officeDocument/2006/relationships/hyperlink" Id="rId192" Target="https://doi.org/10.3389/fpsyt.2018.00076" TargetMode="External" /><Relationship Type="http://schemas.openxmlformats.org/officeDocument/2006/relationships/hyperlink" Id="rId217" Target="https://doi.org/10.5281/zenodo.50186" TargetMode="External" /><Relationship Type="http://schemas.openxmlformats.org/officeDocument/2006/relationships/hyperlink" Id="rId211" Target="https://doi.org/10.5281/zenodo.8436509" TargetMode="External" /><Relationship Type="http://schemas.openxmlformats.org/officeDocument/2006/relationships/hyperlink" Id="rId114" Target="https://doi.org/10.7554/eLife.55684" TargetMode="External" /><Relationship Type="http://schemas.openxmlformats.org/officeDocument/2006/relationships/hyperlink" Id="rId32" Target="https://github.com/WeberLab/EI_Hurst_Analysis" TargetMode="External" /><Relationship Type="http://schemas.openxmlformats.org/officeDocument/2006/relationships/hyperlink" Id="rId75" Target="https://weberlab.github.io/EI_Hurst_Manuscript/"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02" Target="https://doi.org/10.1002/(sici)1099-1492(199810)11:6&lt;266::aid-nbm530&gt;3.0.co;2-j" TargetMode="External" /><Relationship Type="http://schemas.openxmlformats.org/officeDocument/2006/relationships/hyperlink" Id="rId233" Target="https://doi.org/10.1002/(sici)1522-2594(199907)42:1&lt;87::aid-mrm13&gt;3.0.co;2-o" TargetMode="External" /><Relationship Type="http://schemas.openxmlformats.org/officeDocument/2006/relationships/hyperlink" Id="rId145" Target="https://doi.org/10.1002/hbm.20593" TargetMode="External" /><Relationship Type="http://schemas.openxmlformats.org/officeDocument/2006/relationships/hyperlink" Id="rId276" Target="https://doi.org/10.1002/hbm.20601" TargetMode="External" /><Relationship Type="http://schemas.openxmlformats.org/officeDocument/2006/relationships/hyperlink" Id="rId138" Target="https://doi.org/10.1002/hbm.25801" TargetMode="External" /><Relationship Type="http://schemas.openxmlformats.org/officeDocument/2006/relationships/hyperlink" Id="rId274" Target="https://doi.org/10.1002/jmri.24478" TargetMode="External" /><Relationship Type="http://schemas.openxmlformats.org/officeDocument/2006/relationships/hyperlink" Id="rId272" Target="https://doi.org/10.1002/jnr.23194" TargetMode="External" /><Relationship Type="http://schemas.openxmlformats.org/officeDocument/2006/relationships/hyperlink" Id="rId240" Target="https://doi.org/10.1002/mrm.20901" TargetMode="External" /><Relationship Type="http://schemas.openxmlformats.org/officeDocument/2006/relationships/hyperlink" Id="rId200" Target="https://doi.org/10.1002/mrm.22708" TargetMode="External" /><Relationship Type="http://schemas.openxmlformats.org/officeDocument/2006/relationships/hyperlink" Id="rId250" Target="https://doi.org/10.1002/mrm.25549" TargetMode="External" /><Relationship Type="http://schemas.openxmlformats.org/officeDocument/2006/relationships/hyperlink" Id="rId194" Target="https://doi.org/10.1002/mrm.26619" TargetMode="External" /><Relationship Type="http://schemas.openxmlformats.org/officeDocument/2006/relationships/hyperlink" Id="rId316" Target="https://doi.org/10.1002/mrm.27742" TargetMode="External" /><Relationship Type="http://schemas.openxmlformats.org/officeDocument/2006/relationships/hyperlink" Id="rId262" Target="https://doi.org/10.1002/mrm.28630" TargetMode="External" /><Relationship Type="http://schemas.openxmlformats.org/officeDocument/2006/relationships/hyperlink" Id="rId256" Target="https://doi.org/10.1002/mrm.29370" TargetMode="External" /><Relationship Type="http://schemas.openxmlformats.org/officeDocument/2006/relationships/hyperlink" Id="rId244" Target="https://doi.org/10.1002/nbm.3045" TargetMode="External" /><Relationship Type="http://schemas.openxmlformats.org/officeDocument/2006/relationships/hyperlink" Id="rId270" Target="https://doi.org/10.1002/nbm.3672" TargetMode="External" /><Relationship Type="http://schemas.openxmlformats.org/officeDocument/2006/relationships/hyperlink" Id="rId320" Target="https://doi.org/10.1002/nbm.4411" TargetMode="External" /><Relationship Type="http://schemas.openxmlformats.org/officeDocument/2006/relationships/hyperlink" Id="rId246" Target="https://doi.org/10.1002/nbm.4482" TargetMode="External" /><Relationship Type="http://schemas.openxmlformats.org/officeDocument/2006/relationships/hyperlink" Id="rId322" Target="https://doi.org/10.1002/nbm.4484" TargetMode="External" /><Relationship Type="http://schemas.openxmlformats.org/officeDocument/2006/relationships/hyperlink" Id="rId248" Target="https://doi.org/10.1002/nbm.4618" TargetMode="External" /><Relationship Type="http://schemas.openxmlformats.org/officeDocument/2006/relationships/hyperlink" Id="rId231" Target="https://doi.org/10.1006/cbmr.1996.0014" TargetMode="External" /><Relationship Type="http://schemas.openxmlformats.org/officeDocument/2006/relationships/hyperlink" Id="rId134" Target="https://doi.org/10.1006/nimg.1997.0263" TargetMode="External" /><Relationship Type="http://schemas.openxmlformats.org/officeDocument/2006/relationships/hyperlink" Id="rId223" Target="https://doi.org/10.1006/nimg.1998.0395" TargetMode="External" /><Relationship Type="http://schemas.openxmlformats.org/officeDocument/2006/relationships/hyperlink" Id="rId136" Target="https://doi.org/10.1006/nimg.2001.0955" TargetMode="External" /><Relationship Type="http://schemas.openxmlformats.org/officeDocument/2006/relationships/hyperlink" Id="rId332" Target="https://doi.org/10.1007/s00330-010-1971-8" TargetMode="External" /><Relationship Type="http://schemas.openxmlformats.org/officeDocument/2006/relationships/hyperlink" Id="rId302" Target="https://doi.org/10.1007/s00330-012-2621-0" TargetMode="External" /><Relationship Type="http://schemas.openxmlformats.org/officeDocument/2006/relationships/hyperlink" Id="rId288" Target="https://doi.org/10.1007/s004249900135" TargetMode="External" /><Relationship Type="http://schemas.openxmlformats.org/officeDocument/2006/relationships/hyperlink" Id="rId160" Target="https://doi.org/10.1007/s10334-012-0312-0" TargetMode="External" /><Relationship Type="http://schemas.openxmlformats.org/officeDocument/2006/relationships/hyperlink" Id="rId314" Target="https://doi.org/10.1007/s11064-012-0848-4" TargetMode="External" /><Relationship Type="http://schemas.openxmlformats.org/officeDocument/2006/relationships/hyperlink" Id="rId132" Target="https://doi.org/10.1016/0013-4694(94)00181-2" TargetMode="External" /><Relationship Type="http://schemas.openxmlformats.org/officeDocument/2006/relationships/hyperlink" Id="rId124" Target="https://doi.org/10.1016/0165-0270(94)00115-W" TargetMode="External" /><Relationship Type="http://schemas.openxmlformats.org/officeDocument/2006/relationships/hyperlink" Id="rId196" Target="https://doi.org/10.1016/j.ab.2023.115113" TargetMode="External" /><Relationship Type="http://schemas.openxmlformats.org/officeDocument/2006/relationships/hyperlink" Id="rId164" Target="https://doi.org/10.1016/j.biopsych.2010.06.027" TargetMode="External" /><Relationship Type="http://schemas.openxmlformats.org/officeDocument/2006/relationships/hyperlink" Id="rId130" Target="https://doi.org/10.1016/j.bpj.2008.12.3951" TargetMode="External" /><Relationship Type="http://schemas.openxmlformats.org/officeDocument/2006/relationships/hyperlink" Id="rId166" Target="https://doi.org/10.1016/j.bpsc.2024.09.003" TargetMode="External" /><Relationship Type="http://schemas.openxmlformats.org/officeDocument/2006/relationships/hyperlink" Id="rId188" Target="https://doi.org/10.1016/j.celrep.2019.07.024" TargetMode="External" /><Relationship Type="http://schemas.openxmlformats.org/officeDocument/2006/relationships/hyperlink" Id="rId312" Target="https://doi.org/10.1016/j.cub.2011.01.069" TargetMode="External" /><Relationship Type="http://schemas.openxmlformats.org/officeDocument/2006/relationships/hyperlink" Id="rId284" Target="https://doi.org/10.1016/j.jneumeth.2013.10.017" TargetMode="External" /><Relationship Type="http://schemas.openxmlformats.org/officeDocument/2006/relationships/hyperlink" Id="rId207" Target="https://doi.org/10.1016/j.jneumeth.2016.03.001" TargetMode="External" /><Relationship Type="http://schemas.openxmlformats.org/officeDocument/2006/relationships/hyperlink" Id="rId237" Target="https://doi.org/10.1016/j.jneumeth.2020.108827" TargetMode="External" /><Relationship Type="http://schemas.openxmlformats.org/officeDocument/2006/relationships/hyperlink" Id="rId215" Target="https://doi.org/10.1016/j.media.2007.06.004" TargetMode="External" /><Relationship Type="http://schemas.openxmlformats.org/officeDocument/2006/relationships/hyperlink" Id="rId180" Target="https://doi.org/10.1016/j.nbd.2019.04.010" TargetMode="External" /><Relationship Type="http://schemas.openxmlformats.org/officeDocument/2006/relationships/hyperlink" Id="rId186" Target="https://doi.org/10.1016/j.neubiorev.2019.07.024" TargetMode="External" /><Relationship Type="http://schemas.openxmlformats.org/officeDocument/2006/relationships/hyperlink" Id="rId242" Target="https://doi.org/10.1016/j.neubiorev.2022.104940" TargetMode="External" /><Relationship Type="http://schemas.openxmlformats.org/officeDocument/2006/relationships/hyperlink" Id="rId154" Target="https://doi.org/10.1016/j.neurobiolaging.2005.08.011" TargetMode="External" /><Relationship Type="http://schemas.openxmlformats.org/officeDocument/2006/relationships/hyperlink" Id="rId278" Target="https://doi.org/10.1016/j.neuroimage.2004.07.012" TargetMode="External" /><Relationship Type="http://schemas.openxmlformats.org/officeDocument/2006/relationships/hyperlink" Id="rId221" Target="https://doi.org/10.1016/j.neuroimage.2004.07.051" TargetMode="External" /><Relationship Type="http://schemas.openxmlformats.org/officeDocument/2006/relationships/hyperlink" Id="rId158" Target="https://doi.org/10.1016/j.neuroimage.2004.10.044" TargetMode="External" /><Relationship Type="http://schemas.openxmlformats.org/officeDocument/2006/relationships/hyperlink" Id="rId328" Target="https://doi.org/10.1016/j.neuroimage.2005.02.001" TargetMode="External" /><Relationship Type="http://schemas.openxmlformats.org/officeDocument/2006/relationships/hyperlink" Id="rId330" Target="https://doi.org/10.1016/j.neuroimage.2009.09.007" TargetMode="External" /><Relationship Type="http://schemas.openxmlformats.org/officeDocument/2006/relationships/hyperlink" Id="rId296" Target="https://doi.org/10.1016/j.neuroimage.2012.02.018" TargetMode="External" /><Relationship Type="http://schemas.openxmlformats.org/officeDocument/2006/relationships/hyperlink" Id="rId147" Target="https://doi.org/10.1016/j.neuroimage.2014.03.047" TargetMode="External" /><Relationship Type="http://schemas.openxmlformats.org/officeDocument/2006/relationships/hyperlink" Id="rId310" Target="https://doi.org/10.1016/j.neuroimage.2014.11.032" TargetMode="External" /><Relationship Type="http://schemas.openxmlformats.org/officeDocument/2006/relationships/hyperlink" Id="rId306" Target="https://doi.org/10.1016/j.neuroimage.2015.06.015" TargetMode="External" /><Relationship Type="http://schemas.openxmlformats.org/officeDocument/2006/relationships/hyperlink" Id="rId324" Target="https://doi.org/10.1016/j.neuroimage.2017.03.033" TargetMode="External" /><Relationship Type="http://schemas.openxmlformats.org/officeDocument/2006/relationships/hyperlink" Id="rId205" Target="https://doi.org/10.1016/j.neuroimage.2017.04.030" TargetMode="External" /><Relationship Type="http://schemas.openxmlformats.org/officeDocument/2006/relationships/hyperlink" Id="rId116" Target="https://doi.org/10.1016/j.neuroimage.2017.06.078" TargetMode="External" /><Relationship Type="http://schemas.openxmlformats.org/officeDocument/2006/relationships/hyperlink" Id="rId254" Target="https://doi.org/10.1016/j.neuroimage.2017.07.021" TargetMode="External" /><Relationship Type="http://schemas.openxmlformats.org/officeDocument/2006/relationships/hyperlink" Id="rId252" Target="https://doi.org/10.1016/j.neuroimage.2019.02.059" TargetMode="External" /><Relationship Type="http://schemas.openxmlformats.org/officeDocument/2006/relationships/hyperlink" Id="rId318" Target="https://doi.org/10.1016/j.neuroimage.2020.116532" TargetMode="External" /><Relationship Type="http://schemas.openxmlformats.org/officeDocument/2006/relationships/hyperlink" Id="rId260" Target="https://doi.org/10.1016/j.neuroimage.2021.118191" TargetMode="External" /><Relationship Type="http://schemas.openxmlformats.org/officeDocument/2006/relationships/hyperlink" Id="rId304" Target="https://doi.org/10.1016/j.neuroscience.2017.09.037" TargetMode="External" /><Relationship Type="http://schemas.openxmlformats.org/officeDocument/2006/relationships/hyperlink" Id="rId286" Target="https://doi.org/10.1016/j.physa.2012.08.002" TargetMode="External" /><Relationship Type="http://schemas.openxmlformats.org/officeDocument/2006/relationships/hyperlink" Id="rId190" Target="https://doi.org/10.1016/j.pnpbp.2018.09.010" TargetMode="External" /><Relationship Type="http://schemas.openxmlformats.org/officeDocument/2006/relationships/hyperlink" Id="rId172" Target="https://doi.org/10.1016/j.pscychresns.2013.09.008" TargetMode="External" /><Relationship Type="http://schemas.openxmlformats.org/officeDocument/2006/relationships/hyperlink" Id="rId300" Target="https://doi.org/10.1016/j.tics.2009.10.011" TargetMode="External" /><Relationship Type="http://schemas.openxmlformats.org/officeDocument/2006/relationships/hyperlink" Id="rId101" Target="https://doi.org/10.1016/j.tics.2011.03.006" TargetMode="External" /><Relationship Type="http://schemas.openxmlformats.org/officeDocument/2006/relationships/hyperlink" Id="rId97" Target="https://doi.org/10.1016/j.tins.2013.03.001" TargetMode="External" /><Relationship Type="http://schemas.openxmlformats.org/officeDocument/2006/relationships/hyperlink" Id="rId229" Target="https://doi.org/10.1016/s1053-8119(02)91132-8" TargetMode="External" /><Relationship Type="http://schemas.openxmlformats.org/officeDocument/2006/relationships/hyperlink" Id="rId182" Target="https://doi.org/10.1038/s41380-019-0426-0" TargetMode="External" /><Relationship Type="http://schemas.openxmlformats.org/officeDocument/2006/relationships/hyperlink" Id="rId178" Target="https://doi.org/10.1038/s41467-021-22742-8" TargetMode="External" /><Relationship Type="http://schemas.openxmlformats.org/officeDocument/2006/relationships/hyperlink" Id="rId227" Target="https://doi.org/10.1038/s41592-018-0235-4" TargetMode="External" /><Relationship Type="http://schemas.openxmlformats.org/officeDocument/2006/relationships/hyperlink" Id="rId282" Target="https://doi.org/10.1038/s41592-019-0686-2" TargetMode="External" /><Relationship Type="http://schemas.openxmlformats.org/officeDocument/2006/relationships/hyperlink" Id="rId112" Target="https://doi.org/10.1038/s41598-020-65500-4" TargetMode="External" /><Relationship Type="http://schemas.openxmlformats.org/officeDocument/2006/relationships/hyperlink" Id="rId326" Target="https://doi.org/10.1038/s41598-020-76263-3" TargetMode="External" /><Relationship Type="http://schemas.openxmlformats.org/officeDocument/2006/relationships/hyperlink" Id="rId209" Target="https://doi.org/10.1038/sdata.2016.44" TargetMode="External" /><Relationship Type="http://schemas.openxmlformats.org/officeDocument/2006/relationships/hyperlink" Id="rId152" Target="https://doi.org/10.1038/srep30895" TargetMode="External" /><Relationship Type="http://schemas.openxmlformats.org/officeDocument/2006/relationships/hyperlink" Id="rId142" Target="https://doi.org/10.1061/TACEAT.0006518" TargetMode="External" /><Relationship Type="http://schemas.openxmlformats.org/officeDocument/2006/relationships/hyperlink" Id="rId108" Target="https://doi.org/10.1063/1.4979043" TargetMode="External" /><Relationship Type="http://schemas.openxmlformats.org/officeDocument/2006/relationships/hyperlink" Id="rId140" Target="https://doi.org/10.1088/0967-3334/23/1/201" TargetMode="External" /><Relationship Type="http://schemas.openxmlformats.org/officeDocument/2006/relationships/hyperlink" Id="rId156" Target="https://doi.org/10.1093/cercor/bhae426" TargetMode="External" /><Relationship Type="http://schemas.openxmlformats.org/officeDocument/2006/relationships/hyperlink" Id="rId168" Target="https://doi.org/10.1101/2022.05.24.22275531" TargetMode="External" /><Relationship Type="http://schemas.openxmlformats.org/officeDocument/2006/relationships/hyperlink" Id="rId198" Target="https://doi.org/10.1101/2024.04.22.590555" TargetMode="External" /><Relationship Type="http://schemas.openxmlformats.org/officeDocument/2006/relationships/hyperlink" Id="rId110" Target="https://doi.org/10.1103/PhysRevE.100.010301" TargetMode="External" /><Relationship Type="http://schemas.openxmlformats.org/officeDocument/2006/relationships/hyperlink" Id="rId122" Target="https://doi.org/10.1103/RevModPhys.90.031001" TargetMode="External" /><Relationship Type="http://schemas.openxmlformats.org/officeDocument/2006/relationships/hyperlink" Id="rId219" Target="https://doi.org/10.1109/42.906424" TargetMode="External" /><Relationship Type="http://schemas.openxmlformats.org/officeDocument/2006/relationships/hyperlink" Id="rId258" Target="https://doi.org/10.1109/MCSE.2016.93" TargetMode="External" /><Relationship Type="http://schemas.openxmlformats.org/officeDocument/2006/relationships/hyperlink" Id="rId280" Target="https://doi.org/10.1109/TAU.1967.1161901" TargetMode="External" /><Relationship Type="http://schemas.openxmlformats.org/officeDocument/2006/relationships/hyperlink" Id="rId213" Target="https://doi.org/10.1109/TMI.2010.2046908" TargetMode="External" /><Relationship Type="http://schemas.openxmlformats.org/officeDocument/2006/relationships/hyperlink" Id="rId334" Target="https://doi.org/10.1111/sjop.12411" TargetMode="External" /><Relationship Type="http://schemas.openxmlformats.org/officeDocument/2006/relationships/hyperlink" Id="rId294" Target="https://doi.org/10.1152/jn.00338.2011" TargetMode="External" /><Relationship Type="http://schemas.openxmlformats.org/officeDocument/2006/relationships/hyperlink" Id="rId308" Target="https://doi.org/10.1152/jn.00346.2005" TargetMode="External" /><Relationship Type="http://schemas.openxmlformats.org/officeDocument/2006/relationships/hyperlink" Id="rId118" Target="https://doi.org/10.1162/netn_a_00269" TargetMode="External" /><Relationship Type="http://schemas.openxmlformats.org/officeDocument/2006/relationships/hyperlink" Id="rId268" Target="https://doi.org/10.1177/0271678X18795426" TargetMode="External" /><Relationship Type="http://schemas.openxmlformats.org/officeDocument/2006/relationships/hyperlink" Id="rId264" Target="https://doi.org/10.1177/0271678X19831022" TargetMode="External" /><Relationship Type="http://schemas.openxmlformats.org/officeDocument/2006/relationships/hyperlink" Id="rId104" Target="https://doi.org/10.1177/10738584231221766" TargetMode="External" /><Relationship Type="http://schemas.openxmlformats.org/officeDocument/2006/relationships/hyperlink" Id="rId120" Target="https://doi.org/10.1371/journal.pcbi.1002038" TargetMode="External" /><Relationship Type="http://schemas.openxmlformats.org/officeDocument/2006/relationships/hyperlink" Id="rId225" Target="https://doi.org/10.1371/journal.pcbi.1005350" TargetMode="External" /><Relationship Type="http://schemas.openxmlformats.org/officeDocument/2006/relationships/hyperlink" Id="rId128" Target="https://doi.org/10.1371/journal.pone.0000439" TargetMode="External" /><Relationship Type="http://schemas.openxmlformats.org/officeDocument/2006/relationships/hyperlink" Id="rId298" Target="https://doi.org/10.1371/journal.pone.0006626" TargetMode="External" /><Relationship Type="http://schemas.openxmlformats.org/officeDocument/2006/relationships/hyperlink" Id="rId176" Target="https://doi.org/10.1371/journal.pone.0095146" TargetMode="External" /><Relationship Type="http://schemas.openxmlformats.org/officeDocument/2006/relationships/hyperlink" Id="rId170" Target="https://doi.org/10.1371/journal.pone.0169647" TargetMode="External" /><Relationship Type="http://schemas.openxmlformats.org/officeDocument/2006/relationships/hyperlink" Id="rId162" Target="https://doi.org/10.1371/journal.pone.0190081" TargetMode="External" /><Relationship Type="http://schemas.openxmlformats.org/officeDocument/2006/relationships/hyperlink" Id="rId126" Target="https://doi.org/10.1523/JNEUROSCI.17-15-05666.1997" TargetMode="External" /><Relationship Type="http://schemas.openxmlformats.org/officeDocument/2006/relationships/hyperlink" Id="rId149" Target="https://doi.org/10.1523/JNEUROSCI.2111-11.2011" TargetMode="External" /><Relationship Type="http://schemas.openxmlformats.org/officeDocument/2006/relationships/hyperlink" Id="rId106" Target="https://doi.org/10.1523/JNEUROSCI.5990-11.2012" TargetMode="External" /><Relationship Type="http://schemas.openxmlformats.org/officeDocument/2006/relationships/hyperlink" Id="rId174" Target="https://doi.org/10.18632/oncotarget.19860" TargetMode="External" /><Relationship Type="http://schemas.openxmlformats.org/officeDocument/2006/relationships/hyperlink" Id="rId235" Target="https://doi.org/10.21105/joss.03669" TargetMode="External" /><Relationship Type="http://schemas.openxmlformats.org/officeDocument/2006/relationships/hyperlink" Id="rId291" Target="https://doi.org/10.2307/2331554" TargetMode="External" /><Relationship Type="http://schemas.openxmlformats.org/officeDocument/2006/relationships/hyperlink" Id="rId184" Target="https://doi.org/10.3109/15622975.2015.1085597" TargetMode="External" /><Relationship Type="http://schemas.openxmlformats.org/officeDocument/2006/relationships/hyperlink" Id="rId266" Target="https://doi.org/10.3389/fnhum.2021.644079" TargetMode="External" /><Relationship Type="http://schemas.openxmlformats.org/officeDocument/2006/relationships/hyperlink" Id="rId192" Target="https://doi.org/10.3389/fpsyt.2018.00076" TargetMode="External" /><Relationship Type="http://schemas.openxmlformats.org/officeDocument/2006/relationships/hyperlink" Id="rId217" Target="https://doi.org/10.5281/zenodo.50186" TargetMode="External" /><Relationship Type="http://schemas.openxmlformats.org/officeDocument/2006/relationships/hyperlink" Id="rId211" Target="https://doi.org/10.5281/zenodo.8436509" TargetMode="External" /><Relationship Type="http://schemas.openxmlformats.org/officeDocument/2006/relationships/hyperlink" Id="rId114" Target="https://doi.org/10.7554/eLife.55684" TargetMode="External" /><Relationship Type="http://schemas.openxmlformats.org/officeDocument/2006/relationships/hyperlink" Id="rId32" Target="https://github.com/WeberLab/EI_Hurst_Analysis" TargetMode="External" /><Relationship Type="http://schemas.openxmlformats.org/officeDocument/2006/relationships/hyperlink" Id="rId75" Target="https://weberlab.github.io/EI_Hurst_Manuscript/"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2025-03-21T23:47:06Z</dcterms:created>
  <dcterms:modified xsi:type="dcterms:W3CDTF">2025-03-21T23:47:06Z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2025-03-21</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line-numbers">
    <vt:lpwstr>False</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bottom</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itlerunning">
    <vt:lpwstr/>
  </property>
  <property fmtid="{D5CDD505-2E9C-101B-9397-08002B2CF9AE}" pid="30" name="toc-title">
    <vt:lpwstr>Table of contents</vt:lpwstr>
  </property>
  <property fmtid="{D5CDD505-2E9C-101B-9397-08002B2CF9AE}" pid="31" name="unroll-markdown-cells">
    <vt:lpwstr>True</vt:lpwstr>
  </property>
</Properties>
</file>