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7.png" ContentType="image/png"/>
  <Override PartName="/word/media/rId31.png" ContentType="image/png"/>
  <Override PartName="/word/media/rId46.png" ContentType="image/png"/>
  <Override PartName="/word/media/rId58.png" ContentType="image/png"/>
  <Override PartName="/word/media/rId41.png" ContentType="image/png"/>
  <Override PartName="/word/media/rId14.png" ContentType="image/png"/>
  <Override PartName="/word/media/rId36.png" ContentType="image/png"/>
  <Override PartName="/word/media/rId53.png" ContentType="image/png"/>
  <Override PartName="/word/media/rId369.png" ContentType="image/png"/>
  <Override PartName="/word/media/rId381.png" ContentType="image/png"/>
  <Override PartName="/word/media/rId388.png" ContentType="image/png"/>
  <Override PartName="/word/media/rId392.png" ContentType="image/png"/>
  <Override PartName="/word/media/rId402.png" ContentType="image/png"/>
  <Override PartName="/word/media/rId406.png" ContentType="image/png"/>
  <Override PartName="/word/media/rId4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the Brain’s E:I Balance Really Shape Long-Range Temporal Correlations? Lessons Learned from 3T MRI</w:t>
      </w:r>
    </w:p>
    <w:p>
      <w:pPr>
        <w:pStyle w:val="Author"/>
      </w:pPr>
      <w:r>
        <w:t xml:space="preserve">Lydia Sochan</w:t>
      </w:r>
      <w:r>
        <w:rPr>
          <w:vertAlign w:val="superscript"/>
        </w:rPr>
        <w:t xml:space="preserve">1</w:t>
      </w:r>
      <w:r>
        <w:t xml:space="preserve">, Jessica Archibald</w:t>
      </w:r>
      <w:r>
        <w:rPr>
          <w:vertAlign w:val="superscript"/>
        </w:rPr>
        <w:t xml:space="preserve">4</w:t>
      </w:r>
      <w:r>
        <w:t xml:space="preserve">, and Alexander Mark Weber</w:t>
      </w:r>
      <w:r>
        <w:rPr>
          <w:vertAlign w:val="superscript"/>
        </w:rPr>
        <w:t xml:space="preserve">1,2,3,✉</w:t>
      </w:r>
    </w:p>
    <w:p>
      <w:pPr>
        <w:pStyle w:val="Date"/>
      </w:pPr>
      <w:r>
        <w:t xml:space="preserve">2026-04-22</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9">
        <w:r>
          <w:rPr>
            <w:rStyle w:val="InternetLink"/>
          </w:rPr>
          <w:t xml:space="preserve">Alexander Mark Weber &lt;aweber@bcchr.ca&gt;</w:t>
        </w:r>
      </w:hyperlink>
    </w:p>
    <w:bookmarkStart w:id="10" w:name="abstract"/>
    <w:p>
      <w:pPr>
        <w:pStyle w:val="Heading2"/>
      </w:pPr>
      <w:r>
        <w:t xml:space="preserve">Abstract</w:t>
      </w:r>
    </w:p>
    <w:p>
      <w:pPr>
        <w:pStyle w:val="FirstParagraph"/>
      </w:pPr>
      <w:r>
        <w:t xml:space="preserve">A 3T multimodal MR study of healthy adults (n=18; 10 female; 21.3 - 53.4 years) was performed to investigate the relationship between fMRI long-range temporal correlations and excitatory/inhibitory balance (via single voxel magnetic resonance spectroscopy measurements of glutamate and GABA). The study objective was to determine if the Hurst exponent (H) — an estimate of self-correlation and signal complexity — of the blood-oxygen-level-dependent signal was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indeed correlated would clarify this relationship. Moreover, findings in this domain have implications for neurological and neuropsychiatric conditions with disrupted E:I balance, such as autism,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and E:I (glutamate/GABA) were not found to be correlated. H was found to increase with movie-watching compared to rest, while E:I did not change between conditions.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10"/>
    <w:bookmarkStart w:id="11" w:name="introduction"/>
    <w:p>
      <w:pPr>
        <w:pStyle w:val="Heading1"/>
      </w:pPr>
      <w:r>
        <w:t xml:space="preserve">1. Introduction</w:t>
      </w:r>
    </w:p>
    <w:p>
      <w:pPr>
        <w:pStyle w:val="FirstParagraph"/>
      </w:pPr>
      <w:r>
        <w:t xml:space="preserve">The human brain consists of interconnected networks of neurons whose collective activity gives rise to complex behaviors and cognition. In order to understand how neural systems generate this emergent functionality, neuroscience is increasingly using tools and concepts from the science of complexity. Recent advances have led to the emergence of the Critical Brain Hypothesis, which posits that the brain — across all regions and networks — operates at a</w:t>
      </w:r>
      <w:r>
        <w:t xml:space="preserve"> </w:t>
      </w:r>
      <w:r>
        <w:t xml:space="preserve">‘critical point’</w:t>
      </w:r>
      <w:r>
        <w:t xml:space="preserve">, a state where both order and disorder are balanced to enable the most efficient information processing</w:t>
      </w:r>
      <w:r>
        <w:rPr>
          <w:vertAlign w:val="superscript"/>
        </w:rPr>
        <w:t xml:space="preserve">1–14</w:t>
      </w:r>
      <w:r>
        <w:t xml:space="preserve">.</w:t>
      </w:r>
      <w:r>
        <w:t xml:space="preserve"> </w:t>
      </w:r>
      <w:r>
        <w:t xml:space="preserve">In fact, criticality is perhaps the main way that nature produces stable complex systems</w:t>
      </w:r>
      <w:r>
        <w:rPr>
          <w:vertAlign w:val="superscript"/>
        </w:rPr>
        <w:t xml:space="preserve">15,16</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w:t>
      </w:r>
    </w:p>
    <w:p>
      <w:pPr>
        <w:pStyle w:val="TextBody"/>
      </w:pPr>
      <w:r>
        <w:t xml:space="preserve">Currently, the most popular theory proposing how the brain achieves this delicate balance — what is known as the</w:t>
      </w:r>
      <w:r>
        <w:t xml:space="preserve"> </w:t>
      </w:r>
      <w:r>
        <w:t xml:space="preserve">‘control parameter’</w:t>
      </w:r>
      <w:r>
        <w:t xml:space="preserve"> </w:t>
      </w:r>
      <w:r>
        <w:t xml:space="preserve">— is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r>
        <w:t xml:space="preserve"> </w:t>
      </w:r>
      <w:r>
        <w:t xml:space="preserve">This theory essentially relies on the fact that E:I is a primary driver of the signal-to-noise ratio (SNR) of neuronal signalling, and hence could drive transitions between order and disorder</w:t>
      </w:r>
      <w:r>
        <w:rPr>
          <w:vertAlign w:val="superscript"/>
        </w:rPr>
        <w:t xml:space="preserve">6,17</w:t>
      </w:r>
      <w:r>
        <w:t xml:space="preserve">. Thus, the E:I theory of criticality posits that altering the E:I ratio would allow for movement between sub- and super-critical states</w:t>
      </w:r>
      <w:r>
        <w:rPr>
          <w:vertAlign w:val="superscript"/>
        </w:rPr>
        <w:t xml:space="preserve">6</w:t>
      </w:r>
      <w:r>
        <w:t xml:space="preserve">. When excitation is perfectly balanced with inhibition, the system is at a critical point, but if either excitation or inhibition are favoured, the system can become overly noisy (excess excitation) or overly controlled (excess inhibition), respectively</w:t>
      </w:r>
      <w:r>
        <w:rPr>
          <w:vertAlign w:val="superscript"/>
        </w:rPr>
        <w:t xml:space="preserve">6</w:t>
      </w:r>
      <w:r>
        <w:t xml:space="preserve">. Thus, the relationship between E:I balance and large-scale brain dynamics offers a promising link between synaptic physiology and macroscopic neural computation, and for elucidating fundamental neural computational principles. Furthermore, understanding this relationship could hold great clinical relevance, as disruptions in E:I homeostasis have been implicated in multiple neuropsychiatric and neurodevelopmental disorders — including autism, schizophrenia, and Alzheimer’s disease — making this an important target for biomarker development and therapeutic intervention</w:t>
      </w:r>
      <w:r>
        <w:rPr>
          <w:vertAlign w:val="superscript"/>
        </w:rPr>
        <w:t xml:space="preserve">10,18,19</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20</w:t>
      </w:r>
      <w:r>
        <w:t xml:space="preserve">. Scale-invariance has been observed extensively across various neuronal spatio-temporal scales, from dendritic branching structures</w:t>
      </w:r>
      <w:r>
        <w:rPr>
          <w:vertAlign w:val="superscript"/>
        </w:rPr>
        <w:t xml:space="preserve">21</w:t>
      </w:r>
      <w:r>
        <w:t xml:space="preserve"> </w:t>
      </w:r>
      <w:r>
        <w:t xml:space="preserve">in the spatial domain, to neurotransmitter release</w:t>
      </w:r>
      <w:r>
        <w:rPr>
          <w:vertAlign w:val="superscript"/>
        </w:rPr>
        <w:t xml:space="preserve">22</w:t>
      </w:r>
      <w:r>
        <w:t xml:space="preserve">, neuronal firing rates</w:t>
      </w:r>
      <w:r>
        <w:rPr>
          <w:vertAlign w:val="superscript"/>
        </w:rPr>
        <w:t xml:space="preserve">23</w:t>
      </w:r>
      <w:r>
        <w:t xml:space="preserve">, local field potentials</w:t>
      </w:r>
      <w:r>
        <w:rPr>
          <w:vertAlign w:val="superscript"/>
        </w:rPr>
        <w:t xml:space="preserve">24</w:t>
      </w:r>
      <w:r>
        <w:t xml:space="preserve">, electroencephalography (EEG)</w:t>
      </w:r>
      <w:r>
        <w:rPr>
          <w:vertAlign w:val="superscript"/>
        </w:rPr>
        <w:t xml:space="preserve">25</w:t>
      </w:r>
      <w:r>
        <w:t xml:space="preserve"> </w:t>
      </w:r>
      <w:r>
        <w:t xml:space="preserve">and functional magnetic resonance imaging (fMRI) — which measures the blood oxygen level-dependent (BOLD) signal</w:t>
      </w:r>
      <w:r>
        <w:rPr>
          <w:vertAlign w:val="superscript"/>
        </w:rPr>
        <w:t xml:space="preserve">26–28</w:t>
      </w:r>
      <w:r>
        <w:t xml:space="preserve"> </w:t>
      </w:r>
      <w:r>
        <w:t xml:space="preserve">— 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28,29</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30</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31,32</w:t>
      </w:r>
      <w:r>
        <w:t xml:space="preserve">. Some key findings from neuroscience research include: a decrease in H during task performance</w:t>
      </w:r>
      <w:r>
        <w:rPr>
          <w:vertAlign w:val="superscript"/>
        </w:rPr>
        <w:t xml:space="preserve">33,34</w:t>
      </w:r>
      <w:r>
        <w:t xml:space="preserve">; an increase in H during movie watching in the visual resting state network</w:t>
      </w:r>
      <w:r>
        <w:rPr>
          <w:vertAlign w:val="superscript"/>
        </w:rPr>
        <w:t xml:space="preserve">35</w:t>
      </w:r>
      <w:r>
        <w:t xml:space="preserve">; negative correlations with task novelty and difficulty</w:t>
      </w:r>
      <w:r>
        <w:rPr>
          <w:vertAlign w:val="superscript"/>
        </w:rPr>
        <w:t xml:space="preserve">36</w:t>
      </w:r>
      <w:r>
        <w:t xml:space="preserve">; increases with age in the frontal and parietal lobes</w:t>
      </w:r>
      <w:r>
        <w:rPr>
          <w:vertAlign w:val="superscript"/>
        </w:rPr>
        <w:t xml:space="preserve">31</w:t>
      </w:r>
      <w:r>
        <w:t xml:space="preserve">, and hippocampus</w:t>
      </w:r>
      <w:r>
        <w:rPr>
          <w:vertAlign w:val="superscript"/>
        </w:rPr>
        <w:t xml:space="preserve">37</w:t>
      </w:r>
      <w:r>
        <w:t xml:space="preserve">; decreases with age in the insula, and limbic, occipital and temporal lobes</w:t>
      </w:r>
      <w:r>
        <w:rPr>
          <w:vertAlign w:val="superscript"/>
        </w:rPr>
        <w:t xml:space="preserve">31</w:t>
      </w:r>
      <w:r>
        <w:t xml:space="preserve">; and H &lt; 0.5 in preterm infants</w:t>
      </w:r>
      <w:r>
        <w:rPr>
          <w:vertAlign w:val="superscript"/>
        </w:rPr>
        <w:t xml:space="preserve">38</w:t>
      </w:r>
      <w:r>
        <w:t xml:space="preserve">. For a more in depth review, see Campbell et al. (2022)</w:t>
      </w:r>
      <w:r>
        <w:rPr>
          <w:vertAlign w:val="superscript"/>
        </w:rPr>
        <w:t xml:space="preserve">28</w:t>
      </w:r>
      <w:r>
        <w:t xml:space="preserve">. In terms of clinical findings, abnormal H values have been identified in Alzheimer’s disease (AD)</w:t>
      </w:r>
      <w:r>
        <w:rPr>
          <w:vertAlign w:val="superscript"/>
        </w:rPr>
        <w:t xml:space="preserve">39,40</w:t>
      </w:r>
      <w:r>
        <w:t xml:space="preserve">, autism</w:t>
      </w:r>
      <w:r>
        <w:rPr>
          <w:vertAlign w:val="superscript"/>
        </w:rPr>
        <w:t xml:space="preserve">41–44</w:t>
      </w:r>
      <w:r>
        <w:t xml:space="preserve">, mild traumatic brain injury</w:t>
      </w:r>
      <w:r>
        <w:rPr>
          <w:vertAlign w:val="superscript"/>
        </w:rPr>
        <w:t xml:space="preserve">45</w:t>
      </w:r>
      <w:r>
        <w:t xml:space="preserve">, major depressive disorder</w:t>
      </w:r>
      <w:r>
        <w:rPr>
          <w:vertAlign w:val="superscript"/>
        </w:rPr>
        <w:t xml:space="preserve">46,47</w:t>
      </w:r>
      <w:r>
        <w:t xml:space="preserve"> </w:t>
      </w:r>
      <w:r>
        <w:t xml:space="preserve">and schizophrenia</w:t>
      </w:r>
      <w:r>
        <w:rPr>
          <w:vertAlign w:val="superscript"/>
        </w:rPr>
        <w:t xml:space="preserve">44,48</w:t>
      </w:r>
      <w:r>
        <w:t xml:space="preserve">. Crucially, these same disorders have been associated with imbalances in E:I</w:t>
      </w:r>
      <w:r>
        <w:rPr>
          <w:vertAlign w:val="superscript"/>
        </w:rPr>
        <w:t xml:space="preserve">10,18,19,49–52</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53</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54,55</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12,53,54</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56</w:t>
      </w:r>
      <w:r>
        <w:t xml:space="preserve">. The need for this additional sequence therefore reduces the temporal resolution further. If H could function as a substitute for E:I, it could simplify the estimation of E:I.</w:t>
      </w:r>
    </w:p>
    <w:p>
      <w:pPr>
        <w:pStyle w:val="TextBody"/>
      </w:pPr>
      <w:r>
        <w:t xml:space="preserve">Beyond clinical observations suggesting that both H and E:I imbalance are altered in neuropsychiatric conditions, several studies have attempted to show that critical-state dynamics emerge when excitation and inhibition are balanced. Indirect evidence comes from pharmacological manipulation of GABAergic neurotransmission, which has been shown to change the strength of LRTC</w:t>
      </w:r>
      <w:r>
        <w:t xml:space="preserve"> </w:t>
      </w:r>
      <w:r>
        <w:rPr>
          <w:i/>
          <w:iCs/>
        </w:rPr>
        <w:t xml:space="preserve">in vitro</w:t>
      </w:r>
      <w:r>
        <w:rPr>
          <w:vertAlign w:val="superscript"/>
        </w:rPr>
        <w:t xml:space="preserve">57</w:t>
      </w:r>
      <w:r>
        <w:t xml:space="preserve"> </w:t>
      </w:r>
      <w:r>
        <w:t xml:space="preserve">and in the beta-frequency range in humans using EEG</w:t>
      </w:r>
      <w:r>
        <w:rPr>
          <w:vertAlign w:val="superscript"/>
        </w:rPr>
        <w:t xml:space="preserve">58</w:t>
      </w:r>
      <w:r>
        <w:t xml:space="preserve">; and to eliminate the power-law scaling of neuronal avalanches in rats</w:t>
      </w:r>
      <w:r>
        <w:rPr>
          <w:vertAlign w:val="superscript"/>
        </w:rPr>
        <w:t xml:space="preserve">59–61</w:t>
      </w:r>
      <w:r>
        <w:t xml:space="preserve">.</w:t>
      </w:r>
      <w:r>
        <w:t xml:space="preserve"> </w:t>
      </w:r>
      <w:r>
        <w:t xml:space="preserve">More direct efforts linking H and E:I have mostly relied on computational models or animal studies</w:t>
      </w:r>
      <w:r>
        <w:rPr>
          <w:vertAlign w:val="superscript"/>
        </w:rPr>
        <w:t xml:space="preserve">6–12</w:t>
      </w:r>
      <w:r>
        <w:t xml:space="preserve">, and the results remain inconsistent, ranging from positive to negative or even U-shaped associations. These discrepancies may reflect differences in model systems (e.g., animal vs. computer simulations), methodological choices (such as how H or E:I are estimated), or may represent counter evidence against the theory that these measures are systematically related. Indeed, other theories for how the brain maintains criticality exist, such as neuromodulator regulation</w:t>
      </w:r>
      <w:r>
        <w:rPr>
          <w:vertAlign w:val="superscript"/>
        </w:rPr>
        <w:t xml:space="preserve">62–64</w:t>
      </w:r>
      <w:r>
        <w:t xml:space="preserve"> </w:t>
      </w:r>
      <w:r>
        <w:t xml:space="preserve">or synaptic plasticity</w:t>
      </w:r>
      <w:r>
        <w:rPr>
          <w:vertAlign w:val="superscript"/>
        </w:rPr>
        <w:t xml:space="preserve">65,66</w:t>
      </w:r>
      <w:r>
        <w:t xml:space="preserve">, to name a few.</w:t>
      </w:r>
      <w:r>
        <w:t xml:space="preserve"> </w:t>
      </w:r>
      <w:r>
        <w:t xml:space="preserve">Despite the lack of direct evidence, several recent human studies have used fMRI-derived H as a direct proxy for E:I balance</w:t>
      </w:r>
      <w:r>
        <w:rPr>
          <w:vertAlign w:val="superscript"/>
        </w:rPr>
        <w:t xml:space="preserve">43,44,67,68</w:t>
      </w:r>
      <w:r>
        <w:t xml:space="preserve">; yet, no study to date has tested the empirical relationship between H and neurochemical estimates of E:I (e.g., Glu/GABA ratio)</w:t>
      </w:r>
      <w:r>
        <w:t xml:space="preserve"> </w:t>
      </w:r>
      <w:r>
        <w:rPr>
          <w:i/>
          <w:iCs/>
        </w:rPr>
        <w:t xml:space="preserve">in vivo</w:t>
      </w:r>
      <w:r>
        <w:t xml:space="preserve"> </w:t>
      </w:r>
      <w:r>
        <w:t xml:space="preserve">in humans.</w:t>
      </w:r>
    </w:p>
    <w:p>
      <w:pPr>
        <w:pStyle w:val="TextBody"/>
      </w:pPr>
      <w:r>
        <w:t xml:space="preserve">The theory that E:I serves as the primary control parameter governing H — and, by extension, brain criticality — offers a framework with clear, falsifiable predictions that can be directly tested.</w:t>
      </w:r>
      <w:r>
        <w:t xml:space="preserve"> </w:t>
      </w:r>
      <w:r>
        <w:t xml:space="preserve">Specifically, if this framework holds, E:I and H should covary systematically in the human brain across individuals, age, brain regions, and cognitive states.</w:t>
      </w:r>
      <w:r>
        <w:t xml:space="preserve"> </w:t>
      </w:r>
      <w:r>
        <w:t xml:space="preserve">To empirically test this prediction, the present study examined the E:I–Hurst relationship in the human visual cortex during rest and naturalistic movie-watching.</w:t>
      </w:r>
      <w:r>
        <w:t xml:space="preserve"> </w:t>
      </w:r>
      <w:r>
        <w:t xml:space="preserve">Although a single condition would be sufficient to test the correlation between E:I and H, we included two conditions to broaden the dynamic range of neural and neurochemical measures — thereby increasing our sensitivity to detect a correlation — and to provide validation that our metrics behave as expected across qualitatively different brain states.</w:t>
      </w:r>
      <w:r>
        <w:t xml:space="preserve"> </w:t>
      </w:r>
      <w:r>
        <w:t xml:space="preserve">Naturalistic movie-watching is known to reliably engage the visual cortex with complex, temporally structured input, making it a useful condition for probing changes in the temporal dynamics of neural activity</w:t>
      </w:r>
      <w:r>
        <w:rPr>
          <w:vertAlign w:val="superscript"/>
        </w:rPr>
        <w:t xml:space="preserve">35,69</w:t>
      </w:r>
      <w:r>
        <w:t xml:space="preserve">. Prior work from our group has shown that H values increased during movie-watching compared to rest</w:t>
      </w:r>
      <w:r>
        <w:rPr>
          <w:vertAlign w:val="superscript"/>
        </w:rPr>
        <w:t xml:space="preserve">35</w:t>
      </w:r>
      <w:r>
        <w:t xml:space="preserve">, while work from others have found changes in Glu and GABA with sustained visual stimulation</w:t>
      </w:r>
      <w:r>
        <w:rPr>
          <w:vertAlign w:val="superscript"/>
        </w:rPr>
        <w:t xml:space="preserve">70–73</w:t>
      </w:r>
      <w:r>
        <w:t xml:space="preserve">. We hypothesized that H and Glu would increase during movie-watching</w:t>
      </w:r>
      <w:r>
        <w:rPr>
          <w:vertAlign w:val="superscript"/>
        </w:rPr>
        <w:t xml:space="preserve">35,70,71</w:t>
      </w:r>
      <w:r>
        <w:t xml:space="preserve">, that GABA would decrease</w:t>
      </w:r>
      <w:r>
        <w:rPr>
          <w:vertAlign w:val="superscript"/>
        </w:rPr>
        <w:t xml:space="preserve">72,73</w:t>
      </w:r>
      <w:r>
        <w:t xml:space="preserve">, and that H would be positively correlated with E:I in both conditions</w:t>
      </w:r>
      <w:r>
        <w:rPr>
          <w:vertAlign w:val="superscript"/>
        </w:rPr>
        <w:t xml:space="preserve">12</w:t>
      </w:r>
      <w:r>
        <w:t xml:space="preserve">.</w:t>
      </w:r>
    </w:p>
    <w:bookmarkEnd w:id="11"/>
    <w:bookmarkStart w:id="30" w:name="methods"/>
    <w:p>
      <w:pPr>
        <w:pStyle w:val="Heading1"/>
      </w:pPr>
      <w:r>
        <w:t xml:space="preserve">2. Methods</w:t>
      </w:r>
    </w:p>
    <w:bookmarkStart w:id="12"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eight participants were removed, leaving eighteen final participants, between the ages of 21.3 and 53.4 (mean age ± sd: 29.6 ± 8.7 years; 8 males). Sex, handedness and date of birth were recorded on the day of the scan.</w:t>
      </w:r>
    </w:p>
    <w:bookmarkEnd w:id="12"/>
    <w:bookmarkStart w:id="13"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13"/>
    <w:bookmarkStart w:id="19"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74</w:t>
      </w:r>
      <w:r>
        <w:t xml:space="preserve">, and single-voxel MEscher-Garwood Point-REsolved SpectroScopy (MEGA-PRESS)</w:t>
      </w:r>
      <w:r>
        <w:rPr>
          <w:vertAlign w:val="superscript"/>
        </w:rPr>
        <w:t xml:space="preserve">75</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 “Jungles”</w:t>
      </w:r>
      <w:r>
        <w:rPr>
          <w:vertAlign w:val="superscript"/>
        </w:rPr>
        <w:t xml:space="preserve">76</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conditions: rest then movie; all participants saw the same movie segment, beginning at the same time during the scan.</w:t>
      </w:r>
    </w:p>
    <w:bookmarkStart w:id="18" w:name="cell-fig-method"/>
    <w:tbl>
      <w:tblPr>
        <w:tblStyle w:val="Table"/>
        <w:tblW w:type="pct" w:w="5000"/>
        <w:tblLayout w:type="fixed"/>
        <w:tblLook w:firstRow="0" w:lastRow="0" w:firstColumn="0" w:lastColumn="0" w:noHBand="0" w:noVBand="0" w:val="0000"/>
      </w:tblPr>
      <w:tblGrid>
        <w:gridCol w:w="7920"/>
      </w:tblGrid>
      <w:tr>
        <w:tc>
          <w:tcPr/>
          <w:bookmarkStart w:id="17" w:name="fig-method"/>
          <w:p>
            <w:pPr>
              <w:pStyle w:val="Compact"/>
              <w:jc w:val="center"/>
            </w:pPr>
            <w:r>
              <w:drawing>
                <wp:inline>
                  <wp:extent cx="4620126" cy="3696101"/>
                  <wp:effectExtent b="0" l="0" r="0" t="0"/>
                  <wp:docPr descr="" title="" id="15" name="Picture"/>
                  <a:graphic>
                    <a:graphicData uri="http://schemas.openxmlformats.org/drawingml/2006/picture">
                      <pic:pic>
                        <pic:nvPicPr>
                          <pic:cNvPr descr="index_files/figure-docx/fig-method-1.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77</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17"/>
        </w:tc>
      </w:tr>
    </w:tbl>
    <w:bookmarkEnd w:id="18"/>
    <w:bookmarkEnd w:id="19"/>
    <w:bookmarkStart w:id="21"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single-voxel MEGA-PRESS sequence with CHESS (CHEmical Shift Selective saturation) water suppression;</w:t>
      </w:r>
      <w:r>
        <w:t xml:space="preserve"> </w:t>
      </w:r>
      <w:r>
        <w:t xml:space="preserve">and a single-voxel sLASER sequence with VAPOR (VAriable Power and Optimized Relaxations) water suppression.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center"/>
                  </w:pPr>
                  <w:r>
                    <w:t xml:space="preserve">Sequence</w:t>
                  </w:r>
                </w:p>
              </w:tc>
              <w:tc>
                <w:tcPr/>
                <w:p>
                  <w:pPr>
                    <w:pStyle w:val="Compact"/>
                    <w:jc w:val="center"/>
                  </w:pPr>
                  <w:r>
                    <w:t xml:space="preserve">TE (ms)</w:t>
                  </w:r>
                </w:p>
              </w:tc>
              <w:tc>
                <w:tcPr/>
                <w:p>
                  <w:pPr>
                    <w:pStyle w:val="Compact"/>
                    <w:jc w:val="center"/>
                  </w:pPr>
                  <w:r>
                    <w:t xml:space="preserve">TR (ms)</w:t>
                  </w:r>
                </w:p>
              </w:tc>
              <w:tc>
                <w:tcPr/>
                <w:p>
                  <w:pPr>
                    <w:pStyle w:val="Compact"/>
                    <w:jc w:val="center"/>
                  </w:pPr>
                  <w:r>
                    <w:t xml:space="preserve">Flip Angle</w:t>
                  </w:r>
                </w:p>
              </w:tc>
              <w:tc>
                <w:tcPr/>
                <w:p>
                  <w:pPr>
                    <w:pStyle w:val="Compact"/>
                    <w:jc w:val="center"/>
                  </w:pPr>
                  <w:r>
                    <w:t xml:space="preserve">FOV</w:t>
                  </w:r>
                </w:p>
              </w:tc>
              <w:tc>
                <w:tcPr/>
                <w:p>
                  <w:pPr>
                    <w:pStyle w:val="Compact"/>
                    <w:jc w:val="center"/>
                  </w:pPr>
                  <w:r>
                    <w:t xml:space="preserve">Slice Thickness (mm)</w:t>
                  </w:r>
                </w:p>
              </w:tc>
              <w:tc>
                <w:tcPr/>
                <w:p>
                  <w:pPr>
                    <w:pStyle w:val="Compact"/>
                    <w:jc w:val="center"/>
                  </w:pPr>
                  <w:r>
                    <w:t xml:space="preserve">In-Plane Resolution (mm²)</w:t>
                  </w:r>
                </w:p>
              </w:tc>
              <w:tc>
                <w:tcPr/>
                <w:p>
                  <w:pPr>
                    <w:pStyle w:val="Compact"/>
                    <w:jc w:val="center"/>
                  </w:pPr>
                  <w:r>
                    <w:t xml:space="preserve">Other Parameters</w:t>
                  </w:r>
                </w:p>
              </w:tc>
              <w:tc>
                <w:tcPr/>
                <w:p>
                  <w:pPr>
                    <w:pStyle w:val="Compact"/>
                    <w:jc w:val="center"/>
                  </w:pPr>
                  <w:r>
                    <w:t xml:space="preserve">Time (mins)</w:t>
                  </w:r>
                </w:p>
              </w:tc>
            </w:tr>
            <w:tr>
              <w:tc>
                <w:tcPr/>
                <w:p>
                  <w:pPr>
                    <w:pStyle w:val="Compact"/>
                    <w:jc w:val="center"/>
                  </w:pPr>
                  <w:r>
                    <w:t xml:space="preserve">3D T1-weighted FSPGR</w:t>
                  </w:r>
                </w:p>
              </w:tc>
              <w:tc>
                <w:tcPr/>
                <w:p>
                  <w:pPr>
                    <w:pStyle w:val="Compact"/>
                    <w:jc w:val="center"/>
                  </w:pPr>
                  <w:r>
                    <w:t xml:space="preserve">2.176</w:t>
                  </w:r>
                </w:p>
              </w:tc>
              <w:tc>
                <w:tcPr/>
                <w:p>
                  <w:pPr>
                    <w:pStyle w:val="Compact"/>
                    <w:jc w:val="center"/>
                  </w:pPr>
                  <w:r>
                    <w:t xml:space="preserve">7.216</w:t>
                  </w:r>
                </w:p>
              </w:tc>
              <w:tc>
                <w:tcPr/>
                <w:p>
                  <w:pPr>
                    <w:pStyle w:val="Compact"/>
                    <w:jc w:val="center"/>
                  </w:pPr>
                  <w:r>
                    <w:t xml:space="preserve">12</w:t>
                  </w:r>
                </w:p>
              </w:tc>
              <w:tc>
                <w:tcPr/>
                <w:p>
                  <w:pPr>
                    <w:pStyle w:val="Compact"/>
                    <w:jc w:val="center"/>
                  </w:pPr>
                  <w:r>
                    <w:t xml:space="preserve">256 ×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5</w:t>
                  </w:r>
                </w:p>
              </w:tc>
            </w:tr>
            <w:tr>
              <w:tc>
                <w:tcPr/>
                <w:p>
                  <w:pPr>
                    <w:pStyle w:val="Compact"/>
                    <w:jc w:val="center"/>
                  </w:pPr>
                  <w:r>
                    <w:t xml:space="preserve">3D T2-weighted CUBE</w:t>
                  </w:r>
                </w:p>
              </w:tc>
              <w:tc>
                <w:tcPr/>
                <w:p>
                  <w:pPr>
                    <w:pStyle w:val="Compact"/>
                    <w:jc w:val="center"/>
                  </w:pPr>
                  <w:r>
                    <w:t xml:space="preserve">75.242</w:t>
                  </w:r>
                </w:p>
              </w:tc>
              <w:tc>
                <w:tcPr/>
                <w:p>
                  <w:pPr>
                    <w:pStyle w:val="Compact"/>
                    <w:jc w:val="center"/>
                  </w:pPr>
                  <w:r>
                    <w:t xml:space="preserve">2,504.0</w:t>
                  </w:r>
                </w:p>
              </w:tc>
              <w:tc>
                <w:tcPr/>
                <w:p>
                  <w:pPr>
                    <w:pStyle w:val="Compact"/>
                    <w:jc w:val="center"/>
                  </w:pPr>
                  <w:r>
                    <w:t xml:space="preserve">90</w:t>
                  </w:r>
                </w:p>
              </w:tc>
              <w:tc>
                <w:tcPr/>
                <w:p>
                  <w:pPr>
                    <w:pStyle w:val="Compact"/>
                    <w:jc w:val="center"/>
                  </w:pPr>
                  <w:r>
                    <w:t xml:space="preserve">256 x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2D EPI Multi-Echo fMRI</w:t>
                  </w:r>
                </w:p>
              </w:tc>
              <w:tc>
                <w:tcPr/>
                <w:p>
                  <w:pPr>
                    <w:pStyle w:val="Compact"/>
                    <w:jc w:val="center"/>
                  </w:pPr>
                  <w:r>
                    <w:t xml:space="preserve">12.2, 35.352, 58.504</w:t>
                  </w:r>
                </w:p>
              </w:tc>
              <w:tc>
                <w:tcPr/>
                <w:p>
                  <w:pPr>
                    <w:pStyle w:val="Compact"/>
                    <w:jc w:val="center"/>
                  </w:pPr>
                  <w:r>
                    <w:t xml:space="preserve">1,500</w:t>
                  </w:r>
                </w:p>
              </w:tc>
              <w:tc>
                <w:tcPr/>
                <w:p>
                  <w:pPr>
                    <w:pStyle w:val="Compact"/>
                    <w:jc w:val="center"/>
                  </w:pPr>
                  <w:r>
                    <w:t xml:space="preserve">52</w:t>
                  </w:r>
                </w:p>
              </w:tc>
              <w:tc>
                <w:tcPr/>
                <w:p>
                  <w:pPr>
                    <w:pStyle w:val="Compact"/>
                    <w:jc w:val="center"/>
                  </w:pPr>
                  <w:r>
                    <w:t xml:space="preserve">64 x 64</w:t>
                  </w:r>
                </w:p>
              </w:tc>
              <w:tc>
                <w:tcPr/>
                <w:p>
                  <w:pPr>
                    <w:pStyle w:val="Compact"/>
                    <w:jc w:val="center"/>
                  </w:pPr>
                  <w:r>
                    <w:t xml:space="preserve">3.6</w:t>
                  </w:r>
                </w:p>
              </w:tc>
              <w:tc>
                <w:tcPr/>
                <w:p>
                  <w:pPr>
                    <w:pStyle w:val="Compact"/>
                    <w:jc w:val="center"/>
                  </w:pPr>
                  <w:r>
                    <w:t xml:space="preserve">3.5938 × 3.5938</w:t>
                  </w:r>
                </w:p>
              </w:tc>
              <w:tc>
                <w:tcPr/>
                <w:p>
                  <w:pPr>
                    <w:pStyle w:val="Compact"/>
                    <w:jc w:val="center"/>
                  </w:pPr>
                  <w:r>
                    <w:t xml:space="preserve">Acceleration factor = 6</w:t>
                  </w:r>
                </w:p>
              </w:tc>
              <w:tc>
                <w:tcPr/>
                <w:p>
                  <w:pPr>
                    <w:pStyle w:val="Compact"/>
                    <w:jc w:val="center"/>
                  </w:pPr>
                  <w:r>
                    <w:t xml:space="preserve">12</w:t>
                  </w:r>
                </w:p>
              </w:tc>
            </w:tr>
            <w:tr>
              <w:tc>
                <w:tcPr/>
                <w:p>
                  <w:pPr>
                    <w:pStyle w:val="Compact"/>
                    <w:jc w:val="center"/>
                  </w:pPr>
                  <w:r>
                    <w:t xml:space="preserve">sLASER</w:t>
                  </w:r>
                </w:p>
              </w:tc>
              <w:tc>
                <w:tcPr/>
                <w:p>
                  <w:pPr>
                    <w:pStyle w:val="Compact"/>
                    <w:jc w:val="center"/>
                  </w:pPr>
                  <w:r>
                    <w:t xml:space="preserve">35</w:t>
                  </w:r>
                </w:p>
              </w:tc>
              <w:tc>
                <w:tcPr/>
                <w:p>
                  <w:pPr>
                    <w:pStyle w:val="Compact"/>
                    <w:jc w:val="center"/>
                  </w:pPr>
                  <w:r>
                    <w:t xml:space="preserve">2,000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Transients = 128*; Spectral width = 5,000 Hz; Data points = 4,096</w:t>
                  </w:r>
                </w:p>
              </w:tc>
              <w:tc>
                <w:tcPr/>
                <w:p>
                  <w:pPr>
                    <w:pStyle w:val="Compact"/>
                    <w:jc w:val="center"/>
                  </w:pPr>
                  <w:r>
                    <w:t xml:space="preserve">4</w:t>
                  </w:r>
                </w:p>
              </w:tc>
            </w:tr>
            <w:tr>
              <w:tc>
                <w:tcPr/>
                <w:p>
                  <w:pPr>
                    <w:pStyle w:val="Compact"/>
                    <w:jc w:val="center"/>
                  </w:pPr>
                  <w:r>
                    <w:t xml:space="preserve">MEGA-PRESS</w:t>
                  </w:r>
                </w:p>
              </w:tc>
              <w:tc>
                <w:tcPr/>
                <w:p>
                  <w:pPr>
                    <w:pStyle w:val="Compact"/>
                    <w:jc w:val="center"/>
                  </w:pPr>
                  <w:r>
                    <w:t xml:space="preserve">68</w:t>
                  </w:r>
                </w:p>
              </w:tc>
              <w:tc>
                <w:tcPr/>
                <w:p>
                  <w:pPr>
                    <w:pStyle w:val="Compact"/>
                    <w:jc w:val="center"/>
                  </w:pPr>
                  <w:r>
                    <w:t xml:space="preserve">1,800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Transients = 128 ON, 128 OFF; Spectral width = 5,000 Hz; Data points = 4,096</w:t>
                  </w:r>
                </w:p>
              </w:tc>
              <w:tc>
                <w:tcPr/>
                <w:p>
                  <w:pPr>
                    <w:pStyle w:val="Compact"/>
                    <w:jc w:val="center"/>
                  </w:pPr>
                  <w:r>
                    <w:t xml:space="preserve">8</w:t>
                  </w:r>
                </w:p>
              </w:tc>
            </w:tr>
          </w:tbl>
          <w:p>
            <w:pPr>
              <w:jc w:val="center"/>
            </w:pPr>
            <w:pPr>
              <w:jc w:val="lef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 *Note, the GE semi-LASER sequence averaged the 128 transients into groups of 4, each with 32 transients, before being saved as raw P-file.</w:t>
            </w:r>
          </w:p>
          <w:bookmarkEnd w:id="20"/>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 using the high resolution T1w sequence as anatomical guide. Voxel placement was set once at the beginning and copied for the remaining MRS sequences. Glutamate was quantified from semi-LASER acquisitions as it offers the highest quality spectra for unedited metabolites</w:t>
      </w:r>
      <w:r>
        <w:rPr>
          <w:vertAlign w:val="superscript"/>
        </w:rPr>
        <w:t xml:space="preserve">78</w:t>
      </w:r>
      <w:r>
        <w:t xml:space="preserve">. The GE semi-LASER sequence automatically aligned and averaged every 32 transients, resulting in 4 averaged transients to process. GABA was measured using MEGA-PRESS, which applies frequency-selective editing pulses to isolate GABA from overlapping signals</w:t>
      </w:r>
      <w:r>
        <w:rPr>
          <w:vertAlign w:val="superscript"/>
        </w:rPr>
        <w:t xml:space="preserve">56</w:t>
      </w:r>
      <w:r>
        <w:t xml:space="preserve">. This dual-sequence approach is standard in the field and reflects the differing spectral requirements of each metabolite</w:t>
      </w:r>
      <w:r>
        <w:rPr>
          <w:vertAlign w:val="superscript"/>
        </w:rPr>
        <w:t xml:space="preserve">79</w:t>
      </w:r>
      <w:r>
        <w:t xml:space="preserve">. Finally, blip-up and blip-down spin-echo versions of the fMRI sequence were acquired at the end to estimate the B0 non-uniformity map for fMRI phase distortion correction.</w:t>
      </w:r>
    </w:p>
    <w:bookmarkEnd w:id="21"/>
    <w:bookmarkStart w:id="25"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22">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80</w:t>
      </w:r>
      <w:r>
        <w:t xml:space="preserve"> </w:t>
      </w:r>
      <w:r>
        <w:t xml:space="preserve">(v1.0.20211006) and then to Brain Imaging Data Structure (BIDS)</w:t>
      </w:r>
      <w:r>
        <w:rPr>
          <w:vertAlign w:val="superscript"/>
        </w:rPr>
        <w:t xml:space="preserve">81</w:t>
      </w:r>
      <w:r>
        <w:t xml:space="preserve"> </w:t>
      </w:r>
      <w:r>
        <w:t xml:space="preserve">format using</w:t>
      </w:r>
      <w:r>
        <w:t xml:space="preserve"> </w:t>
      </w:r>
      <w:r>
        <w:rPr>
          <w:rStyle w:val="VerbatimChar"/>
        </w:rPr>
        <w:t xml:space="preserve">dcm2bids</w:t>
      </w:r>
      <w:r>
        <w:rPr>
          <w:vertAlign w:val="superscript"/>
        </w:rPr>
        <w:t xml:space="preserve">82</w:t>
      </w:r>
      <w:r>
        <w:t xml:space="preserve"> </w:t>
      </w:r>
      <w:r>
        <w:t xml:space="preserve">(v2.1.6). MRS files were downloaded as raw P files.</w:t>
      </w:r>
    </w:p>
    <w:bookmarkStart w:id="23"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83</w:t>
      </w:r>
      <w:r>
        <w:t xml:space="preserve"> </w:t>
      </w:r>
      <w:r>
        <w:t xml:space="preserve">(</w:t>
      </w:r>
      <w:r>
        <w:rPr>
          <w:rStyle w:val="VerbatimChar"/>
        </w:rPr>
        <w:t xml:space="preserve">ANTs</w:t>
      </w:r>
      <w:r>
        <w:rPr>
          <w:vertAlign w:val="superscript"/>
        </w:rPr>
        <w:t xml:space="preserve">84</w:t>
      </w:r>
      <w:r>
        <w:t xml:space="preserve">; v2.3.335) to be used as a T1w-reference for the rest of the workflow. The T1w-reference was skull-stripped using a</w:t>
      </w:r>
      <w:r>
        <w:t xml:space="preserve"> </w:t>
      </w:r>
      <w:r>
        <w:rPr>
          <w:rStyle w:val="VerbatimChar"/>
        </w:rPr>
        <w:t xml:space="preserve">Nipype</w:t>
      </w:r>
      <w:r>
        <w:rPr>
          <w:vertAlign w:val="superscript"/>
        </w:rPr>
        <w:t xml:space="preserve">85</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86</w:t>
      </w:r>
      <w:r>
        <w:t xml:space="preserve"> </w:t>
      </w:r>
      <w:r>
        <w:t xml:space="preserve">(</w:t>
      </w:r>
      <w:r>
        <w:rPr>
          <w:rStyle w:val="VerbatimChar"/>
        </w:rPr>
        <w:t xml:space="preserve">FSL</w:t>
      </w:r>
      <w:r>
        <w:rPr>
          <w:vertAlign w:val="superscript"/>
        </w:rPr>
        <w:t xml:space="preserve">87</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88</w:t>
      </w:r>
      <w:r>
        <w:t xml:space="preserve"> </w:t>
      </w:r>
      <w:r>
        <w:t xml:space="preserve">(</w:t>
      </w:r>
      <w:r>
        <w:rPr>
          <w:rStyle w:val="VerbatimChar"/>
        </w:rPr>
        <w:t xml:space="preserve">FreeSurfer</w:t>
      </w:r>
      <w:r>
        <w:rPr>
          <w:vertAlign w:val="superscript"/>
        </w:rPr>
        <w:t xml:space="preserve">88</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89</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84</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23"/>
    <w:bookmarkStart w:id="24"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90</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91</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92</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93</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88</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94</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24"/>
    <w:bookmarkEnd w:id="25"/>
    <w:bookmarkStart w:id="27" w:name="mrs"/>
    <w:p>
      <w:pPr>
        <w:pStyle w:val="Heading2"/>
      </w:pPr>
      <w:r>
        <w:t xml:space="preserve">2.6 MRS</w:t>
      </w:r>
    </w:p>
    <w:p>
      <w:pPr>
        <w:pStyle w:val="FirstParagraph"/>
      </w:pPr>
      <w:r>
        <w:t xml:space="preserve">sLASER data were processed using</w:t>
      </w:r>
      <w:r>
        <w:t xml:space="preserve"> </w:t>
      </w:r>
      <w:r>
        <w:rPr>
          <w:rStyle w:val="VerbatimChar"/>
        </w:rPr>
        <w:t xml:space="preserve">Osprey</w:t>
      </w:r>
      <w:r>
        <w:rPr>
          <w:vertAlign w:val="superscript"/>
        </w:rPr>
        <w:t xml:space="preserve">95</w:t>
      </w:r>
      <w:r>
        <w:t xml:space="preserve"> </w:t>
      </w:r>
      <w:r>
        <w:t xml:space="preserve">(v2.9.5) and fit via the embedded</w:t>
      </w:r>
      <w:r>
        <w:t xml:space="preserve"> </w:t>
      </w:r>
      <w:r>
        <w:rPr>
          <w:rStyle w:val="VerbatimChar"/>
        </w:rPr>
        <w:t xml:space="preserve">LCModel</w:t>
      </w:r>
      <w:r>
        <w:t xml:space="preserve"> </w:t>
      </w:r>
      <w:r>
        <w:t xml:space="preserve">(v6.3-1N) wrapper</w:t>
      </w:r>
      <w:r>
        <w:rPr>
          <w:vertAlign w:val="superscript"/>
        </w:rPr>
        <w:t xml:space="preserve">96</w:t>
      </w:r>
      <w:r>
        <w:t xml:space="preserve">.</w:t>
      </w:r>
      <w:r>
        <w:t xml:space="preserve"> </w:t>
      </w:r>
      <w:r>
        <w:t xml:space="preserve">Because of substantial overlap among Glu and Gln resonances</w:t>
      </w:r>
      <w:r>
        <w:rPr>
          <w:vertAlign w:val="superscript"/>
        </w:rPr>
        <w:t xml:space="preserve">97,98</w:t>
      </w:r>
      <w:r>
        <w:t xml:space="preserve">, in order to avoid errors in spectral assignment — especially since it is controversial whether Glu can reliably be separated from Gln at 3T</w:t>
      </w:r>
      <w:r>
        <w:rPr>
          <w:vertAlign w:val="superscript"/>
        </w:rPr>
        <w:t xml:space="preserve">99,100</w:t>
      </w:r>
      <w:r>
        <w:t xml:space="preserve"> </w:t>
      </w:r>
      <w:r>
        <w:t xml:space="preserve">— we report Glx (Glu+ Glu) as the primary outcome measure. Individual Glu estimates are provided in Supplementary Materials</w:t>
      </w:r>
      <w:r>
        <w:t xml:space="preserve"> </w:t>
      </w:r>
      <w:hyperlink w:anchor="supptbl-metabolites">
        <w:r>
          <w:rPr>
            <w:rStyle w:val="InternetLink"/>
          </w:rPr>
          <w:t xml:space="preserve">Table S5</w:t>
        </w:r>
      </w:hyperlink>
      <w:r>
        <w:t xml:space="preserve">, alongside all other quantified metabolites.</w:t>
      </w:r>
      <w:r>
        <w:t xml:space="preserve"> </w:t>
      </w:r>
      <w:r>
        <w:t xml:space="preserve">Several Osprey functions were modified to accommodate scanner-specific features of the GE implementation, where individual transients had been averaged by the scanner into four sub-spectra prior to export. These changes primarily affected</w:t>
      </w:r>
      <w:r>
        <w:t xml:space="preserve"> </w:t>
      </w:r>
      <w:r>
        <w:rPr>
          <w:rStyle w:val="VerbatimChar"/>
        </w:rPr>
        <w:t xml:space="preserve">GEload.m</w:t>
      </w:r>
      <w:r>
        <w:t xml:space="preserve"> </w:t>
      </w:r>
      <w:r>
        <w:t xml:space="preserve">to correct water-scaling inconsistencies. RF coil combination was performed using generalized least squares (GLS) weighting, following An et al. (2013)</w:t>
      </w:r>
      <w:r>
        <w:rPr>
          <w:vertAlign w:val="superscript"/>
        </w:rPr>
        <w:t xml:space="preserve">101,102</w:t>
      </w:r>
      <w:r>
        <w:t xml:space="preserve">.</w:t>
      </w:r>
    </w:p>
    <w:p>
      <w:pPr>
        <w:pStyle w:val="TextBody"/>
      </w:pPr>
      <w:r>
        <w:t xml:space="preserve">MEGA-PRESS data were processed with</w:t>
      </w:r>
      <w:r>
        <w:t xml:space="preserve"> </w:t>
      </w:r>
      <w:r>
        <w:rPr>
          <w:rStyle w:val="VerbatimChar"/>
        </w:rPr>
        <w:t xml:space="preserve">Osprey</w:t>
      </w:r>
      <w:r>
        <w:t xml:space="preserve">, and the difference of the ON and OFF sequences were fit the</w:t>
      </w:r>
      <w:r>
        <w:t xml:space="preserve"> </w:t>
      </w:r>
      <w:r>
        <w:rPr>
          <w:rStyle w:val="VerbatimChar"/>
        </w:rPr>
        <w:t xml:space="preserve">LCModel</w:t>
      </w:r>
      <w:r>
        <w:t xml:space="preserve"> </w:t>
      </w:r>
      <w:r>
        <w:t xml:space="preserve">algorithm.</w:t>
      </w:r>
      <w:r>
        <w:t xml:space="preserve"> </w:t>
      </w:r>
      <w:r>
        <w:t xml:space="preserve">Due to the J-editing sequence of MEGA-PRESS, a challenge of GABA quantification is macromolecule quantification</w:t>
      </w:r>
      <w:r>
        <w:rPr>
          <w:vertAlign w:val="superscript"/>
        </w:rPr>
        <w:t xml:space="preserve">103</w:t>
      </w:r>
      <w:r>
        <w:t xml:space="preserve">. As a result, we report GABA+, a measure which co-reports GABA with macromolecules. Macromolecules (MM) are expected to account for approximately 45% of the GABA+ signal</w:t>
      </w:r>
      <w:r>
        <w:rPr>
          <w:vertAlign w:val="superscript"/>
        </w:rPr>
        <w:t xml:space="preserve">103</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104</w:t>
      </w:r>
      <w:r>
        <w:t xml:space="preserve">. Moreover, GABA+ shows greater reliability for both creatine-referenced and water-suppressed estimates</w:t>
      </w:r>
      <w:r>
        <w:rPr>
          <w:vertAlign w:val="superscript"/>
        </w:rPr>
        <w:t xml:space="preserve">104,105</w:t>
      </w:r>
      <w:r>
        <w:t xml:space="preserve">. MM-suppressed GABA and GABA+ estimates are also correlated, albeit weakly- to moderately-so</w:t>
      </w:r>
      <w:r>
        <w:rPr>
          <w:vertAlign w:val="superscript"/>
        </w:rPr>
        <w:t xml:space="preserve">103–105</w:t>
      </w:r>
      <w:r>
        <w:t xml:space="preserve">. Consequently, we report GABA+ to allow for easier comparison of our results to other studies as well as reproducibility. All metabolite values, including GABA, are reported in the Supplementary Materials</w:t>
      </w:r>
      <w:r>
        <w:t xml:space="preserve"> </w:t>
      </w:r>
      <w:hyperlink w:anchor="supptbl-megapressmetabs">
        <w:r>
          <w:rPr>
            <w:rStyle w:val="InternetLink"/>
          </w:rPr>
          <w:t xml:space="preserve">Table S6</w:t>
        </w:r>
      </w:hyperlink>
      <w:r>
        <w:t xml:space="preserve">.</w:t>
      </w:r>
    </w:p>
    <w:p>
      <w:pPr>
        <w:pStyle w:val="TextBody"/>
      </w:pPr>
      <w:r>
        <w:t xml:space="preserve">MRS voxels were co-registered to the T1w reference image and segmented by</w:t>
      </w:r>
      <w:r>
        <w:t xml:space="preserve"> </w:t>
      </w:r>
      <w:r>
        <w:rPr>
          <w:rStyle w:val="VerbatimChar"/>
        </w:rPr>
        <w:t xml:space="preserve">SPM12</w:t>
      </w:r>
      <w:r>
        <w:rPr>
          <w:vertAlign w:val="superscript"/>
        </w:rPr>
        <w:t xml:space="preserve">106</w:t>
      </w:r>
      <w:r>
        <w:t xml:space="preserve"> </w:t>
      </w:r>
      <w:r>
        <w:t xml:space="preserve">into CSF, GM, and WM.</w:t>
      </w:r>
      <w:r>
        <w:t xml:space="preserve"> </w:t>
      </w:r>
      <w:r>
        <w:t xml:space="preserve">sLASER and MEGA-PRESS data were were water-scaled as well as tissue- and relaxation-corrected by the Gasparovic et al. (2006) method</w:t>
      </w:r>
      <w:r>
        <w:rPr>
          <w:vertAlign w:val="superscript"/>
        </w:rPr>
        <w:t xml:space="preserve">107</w:t>
      </w:r>
      <w:r>
        <w:t xml:space="preserve">. Concentrations are reported in millimoles.</w:t>
      </w:r>
      <w:r>
        <w:t xml:space="preserve"> </w:t>
      </w:r>
      <w:r>
        <w:t xml:space="preserve">Full width half-maximum (FWHM) of the single-Lorentzian fit of the water peak, signal-to-noise (SNR) ratio of the creatine signal, frequency shift, and Cramer-Rao lower bounds (CRLB) were calculated for quality assurance purposes.</w:t>
      </w:r>
      <w:r>
        <w:t xml:space="preserve"> </w:t>
      </w:r>
      <w:r>
        <w:rPr>
          <w:rStyle w:val="VerbatimChar"/>
        </w:rPr>
        <w:t xml:space="preserve">Osprey</w:t>
      </w:r>
      <w:r>
        <w:t xml:space="preserve"> </w:t>
      </w:r>
      <w:r>
        <w:t xml:space="preserve">basis sets were used for linear combination. Metabolites included for both basis sets were: Asc, Asp, Cr, CrCH2, EA, GABA, GPC, GSH, Gln, Glu, Gly, H2O, Lac, NAA, NAAG, PCh, PCr, PE, Ser, Tau, mI, and sI. Excitatory-inhibitory ratio (E:I) was calculated as [Glx from sLASER]/[GABA+ from MEGA-PRESS], a common practice to report E:I using MRS</w:t>
      </w:r>
      <w:r>
        <w:rPr>
          <w:vertAlign w:val="superscript"/>
        </w:rPr>
        <w:t xml:space="preserve">108</w:t>
      </w:r>
      <w:r>
        <w:t xml:space="preserve">.</w:t>
      </w:r>
      <w:r>
        <w:t xml:space="preserve"> </w:t>
      </w:r>
    </w:p>
    <w:p>
      <w:pPr>
        <w:pStyle w:val="TextBody"/>
      </w:pPr>
      <w:r>
        <w:t xml:space="preserve">Participants were excluded from further analysis if any of their MRS scans had a water peak FWHM &gt; 10</w:t>
      </w:r>
      <w:r>
        <w:rPr>
          <w:vertAlign w:val="superscript"/>
        </w:rPr>
        <w:t xml:space="preserve">109</w:t>
      </w:r>
      <w:r>
        <w:t xml:space="preserve">.</w:t>
      </w:r>
    </w:p>
    <w:p>
      <w:pPr>
        <w:pStyle w:val="TextBody"/>
      </w:pPr>
      <w:r>
        <w:t xml:space="preserve">To quantify the inter-subject consistency across the MRS masks, we computed a consensus mask using majority voting and calculated the mean Dice coefficient between each individual mask and the consensus.</w:t>
      </w:r>
    </w:p>
    <w:bookmarkStart w:id="26" w:name="re-analysis-using-gannet"/>
    <w:p>
      <w:pPr>
        <w:pStyle w:val="Heading3"/>
      </w:pPr>
      <w:r>
        <w:t xml:space="preserve">2.6.1 Re-analysis using Gannet</w:t>
      </w:r>
    </w:p>
    <w:p>
      <w:pPr>
        <w:pStyle w:val="FirstParagraph"/>
      </w:pPr>
      <w:r>
        <w:t xml:space="preserve">Glutamate and GABA were acquired using different MRS sequences and in separate blocks during the same scan session. While acquisitions were closely timed and performed under similar conditions, we cannot fully exclude the possibility of session-related variability affecting E:I ratio estimates. Therefore, we re-ran our analysis using the Glx and GABA+ values from the MEGA-PRESS sequence alone using</w:t>
      </w:r>
      <w:r>
        <w:t xml:space="preserve"> </w:t>
      </w:r>
      <w:r>
        <w:rPr>
          <w:rStyle w:val="VerbatimChar"/>
        </w:rPr>
        <w:t xml:space="preserve">Gannet</w:t>
      </w:r>
      <w:r>
        <w:rPr>
          <w:vertAlign w:val="superscript"/>
        </w:rPr>
        <w:t xml:space="preserve">110</w:t>
      </w:r>
      <w:r>
        <w:t xml:space="preserve"> </w:t>
      </w:r>
      <w:r>
        <w:t xml:space="preserve">(v3.3.0).</w:t>
      </w:r>
    </w:p>
    <w:bookmarkEnd w:id="26"/>
    <w:bookmarkEnd w:id="27"/>
    <w:bookmarkStart w:id="28"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(‘power’) across frequencies. Complex signals are classified into two categories: fractional Gaussian noise (fGn) and fractional Brownian motion (fBm)</w:t>
      </w:r>
      <w:r>
        <w:rPr>
          <w:vertAlign w:val="superscript"/>
        </w:rPr>
        <w:t xml:space="preserve">29,111</w:t>
      </w:r>
      <w:r>
        <w:t xml:space="preserve">. The former is a stationary signal (i.e., does not vary over time), while the latter is non-stationary with stationary increments</w:t>
      </w:r>
      <w:r>
        <w:rPr>
          <w:vertAlign w:val="superscript"/>
        </w:rPr>
        <w:t xml:space="preserve">29</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112</w:t>
      </w:r>
      <w:r>
        <w:t xml:space="preserve">. fBm and fGn require distinct H calculation methods</w:t>
      </w:r>
      <w:r>
        <w:rPr>
          <w:vertAlign w:val="superscript"/>
        </w:rPr>
        <w:t xml:space="preserve">29</w:t>
      </w:r>
      <w:r>
        <w:t xml:space="preserve">. PSD was estimated using Welch’s method</w:t>
      </w:r>
      <w:r>
        <w:rPr>
          <w:vertAlign w:val="superscript"/>
        </w:rPr>
        <w:t xml:space="preserve">113</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114</w:t>
      </w:r>
      <w:r>
        <w:t xml:space="preserve">. Data were divided into 8 windows of 50% overlap and averaged within each window, as is standard</w:t>
      </w:r>
      <w:r>
        <w:rPr>
          <w:vertAlign w:val="superscript"/>
        </w:rPr>
        <w:t xml:space="preserve">115</w:t>
      </w:r>
      <w:r>
        <w:t xml:space="preserve">. Welch’s method was selected based on prior comparisons with other Hurst exponent algorithms, which found it to perform best across all evaluation criteria</w:t>
      </w:r>
      <w:r>
        <w:rPr>
          <w:vertAlign w:val="superscript"/>
        </w:rPr>
        <w:t xml:space="preserve">115</w:t>
      </w:r>
      <w:r>
        <w:t xml:space="preserve">.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29,116</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 ‘extended Hurst’ (H’) concept in this study: for 0 &lt; H &lt; 1, the signal is understood as fGn, while for 1 &lt; H &lt; 2, the signal is understood to be fBm</w:t>
      </w:r>
      <w:r>
        <w:rPr>
          <w:vertAlign w:val="superscript"/>
        </w:rPr>
        <w:t xml:space="preserve">35,117,118</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28"/>
    <w:bookmarkStart w:id="29"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119</w:t>
      </w:r>
      <w:r>
        <w:t xml:space="preserve"> </w:t>
      </w:r>
      <w:r>
        <w:t xml:space="preserve">(v4.5.1) and</w:t>
      </w:r>
      <w:r>
        <w:t xml:space="preserve"> </w:t>
      </w:r>
      <w:r>
        <w:rPr>
          <w:rStyle w:val="VerbatimChar"/>
        </w:rPr>
        <w:t xml:space="preserve">RStudio</w:t>
      </w:r>
      <w:r>
        <w:t xml:space="preserve">.</w:t>
      </w:r>
    </w:p>
    <w:p>
      <w:pPr>
        <w:pStyle w:val="TextBody"/>
      </w:pPr>
      <w:r>
        <w:t xml:space="preserve">A linear mixed-effect model was used to test for the correlation of H and E:I, with H as the dependent variable, Glx/GABA+ as the primary predictor of interest, and Condition (rest vs. movie) as a fixed effect. Mean FD, FWHM(sLASER), FWHM(MEGA-PRESS), Frequency Shift (sLASER), Frequency Shift (MEGA-PRESS) were included as covariates, and subjects were modeled as random effects:</w:t>
      </w:r>
    </w:p>
    <w:p>
      <w:pPr>
        <w:pStyle w:val="TextBody"/>
      </w:pPr>
      <m:oMathPara>
        <m:oMathParaPr>
          <m:jc m:val="center"/>
        </m:oMathParaPr>
        <m:oMath>
          <m:eqArr>
            <m:e>
              <m:r>
                <m:rPr>
                  <m:sty m:val="p"/>
                </m:rPr>
                <m:t>H</m:t>
              </m:r>
              <m:r>
                <m:rPr>
                  <m:sty m:val="p"/>
                </m:rPr>
                <m:t>∼</m:t>
              </m:r>
              <m:r>
                <m:t> </m:t>
              </m:r>
              <m:r>
                <m:t>&amp;</m:t>
              </m:r>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nor/>
                      <m:sty m:val="p"/>
                    </m:rPr>
                    <m:t>+</m:t>
                  </m:r>
                </m:den>
              </m:f>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r>
                <m:rPr>
                  <m:sty m:val="p"/>
                </m:rPr>
                <m:t>m</m:t>
              </m:r>
              <m:r>
                <m:rPr>
                  <m:sty m:val="p"/>
                </m:rPr>
                <m:t>e</m:t>
              </m:r>
              <m:r>
                <m:rPr>
                  <m:sty m:val="p"/>
                </m:rPr>
                <m:t>a</m:t>
              </m:r>
              <m:r>
                <m:rPr>
                  <m:sty m:val="p"/>
                </m:rPr>
                <m:t>n</m:t>
              </m:r>
              <m:r>
                <m:rPr>
                  <m:sty m:val="p"/>
                </m:rPr>
                <m:t>F</m:t>
              </m:r>
              <m:r>
                <m:rPr>
                  <m:sty m:val="p"/>
                </m:rPr>
                <m:t>D</m:t>
              </m:r>
            </m:e>
            <m:e>
              <m:r>
                <m:t>&amp;</m:t>
              </m:r>
              <m:r>
                <m:rPr>
                  <m:sty m:val="p"/>
                </m:rPr>
                <m:t>+</m:t>
              </m:r>
              <m:r>
                <m:rPr>
                  <m:sty m:val="p"/>
                </m:rPr>
                <m:t>F</m:t>
              </m:r>
              <m:r>
                <m:rPr>
                  <m:sty m:val="p"/>
                </m:rPr>
                <m:t>W</m:t>
              </m:r>
              <m:r>
                <m:rPr>
                  <m:sty m:val="p"/>
                </m:rPr>
                <m:t>H</m:t>
              </m:r>
              <m:sSub>
                <m:e>
                  <m:r>
                    <m:rPr>
                      <m:sty m:val="p"/>
                    </m:rPr>
                    <m:t>M</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W</m:t>
              </m:r>
              <m:r>
                <m:rPr>
                  <m:sty m:val="p"/>
                </m:rPr>
                <m:t>H</m:t>
              </m:r>
              <m:sSub>
                <m:e>
                  <m:r>
                    <m:rPr>
                      <m:sty m:val="p"/>
                    </m:rPr>
                    <m:t>M</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e>
              <m:r>
                <m:t>&amp;</m:t>
              </m:r>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e>
              <m:r>
                <m:t>&amp;</m:t>
              </m:r>
              <m:r>
                <m:rPr>
                  <m:sty m:val="p"/>
                </m:rPr>
                <m:t>+</m:t>
              </m:r>
              <m:r>
                <m:rPr>
                  <m:sty m:val="p"/>
                </m:rPr>
                <m:t>(</m:t>
              </m:r>
              <m:r>
                <m:t>1</m:t>
              </m:r>
              <m:r>
                <m:rPr>
                  <m:sty m:val="p"/>
                </m:rPr>
                <m:t>|</m:t>
              </m:r>
              <m:r>
                <m:rPr>
                  <m:sty m:val="p"/>
                </m:rPr>
                <m:t>S</m:t>
              </m:r>
              <m:r>
                <m:rPr>
                  <m:sty m:val="p"/>
                </m:rPr>
                <m:t>u</m:t>
              </m:r>
              <m:r>
                <m:rPr>
                  <m:sty m:val="p"/>
                </m:rPr>
                <m:t>b</m:t>
              </m:r>
              <m:r>
                <m:rPr>
                  <m:sty m:val="p"/>
                </m:rPr>
                <m:t>j</m:t>
              </m:r>
              <m:r>
                <m:rPr>
                  <m:sty m:val="p"/>
                </m:rPr>
                <m:t>e</m:t>
              </m:r>
              <m:r>
                <m:rPr>
                  <m:sty m:val="p"/>
                </m:rPr>
                <m:t>c</m:t>
              </m:r>
              <m:r>
                <m:rPr>
                  <m:sty m:val="p"/>
                </m:rPr>
                <m:t>t</m:t>
              </m:r>
              <m:r>
                <m:rPr>
                  <m:sty m:val="p"/>
                </m:rPr>
                <m:t>)</m:t>
              </m:r>
            </m:e>
          </m:eqArr>
        </m:oMath>
      </m:oMathPara>
    </w:p>
    <w:p>
      <w:pPr>
        <w:pStyle w:val="FirstParagraph"/>
      </w:pPr>
      <w:r>
        <w:t xml:space="preserve">A post-hoc calculation of the power of the model was calculated using</w:t>
      </w:r>
      <w:r>
        <w:t xml:space="preserve"> </w:t>
      </w:r>
      <w:r>
        <w:rPr>
          <w:rStyle w:val="VerbatimChar"/>
        </w:rPr>
        <w:t xml:space="preserve">powerSim</w:t>
      </w:r>
      <w:r>
        <w:t xml:space="preserve"> </w:t>
      </w:r>
      <w:r>
        <w:t xml:space="preserve">from the</w:t>
      </w:r>
      <w:r>
        <w:t xml:space="preserve"> </w:t>
      </w:r>
      <w:r>
        <w:rPr>
          <w:rStyle w:val="VerbatimChar"/>
        </w:rPr>
        <w:t xml:space="preserve">simr</w:t>
      </w:r>
      <w:r>
        <w:t xml:space="preserve"> </w:t>
      </w:r>
      <w:r>
        <w:t xml:space="preserve">package using 1,000 simulations.</w:t>
      </w:r>
    </w:p>
    <w:p>
      <w:pPr>
        <w:pStyle w:val="TextBody"/>
      </w:pPr>
      <w:r>
        <w:t xml:space="preserve">Exploratory post hoc analyses were then performed. Difference in the means of H, Glx, and GABA+ between rest and movie conditions were assessed using paired Student’s t-tests</w:t>
      </w:r>
      <w:r>
        <w:rPr>
          <w:vertAlign w:val="superscript"/>
        </w:rPr>
        <w:t xml:space="preserve">120</w:t>
      </w:r>
      <w:r>
        <w:t xml:space="preserve">. Correlations between H and Glx, GABA+ and E:I were calculated using Pearson’s method</w:t>
      </w:r>
      <w:r>
        <w:rPr>
          <w:vertAlign w:val="superscript"/>
        </w:rPr>
        <w:t xml:space="preserve">121</w:t>
      </w:r>
      <w:r>
        <w:t xml:space="preserve">.</w:t>
      </w:r>
    </w:p>
    <w:bookmarkEnd w:id="29"/>
    <w:bookmarkEnd w:id="30"/>
    <w:bookmarkStart w:id="66" w:name="results"/>
    <w:p>
      <w:pPr>
        <w:pStyle w:val="Heading1"/>
      </w:pPr>
      <w:r>
        <w:t xml:space="preserve">3. Results</w:t>
      </w:r>
    </w:p>
    <w:bookmarkStart w:id="35"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18 were included in the final analysis: three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artflow"/>
          <w:p>
            <w:pPr>
              <w:pStyle w:val="Compact"/>
              <w:jc w:val="center"/>
            </w:pPr>
            <w:r>
              <w:drawing>
                <wp:inline>
                  <wp:extent cx="5943600" cy="2547257"/>
                  <wp:effectExtent b="0" l="0" r="0" t="0"/>
                  <wp:docPr descr="" title="" id="32" name="Picture"/>
                  <a:graphic>
                    <a:graphicData uri="http://schemas.openxmlformats.org/drawingml/2006/picture">
                      <pic:pic>
                        <pic:nvPicPr>
                          <pic:cNvPr descr="./images/ParticipantFlow.png" id="33" name="Picture"/>
                          <pic:cNvPicPr>
                            <a:picLocks noChangeArrowheads="1" noChangeAspect="1"/>
                          </pic:cNvPicPr>
                        </pic:nvPicPr>
                        <pic:blipFill>
                          <a:blip r:embed="rId31"/>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18 participants included in the final analysis</w:t>
            </w:r>
          </w:p>
          <w:bookmarkEnd w:id="34"/>
        </w:tc>
      </w:tr>
    </w:tbl>
    <w:p>
      <w:pPr>
        <w:pStyle w:val="TextBody"/>
      </w:pPr>
      <w:r>
        <w:t xml:space="preserve">The final study sample included 8 males and 10 females between ages 21.3 and 53.4, with a mean age and standard deviation of 29.6 ± 8.7 years.</w:t>
      </w:r>
    </w:p>
    <w:bookmarkEnd w:id="35"/>
    <w:bookmarkStart w:id="50" w:name="data-summary"/>
    <w:p>
      <w:pPr>
        <w:pStyle w:val="Heading2"/>
      </w:pPr>
      <w:r>
        <w:t xml:space="preserve">3.2 Data Summary</w:t>
      </w:r>
    </w:p>
    <w:p>
      <w:pPr>
        <w:pStyle w:val="FirstParagraph"/>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 The mean consensus-based inter-subject Dice score for MRS voxel placements was 0.77</w:t>
      </w:r>
      <w:r>
        <w:t xml:space="preserve"> </w:t>
      </w:r>
      <m:oMath>
        <m:r>
          <m:rPr>
            <m:sty m:val="p"/>
          </m:rPr>
          <m:t>±</m:t>
        </m:r>
      </m:oMath>
      <w:r>
        <w:t xml:space="preserve"> </w:t>
      </w:r>
      <w:r>
        <w:t xml:space="preserve">0.14 (range: [0.35, 0.95]).</w:t>
      </w:r>
    </w:p>
    <w:bookmarkStart w:id="40" w:name="cell-fig-mrsquality"/>
    <w:tbl>
      <w:tblPr>
        <w:tblStyle w:val="Table"/>
        <w:tblW w:type="pct" w:w="5000"/>
        <w:tblLayout w:type="fixed"/>
        <w:tblLook w:firstRow="0" w:lastRow="0" w:firstColumn="0" w:lastColumn="0" w:noHBand="0" w:noVBand="0" w:val="0000"/>
      </w:tblPr>
      <w:tblGrid>
        <w:gridCol w:w="7920"/>
      </w:tblGrid>
      <w:tr>
        <w:tc>
          <w:tcPr/>
          <w:bookmarkStart w:id="39" w:name="fig-mrsquality"/>
          <w:p>
            <w:pPr>
              <w:pStyle w:val="Compact"/>
              <w:jc w:val="center"/>
            </w:pPr>
            <w:r>
              <w:drawing>
                <wp:inline>
                  <wp:extent cx="5544151" cy="4620126"/>
                  <wp:effectExtent b="0" l="0" r="0" t="0"/>
                  <wp:docPr descr="" title="" id="37" name="Picture"/>
                  <a:graphic>
                    <a:graphicData uri="http://schemas.openxmlformats.org/drawingml/2006/picture">
                      <pic:pic>
                        <pic:nvPicPr>
                          <pic:cNvPr descr="index_files/figure-docx/fig-mrsquality-1.png" id="38" name="Picture"/>
                          <pic:cNvPicPr>
                            <a:picLocks noChangeArrowheads="1" noChangeAspect="1"/>
                          </pic:cNvPicPr>
                        </pic:nvPicPr>
                        <pic:blipFill>
                          <a:blip r:embed="rId36"/>
                          <a:stretch>
                            <a:fillRect/>
                          </a:stretch>
                        </pic:blipFill>
                        <pic:spPr bwMode="auto">
                          <a:xfrm>
                            <a:off x="0" y="0"/>
                            <a:ext cx="5544151" cy="462012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Colored overlay of the average voxel location across all nineteen participants, from 0 (black) to 1 (white). Brighter yellow represents voxel locations shared by all participants, while darker purple represents voxel locations unique to participants. MRS voxels were registered to MNI space and averaged. Underlay is T1w MNI152 at 0.5 mm resolution. B) Sample Osprey sLASER Spectrum. Red spectrum indicates overall model fit. Model fits for individual metabolites are shown in blue below overall fit. C) Sample Osprey MEGA-PRESS Spectrum. Yellow spectrum indicates overall model fit. Model fits for individual metabolites are shown in blue below overall fit.</w:t>
            </w:r>
          </w:p>
          <w:bookmarkEnd w:id="39"/>
        </w:tc>
      </w:tr>
    </w:tbl>
    <w:bookmarkEnd w:id="40"/>
    <w:p>
      <w:pPr>
        <w:pStyle w:val="TextBody"/>
      </w:pPr>
      <w:r>
        <w:t xml:space="preserve">Average water FWHM, creatine SNR, and frequency shift are reported in Supplementary Material</w:t>
      </w:r>
      <w:r>
        <w:t xml:space="preserve"> </w:t>
      </w:r>
      <w:hyperlink w:anchor="supptbl-quality">
        <w:r>
          <w:rPr>
            <w:rStyle w:val="InternetLink"/>
          </w:rPr>
          <w:t xml:space="preserve">Table S1</w:t>
        </w:r>
      </w:hyperlink>
      <w:r>
        <w:t xml:space="preserve">.</w:t>
      </w:r>
    </w:p>
    <w:p>
      <w:pPr>
        <w:pStyle w:val="TextBody"/>
      </w:pPr>
      <w:r>
        <w:t xml:space="preserve">Average voxel rotation along the x-axis, along with average tissue fractions are reported in Supplementary Material</w:t>
      </w:r>
      <w:r>
        <w:t xml:space="preserve"> </w:t>
      </w:r>
      <w:hyperlink w:anchor="supptbl-singlevoxel">
        <w:r>
          <w:rPr>
            <w:rStyle w:val="InternetLink"/>
          </w:rPr>
          <w:t xml:space="preserve">Table S2</w:t>
        </w:r>
      </w:hyperlink>
      <w:r>
        <w:t xml:space="preserve">.</w:t>
      </w:r>
    </w:p>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bookmarkStart w:id="45" w:name="cell-fig-hurstsamp"/>
    <w:tbl>
      <w:tblPr>
        <w:tblStyle w:val="Table"/>
        <w:tblW w:type="pct" w:w="5000"/>
        <w:tblLayout w:type="fixed"/>
        <w:tblLook w:firstRow="0" w:lastRow="0" w:firstColumn="0" w:lastColumn="0" w:noHBand="0" w:noVBand="0" w:val="0000"/>
      </w:tblPr>
      <w:tblGrid>
        <w:gridCol w:w="7920"/>
      </w:tblGrid>
      <w:tr>
        <w:tc>
          <w:tcPr/>
          <w:bookmarkStart w:id="44" w:name="fig-hurstsamp"/>
          <w:p>
            <w:pPr>
              <w:pStyle w:val="Compact"/>
              <w:jc w:val="center"/>
            </w:pPr>
            <w:r>
              <w:drawing>
                <wp:inline>
                  <wp:extent cx="5544151" cy="5544151"/>
                  <wp:effectExtent b="0" l="0" r="0" t="0"/>
                  <wp:docPr descr="" title="" id="42" name="Picture"/>
                  <a:graphic>
                    <a:graphicData uri="http://schemas.openxmlformats.org/drawingml/2006/picture">
                      <pic:pic>
                        <pic:nvPicPr>
                          <pic:cNvPr descr="index_files/figure-docx/fig-hurstsamp-1.png" id="43" name="Picture"/>
                          <pic:cNvPicPr>
                            <a:picLocks noChangeArrowheads="1" noChangeAspect="1"/>
                          </pic:cNvPicPr>
                        </pic:nvPicPr>
                        <pic:blipFill>
                          <a:blip r:embed="rId41"/>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w:t>
            </w:r>
          </w:p>
          <w:bookmarkEnd w:id="44"/>
        </w:tc>
      </w:tr>
    </w:tbl>
    <w:bookmarkEnd w:id="45"/>
    <w:p>
      <w:pPr>
        <w:pStyle w:val="TextBody"/>
      </w:pPr>
      <w:hyperlink w:anchor="fig-averagehurst">
        <w:r>
          <w:rPr>
            <w:rStyle w:val="InternetLink"/>
          </w:rPr>
          <w:t xml:space="preserve">Figure 5</w:t>
        </w:r>
      </w:hyperlink>
      <w:r>
        <w:t xml:space="preserve"> </w:t>
      </w:r>
      <w:r>
        <w:t xml:space="preserve">shows the average Hurst maps during rest and movie watching.</w:t>
      </w:r>
    </w:p>
    <w:tbl>
      <w:tblPr>
        <w:tblStyle w:val="Table"/>
        <w:tblW w:type="pct" w:w="5000"/>
        <w:tblLayout w:type="fixed"/>
        <w:tblLook w:firstRow="0" w:lastRow="0" w:firstColumn="0" w:lastColumn="0" w:noHBand="0" w:noVBand="0" w:val="0000"/>
      </w:tblPr>
      <w:tblGrid>
        <w:gridCol w:w="7920"/>
      </w:tblGrid>
      <w:tr>
        <w:tc>
          <w:tcPr/>
          <w:bookmarkStart w:id="49" w:name="fig-averagehurst"/>
          <w:p>
            <w:pPr>
              <w:pStyle w:val="Compact"/>
              <w:jc w:val="center"/>
            </w:pPr>
            <w:r>
              <w:drawing>
                <wp:inline>
                  <wp:extent cx="4754880" cy="3572639"/>
                  <wp:effectExtent b="0" l="0" r="0" t="0"/>
                  <wp:docPr descr="" title="" id="47" name="Picture"/>
                  <a:graphic>
                    <a:graphicData uri="http://schemas.openxmlformats.org/drawingml/2006/picture">
                      <pic:pic>
                        <pic:nvPicPr>
                          <pic:cNvPr descr="./images/RestMovieHurstAverage.png" id="48" name="Picture"/>
                          <pic:cNvPicPr>
                            <a:picLocks noChangeArrowheads="1" noChangeAspect="1"/>
                          </pic:cNvPicPr>
                        </pic:nvPicPr>
                        <pic:blipFill>
                          <a:blip r:embed="rId46"/>
                          <a:stretch>
                            <a:fillRect/>
                          </a:stretch>
                        </pic:blipFill>
                        <pic:spPr bwMode="auto">
                          <a:xfrm>
                            <a:off x="0" y="0"/>
                            <a:ext cx="4754880" cy="3572639"/>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5</w:t>
            </w:r>
            <w:r>
              <w:rPr>
                <w:b/>
                <w:bCs/>
              </w:rPr>
              <w:t xml:space="preserve">.</w:t>
            </w:r>
            <w:r>
              <w:t xml:space="preserve"> </w:t>
            </w:r>
            <w:r>
              <w:rPr>
                <w:b/>
                <w:bCs/>
              </w:rPr>
              <w:t xml:space="preserve">Average Hurst maps for rest and movie conditions</w:t>
            </w:r>
            <w:r>
              <w:t xml:space="preserve"> </w:t>
            </w:r>
            <w:r>
              <w:t xml:space="preserve">Group averaged maps of the Hurst exponent computed to visualize whole-brain patterns across sessions: rest (top) and movie watching (bottom.)</w:t>
            </w:r>
          </w:p>
          <w:bookmarkEnd w:id="49"/>
        </w:tc>
      </w:tr>
    </w:tbl>
    <w:bookmarkEnd w:id="50"/>
    <w:bookmarkStart w:id="51" w:name="linear-mixed-effects-model-h-and-ei"/>
    <w:p>
      <w:pPr>
        <w:pStyle w:val="Heading2"/>
      </w:pPr>
      <w:r>
        <w:t xml:space="preserve">3.3 Linear-mixed effects model: H and E:I</w:t>
      </w:r>
    </w:p>
    <w:p>
      <w:pPr>
        <w:pStyle w:val="FirstParagraph"/>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0.79), with fixed effects (marginal r</w:t>
      </w:r>
      <w:r>
        <w:rPr>
          <w:vertAlign w:val="superscript"/>
        </w:rPr>
        <w:t xml:space="preserve">2</w:t>
      </w:r>
      <w:r>
        <w:t xml:space="preserve">) equal to 0.22. The model’s intercept, corresponding to EI = 0, Condition = Movie, FWHM</w:t>
      </w:r>
      <w:r>
        <w:rPr>
          <w:vertAlign w:val="subscript"/>
        </w:rPr>
        <w:t xml:space="preserve">sLASER</w:t>
      </w:r>
      <w:r>
        <w:t xml:space="preserve"> </w:t>
      </w:r>
      <w:r>
        <w:t xml:space="preserve">= 0, FWHM</w:t>
      </w:r>
      <w:r>
        <w:rPr>
          <w:vertAlign w:val="subscript"/>
        </w:rPr>
        <w:t xml:space="preserve">MEGA-PRESS</w:t>
      </w:r>
      <w:r>
        <w:t xml:space="preserve"> </w:t>
      </w:r>
      <w:r>
        <w:t xml:space="preserve">= 0, FreqShift</w:t>
      </w:r>
      <w:r>
        <w:rPr>
          <w:vertAlign w:val="subscript"/>
        </w:rPr>
        <w:t xml:space="preserve">sLASER</w:t>
      </w:r>
      <w:r>
        <w:t xml:space="preserve"> </w:t>
      </w:r>
      <w:r>
        <w:t xml:space="preserve">= 0, FreqShift</w:t>
      </w:r>
      <w:r>
        <w:rPr>
          <w:vertAlign w:val="subscript"/>
        </w:rPr>
        <w:t xml:space="preserve">MEGA-PRESS</w:t>
      </w:r>
      <w:r>
        <w:t xml:space="preserve"> </w:t>
      </w:r>
      <w:r>
        <w:t xml:space="preserve">= 0, and meanFD = 0, was 1.3 (95%</w:t>
      </w:r>
      <w:r>
        <w:t xml:space="preserve"> </w:t>
      </w:r>
      <w:r>
        <w:t xml:space="preserve">CI [0.66, 1.95], t(26) = 3.95, p &lt; 0.01).</w:t>
      </w:r>
    </w:p>
    <w:p>
      <w:pPr>
        <w:pStyle w:val="TextBody"/>
      </w:pPr>
      <w:r>
        <w:t xml:space="preserve">Among the fixed effects, only the effect of Condition [Rest] (beta = -0.07, 95% CI [-0.11, -0.02], t(26) = -2.84, p = 0.02); and Frequency Shift (sLASER) (beta = 0.03, 95% CI [0.01, 0.06], t(26) = 2.31, p = 0.05) were statistically significant. All other predictors — including E:I (beta = 0.07, 95% CI [-0.05, 0.19], t(26) = 1.12, p = 0.28);</w:t>
      </w:r>
      <w:r>
        <w:t xml:space="preserve"> </w:t>
      </w:r>
      <w:r>
        <w:t xml:space="preserve">along with FWHM</w:t>
      </w:r>
      <w:r>
        <w:rPr>
          <w:vertAlign w:val="subscript"/>
        </w:rPr>
        <w:t xml:space="preserve">MEGA-PRESS</w:t>
      </w:r>
      <w:r>
        <w:t xml:space="preserve"> </w:t>
      </w:r>
      <w:r>
        <w:t xml:space="preserve">(beta = 0.01, 95% CI [-0.05, 0.07], t(26) = 0.28, p = 0.78);</w:t>
      </w:r>
      <w:r>
        <w:t xml:space="preserve"> </w:t>
      </w:r>
      <w:r>
        <w:t xml:space="preserve">FWHM</w:t>
      </w:r>
      <w:r>
        <w:rPr>
          <w:vertAlign w:val="subscript"/>
        </w:rPr>
        <w:t xml:space="preserve">sLASER</w:t>
      </w:r>
      <w:r>
        <w:t xml:space="preserve"> </w:t>
      </w:r>
      <w:r>
        <w:t xml:space="preserve">(beta = -0.02, 95% CI [-0.09, 0.05], t(26) = -0.58, p = 0.57);</w:t>
      </w:r>
      <w:r>
        <w:t xml:space="preserve"> </w:t>
      </w:r>
      <w:r>
        <w:t xml:space="preserve">FreqShift</w:t>
      </w:r>
      <w:r>
        <w:rPr>
          <w:vertAlign w:val="subscript"/>
        </w:rPr>
        <w:t xml:space="preserve">MEGA-PRESS</w:t>
      </w:r>
      <w:r>
        <w:t xml:space="preserve"> </w:t>
      </w:r>
      <w:r>
        <w:t xml:space="preserve">(beta = 0.03, 95% CI [-0.01, 0.06], t(26) = 1.56, p = 0.14);</w:t>
      </w:r>
      <w:r>
        <w:t xml:space="preserve"> </w:t>
      </w:r>
      <w:r>
        <w:t xml:space="preserve">FreqShift</w:t>
      </w:r>
      <w:r>
        <w:rPr>
          <w:vertAlign w:val="subscript"/>
        </w:rPr>
        <w:t xml:space="preserve">sLASER</w:t>
      </w:r>
      <w:r>
        <w:t xml:space="preserve"> </w:t>
      </w:r>
      <w:r>
        <w:t xml:space="preserve">(beta = 0.03, 95% CI [0.01, 0.06], t(26) = 2.31, p = 0.05);</w:t>
      </w:r>
      <w:r>
        <w:t xml:space="preserve"> </w:t>
      </w:r>
      <w:r>
        <w:t xml:space="preserve">and meanFD (beta = -0.59, 95% CI [-2.14, 0.96], t(26) = -0.75, p = 0.46) — were not statistically significant.</w:t>
      </w:r>
    </w:p>
    <w:bookmarkEnd w:id="51"/>
    <w:bookmarkStart w:id="64" w:name="post-hoc-analyses"/>
    <w:p>
      <w:pPr>
        <w:pStyle w:val="Heading2"/>
      </w:pPr>
      <w:r>
        <w:t xml:space="preserve">3.4 Post-hoc analyses</w:t>
      </w:r>
    </w:p>
    <w:p>
      <w:pPr>
        <w:pStyle w:val="FirstParagraph"/>
      </w:pPr>
      <w:r>
        <w:t xml:space="preserve">Diagnostics of our linear-mixed effects model can be found in the Supplementary Materials (</w:t>
      </w:r>
      <w:hyperlink w:anchor="suppfig-lmemdiag">
        <w:r>
          <w:rPr>
            <w:rStyle w:val="InternetLink"/>
          </w:rPr>
          <w:t xml:space="preserve">Figure S1</w:t>
        </w:r>
      </w:hyperlink>
      <w:r>
        <w:t xml:space="preserve">;</w:t>
      </w:r>
      <w:r>
        <w:t xml:space="preserve"> </w:t>
      </w:r>
      <w:hyperlink w:anchor="supptbl-spearmanresults">
        <w:r>
          <w:rPr>
            <w:rStyle w:val="InternetLink"/>
          </w:rPr>
          <w:t xml:space="preserve">Table S3</w:t>
        </w:r>
      </w:hyperlink>
      <w:r>
        <w:t xml:space="preserve">; and</w:t>
      </w:r>
      <w:r>
        <w:t xml:space="preserve"> </w:t>
      </w:r>
      <w:hyperlink w:anchor="supptbl-robusteffects">
        <w:r>
          <w:rPr>
            <w:rStyle w:val="InternetLink"/>
          </w:rPr>
          <w:t xml:space="preserve">Table S4</w:t>
        </w:r>
      </w:hyperlink>
      <w:r>
        <w:t xml:space="preserve">)</w:t>
      </w:r>
    </w:p>
    <w:p>
      <w:pPr>
        <w:pStyle w:val="TextBody"/>
      </w:pPr>
      <w:r>
        <w:t xml:space="preserve">To calculate the post-hoc power of our model, we required an effect size. While</w:t>
      </w:r>
      <w:r>
        <w:t xml:space="preserve"> </w:t>
      </w:r>
      <w:r>
        <w:rPr>
          <w:i/>
          <w:iCs/>
        </w:rPr>
        <w:t xml:space="preserve">in silico</w:t>
      </w:r>
      <w:r>
        <w:t xml:space="preserve"> </w:t>
      </w:r>
      <w:r>
        <w:t xml:space="preserve">and animal studies indicate that changes in E:I ratio influence the Hurst exponent</w:t>
      </w:r>
      <w:r>
        <w:rPr>
          <w:vertAlign w:val="superscript"/>
        </w:rPr>
        <w:t xml:space="preserve">11</w:t>
      </w:r>
      <w:r>
        <w:t xml:space="preserve">, these models do not provide standardized effect sizes, and translation to human neuroimaging remains uncertain. Therefore, we used several effect sizes, and report here the power of each. The effect sizes we used to calculate power were: the value calculated from our model (beta = 0.07); and beta values two and three times that size: 0.14 and 0.21.</w:t>
      </w:r>
      <w:r>
        <w:t xml:space="preserve"> </w:t>
      </w:r>
      <w:r>
        <w:t xml:space="preserve">As a reminder, beta represents the increase of H by that amount per every increase of E:I by 1.</w:t>
      </w:r>
      <w:r>
        <w:t xml:space="preserve"> </w:t>
      </w:r>
      <w:r>
        <w:t xml:space="preserve">The power for these effect sizes were 25.7%, 64.2%, and 93%, respectively.</w:t>
      </w:r>
    </w:p>
    <w:p>
      <w:pPr>
        <w:pStyle w:val="TextBody"/>
      </w:pPr>
      <w:r>
        <w:t xml:space="preserve">Furthermore, as our spectroscopy quality metrics could be highly correlated with each other (e.g., FWHM measures from the two sequences, or frequency shifts), we checked variance inflation factors (VIFs) to ensure all values were &lt; 5 (generally acceptable). VIFs were: EI = 1.24, Condition = 1.55, FWHMsLASER = 1.76, FWHMMEGA = 1.45, FreqShiftsLASER = 1.15, FreqShiftMEGA = 1.48, and MeanFD = 1.28.</w:t>
      </w:r>
    </w:p>
    <w:p>
      <w:pPr>
        <w:pStyle w:val="TextBody"/>
      </w:pPr>
      <w:r>
        <w:t xml:space="preserve">Mean ± sd of the main metabolites, their Cramer-Rao lower bounds,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6</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52"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9.84 ± 1.06</w:t>
                  </w:r>
                </w:p>
              </w:tc>
              <w:tc>
                <w:tcPr/>
                <w:p>
                  <w:pPr>
                    <w:pStyle w:val="Compact"/>
                    <w:jc w:val="center"/>
                  </w:pPr>
                  <w:r>
                    <w:t xml:space="preserve">10.04 ± 0.79</w:t>
                  </w:r>
                </w:p>
              </w:tc>
              <w:tc>
                <w:tcPr/>
                <w:p>
                  <w:pPr>
                    <w:pStyle w:val="Compact"/>
                    <w:jc w:val="center"/>
                  </w:pPr>
                  <w:r>
                    <w:t xml:space="preserve">0.26</w:t>
                  </w:r>
                </w:p>
              </w:tc>
            </w:tr>
            <w:tr>
              <w:tc>
                <w:tcPr/>
                <w:p>
                  <w:pPr>
                    <w:pStyle w:val="Compact"/>
                    <w:jc w:val="center"/>
                  </w:pPr>
                  <w:r>
                    <w:rPr>
                      <w:b/>
                      <w:bCs/>
                    </w:rPr>
                    <w:t xml:space="preserve">GABA+</w:t>
                  </w:r>
                </w:p>
              </w:tc>
              <w:tc>
                <w:tcPr/>
                <w:p>
                  <w:pPr>
                    <w:pStyle w:val="Compact"/>
                    <w:jc w:val="center"/>
                  </w:pPr>
                  <w:r>
                    <w:t xml:space="preserve">5.48 ± 0.77</w:t>
                  </w:r>
                </w:p>
              </w:tc>
              <w:tc>
                <w:tcPr/>
                <w:p>
                  <w:pPr>
                    <w:pStyle w:val="Compact"/>
                    <w:jc w:val="center"/>
                  </w:pPr>
                  <w:r>
                    <w:t xml:space="preserve">5.23 ± 0.71</w:t>
                  </w:r>
                </w:p>
              </w:tc>
              <w:tc>
                <w:tcPr/>
                <w:p>
                  <w:pPr>
                    <w:pStyle w:val="Compact"/>
                    <w:jc w:val="center"/>
                  </w:pPr>
                  <w:r>
                    <w:t xml:space="preserve">0.17</w:t>
                  </w:r>
                </w:p>
              </w:tc>
            </w:tr>
            <w:tr>
              <w:tc>
                <w:tcPr/>
                <w:p>
                  <w:pPr>
                    <w:pStyle w:val="Compact"/>
                    <w:jc w:val="center"/>
                  </w:pPr>
                  <w:r>
                    <w:rPr>
                      <w:b/>
                      <w:bCs/>
                    </w:rPr>
                    <w:t xml:space="preserve">E:I Ratio</w:t>
                  </w:r>
                </w:p>
              </w:tc>
              <w:tc>
                <w:tcPr/>
                <w:p>
                  <w:pPr>
                    <w:pStyle w:val="Compact"/>
                    <w:jc w:val="center"/>
                  </w:pPr>
                  <w:r>
                    <w:t xml:space="preserve">1.82 ± 0.25</w:t>
                  </w:r>
                </w:p>
              </w:tc>
              <w:tc>
                <w:tcPr/>
                <w:p>
                  <w:pPr>
                    <w:pStyle w:val="Compact"/>
                    <w:jc w:val="center"/>
                  </w:pPr>
                  <w:r>
                    <w:t xml:space="preserve">1.94 ± 0.25</w:t>
                  </w:r>
                </w:p>
              </w:tc>
              <w:tc>
                <w:tcPr/>
                <w:p>
                  <w:pPr>
                    <w:pStyle w:val="Compact"/>
                    <w:jc w:val="center"/>
                  </w:pPr>
                  <w:r>
                    <w:t xml:space="preserve">0.08</w:t>
                  </w:r>
                </w:p>
              </w:tc>
            </w:tr>
            <w:tr>
              <w:tc>
                <w:tcPr/>
                <w:p>
                  <w:pPr>
                    <w:pStyle w:val="Compact"/>
                    <w:jc w:val="center"/>
                  </w:pPr>
                  <w:r>
                    <w:rPr>
                      <w:b/>
                      <w:bCs/>
                    </w:rPr>
                    <w:t xml:space="preserve">H</w:t>
                  </w:r>
                </w:p>
              </w:tc>
              <w:tc>
                <w:tcPr/>
                <w:p>
                  <w:pPr>
                    <w:pStyle w:val="Compact"/>
                    <w:jc w:val="center"/>
                  </w:pPr>
                  <w:r>
                    <w:t xml:space="preserve">0.98 ± 0.98</w:t>
                  </w:r>
                </w:p>
              </w:tc>
              <w:tc>
                <w:tcPr/>
                <w:p>
                  <w:pPr>
                    <w:pStyle w:val="Compact"/>
                    <w:jc w:val="center"/>
                  </w:pPr>
                  <w:r>
                    <w:t xml:space="preserve">1.05 ± 1.05</w:t>
                  </w:r>
                </w:p>
              </w:tc>
              <w:tc>
                <w:tcPr/>
                <w:p>
                  <w:pPr>
                    <w:pStyle w:val="Compact"/>
                    <w:jc w:val="center"/>
                  </w:pPr>
                  <w:r>
                    <w:t xml:space="preserve">&lt; 0.01</w:t>
                  </w:r>
                </w:p>
              </w:tc>
            </w:tr>
          </w:tbl>
          <w:p>
            <w:pPr>
              <w:jc w:val="center"/>
            </w:pPr>
            <w:pPr>
              <w:jc w:val="left"/>
              <w:spacing w:before="200"/>
              <w:pStyle w:val="ImageCaption"/>
            </w:pPr>
            <w:r>
              <w:rPr>
                <w:b/>
                <w:bCs/>
              </w:rPr>
              <w:t xml:space="preserve">Table</w:t>
            </w:r>
            <w:r>
              <w:t xml:space="preserve"> 2</w:t>
            </w:r>
            <w:r>
              <w:rPr>
                <w:b/>
                <w:bCs/>
              </w:rPr>
              <w:t xml:space="preserve">.</w:t>
            </w:r>
            <w:r>
              <w:t xml:space="preserve"> </w:t>
            </w:r>
            <w:r>
              <w:rPr>
                <w:b/>
                <w:bCs/>
              </w:rPr>
              <w:t xml:space="preserve">Summary of main measures</w:t>
            </w:r>
            <w:r>
              <w:t xml:space="preserve"> </w:t>
            </w:r>
            <w:r>
              <w:t xml:space="preserve">Glx and GABA+ values are in millimoles.</w:t>
            </w:r>
          </w:p>
          <w:bookmarkEnd w:id="52"/>
        </w:tc>
      </w:tr>
    </w:tbl>
    <w:bookmarkStart w:id="57" w:name="cell-fig-results"/>
    <w:tbl>
      <w:tblPr>
        <w:tblStyle w:val="Table"/>
        <w:tblW w:type="pct" w:w="5000"/>
        <w:tblLayout w:type="fixed"/>
        <w:tblLook w:firstRow="0" w:lastRow="0" w:firstColumn="0" w:lastColumn="0" w:noHBand="0" w:noVBand="0" w:val="0000"/>
      </w:tblPr>
      <w:tblGrid>
        <w:gridCol w:w="7920"/>
      </w:tblGrid>
      <w:tr>
        <w:tc>
          <w:tcPr/>
          <w:bookmarkStart w:id="56" w:name="fig-results"/>
          <w:p>
            <w:pPr>
              <w:pStyle w:val="Compact"/>
              <w:jc w:val="center"/>
            </w:pPr>
            <w:r>
              <w:drawing>
                <wp:inline>
                  <wp:extent cx="5943600" cy="4754880"/>
                  <wp:effectExtent b="0" l="0" r="0" t="0"/>
                  <wp:docPr descr="" title="" id="54" name="Picture"/>
                  <a:graphic>
                    <a:graphicData uri="http://schemas.openxmlformats.org/drawingml/2006/picture">
                      <pic:pic>
                        <pic:nvPicPr>
                          <pic:cNvPr descr="index_files/figure-docx/fig-results-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6</w:t>
            </w:r>
            <w:r>
              <w:rPr>
                <w:b/>
                <w:bCs/>
              </w:rPr>
              <w:t xml:space="preserve">.</w:t>
            </w:r>
            <w:r>
              <w:t xml:space="preserve"> </w:t>
            </w:r>
            <w:r>
              <w:rPr>
                <w:b/>
                <w:bCs/>
              </w:rPr>
              <w:t xml:space="preserve">Paired comparison of metabolite values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56"/>
        </w:tc>
      </w:tr>
    </w:tbl>
    <w:bookmarkEnd w:id="57"/>
    <w:p>
      <w:pPr>
        <w:pStyle w:val="TextBody"/>
      </w:pPr>
      <w:r>
        <w:t xml:space="preserve">H was not found to correlate with Glx, GABA+, or E:I, during rest or movie (</w:t>
      </w:r>
      <w:hyperlink w:anchor="fig-correlations">
        <w:r>
          <w:rPr>
            <w:rStyle w:val="InternetLink"/>
          </w:rPr>
          <w:t xml:space="preserve">Figure 7</w:t>
        </w:r>
      </w:hyperlink>
      <w:r>
        <w:t xml:space="preserve">).</w:t>
      </w:r>
      <w:r>
        <w:t xml:space="preserve"> </w:t>
      </w:r>
    </w:p>
    <w:bookmarkStart w:id="62" w:name="cell-fig-correlations"/>
    <w:tbl>
      <w:tblPr>
        <w:tblStyle w:val="Table"/>
        <w:tblW w:type="pct" w:w="5000"/>
        <w:tblLayout w:type="fixed"/>
        <w:tblLook w:firstRow="0" w:lastRow="0" w:firstColumn="0" w:lastColumn="0" w:noHBand="0" w:noVBand="0" w:val="0000"/>
      </w:tblPr>
      <w:tblGrid>
        <w:gridCol w:w="7920"/>
      </w:tblGrid>
      <w:tr>
        <w:tc>
          <w:tcPr/>
          <w:bookmarkStart w:id="61" w:name="fig-correlations"/>
          <w:p>
            <w:pPr>
              <w:pStyle w:val="Compact"/>
              <w:jc w:val="center"/>
            </w:pPr>
            <w:r>
              <w:drawing>
                <wp:inline>
                  <wp:extent cx="5943600" cy="5094514"/>
                  <wp:effectExtent b="0" l="0" r="0" t="0"/>
                  <wp:docPr descr="" title="" id="59" name="Picture"/>
                  <a:graphic>
                    <a:graphicData uri="http://schemas.openxmlformats.org/drawingml/2006/picture">
                      <pic:pic>
                        <pic:nvPicPr>
                          <pic:cNvPr descr="index_files/figure-docx/fig-correlations-1.png" id="60" name="Picture"/>
                          <pic:cNvPicPr>
                            <a:picLocks noChangeArrowheads="1" noChangeAspect="1"/>
                          </pic:cNvPicPr>
                        </pic:nvPicPr>
                        <pic:blipFill>
                          <a:blip r:embed="rId58"/>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7</w:t>
            </w:r>
            <w:r>
              <w:rPr>
                <w:b/>
                <w:bCs/>
              </w:rPr>
              <w:t xml:space="preserve">.</w:t>
            </w:r>
            <w:r>
              <w:t xml:space="preserve"> </w:t>
            </w:r>
            <w:r>
              <w:rPr>
                <w:b/>
                <w:bCs/>
              </w:rPr>
              <w:t xml:space="preserve">Scatter plots of H vs. metabolites.</w:t>
            </w:r>
            <w:r>
              <w:t xml:space="preserve"> </w:t>
            </w:r>
            <w:r>
              <w:t xml:space="preserve">A) Glx (mM); B) GABA+ (mM); and C) E:I. Rest is in green, while movie is in orange. p-values are reported at the top of each plot.</w:t>
            </w:r>
          </w:p>
          <w:bookmarkEnd w:id="61"/>
        </w:tc>
      </w:tr>
    </w:tbl>
    <w:bookmarkEnd w:id="62"/>
    <w:bookmarkStart w:id="63" w:name="data-quality"/>
    <w:p>
      <w:pPr>
        <w:pStyle w:val="Heading3"/>
      </w:pPr>
      <w:r>
        <w:t xml:space="preserve">3.4.1 Data quality</w:t>
      </w:r>
    </w:p>
    <w:p>
      <w:pPr>
        <w:pStyle w:val="FirstParagraph"/>
      </w:pPr>
      <w:r>
        <w:t xml:space="preserve">Mean FD was not correlated with H during rest (r = -0.33, p = 0.18) but was moderately negatively correlated with H during movie watching (r = -0.49, p = 0.04; see Supplementary Materials</w:t>
      </w:r>
      <w:r>
        <w:t xml:space="preserve"> </w:t>
      </w:r>
      <w:hyperlink w:anchor="suppfig-dataquality">
        <w:r>
          <w:rPr>
            <w:rStyle w:val="InternetLink"/>
          </w:rPr>
          <w:t xml:space="preserve">Figure S2</w:t>
        </w:r>
      </w:hyperlink>
      <w:r>
        <w:t xml:space="preserve"> </w:t>
      </w:r>
      <w:r>
        <w:t xml:space="preserve">A).</w:t>
      </w:r>
    </w:p>
    <w:p>
      <w:pPr>
        <w:pStyle w:val="TextBody"/>
      </w:pPr>
      <w:r>
        <w:t xml:space="preserve">Glx and GABA+ were tested for associations with FWHM values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B and C). Glx and GABA+ were tested for associations with frequency shift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D and E).</w:t>
      </w:r>
    </w:p>
    <w:p>
      <w:pPr>
        <w:pStyle w:val="TextBody"/>
      </w:pPr>
      <w:r>
        <w:t xml:space="preserve">Water FWHM and creatine SNR (CR-SNR) for both sLASER and MEGA-PRESS were analyzed pre- vs. post-fMRI. Supplementary</w:t>
      </w:r>
      <w:r>
        <w:t xml:space="preserve"> </w:t>
      </w:r>
      <w:hyperlink w:anchor="supptbl-FWHMprepost">
        <w:r>
          <w:rPr>
            <w:rStyle w:val="InternetLink"/>
          </w:rPr>
          <w:t xml:space="preserve">Table S7</w:t>
        </w:r>
      </w:hyperlink>
      <w:r>
        <w:t xml:space="preserve">,</w:t>
      </w:r>
      <w:r>
        <w:t xml:space="preserve"> </w:t>
      </w:r>
      <w:hyperlink w:anchor="supptbl-CRSNR">
        <w:r>
          <w:rPr>
            <w:rStyle w:val="InternetLink"/>
          </w:rPr>
          <w:t xml:space="preserve">Table S8</w:t>
        </w:r>
      </w:hyperlink>
      <w:r>
        <w:t xml:space="preserve">, and</w:t>
      </w:r>
      <w:r>
        <w:t xml:space="preserve"> </w:t>
      </w:r>
      <w:hyperlink w:anchor="supptbl-FWHMCRSNR">
        <w:r>
          <w:rPr>
            <w:rStyle w:val="InternetLink"/>
          </w:rPr>
          <w:t xml:space="preserve">Table S9</w:t>
        </w:r>
      </w:hyperlink>
      <w:r>
        <w:t xml:space="preserve"> </w:t>
      </w:r>
      <w:r>
        <w:t xml:space="preserve">present the paired t-tests and subject-level rest/movie values, while Supplementary</w:t>
      </w:r>
      <w:r>
        <w:t xml:space="preserve"> </w:t>
      </w:r>
      <w:hyperlink w:anchor="suppfig-fwhmdriftplot">
        <w:r>
          <w:rPr>
            <w:rStyle w:val="InternetLink"/>
          </w:rPr>
          <w:t xml:space="preserve">Figure S3</w:t>
        </w:r>
      </w:hyperlink>
      <w:r>
        <w:t xml:space="preserve"> </w:t>
      </w:r>
      <w:r>
        <w:t xml:space="preserve">show the individual trajectories. No systematic drifts were detected (all p &gt; 0.2 for FWHM; p &gt; 0.3 for SNR).</w:t>
      </w:r>
      <w:r>
        <w:t xml:space="preserve"> </w:t>
      </w:r>
      <w:r>
        <w:t xml:space="preserve"> </w:t>
      </w:r>
      <w:r>
        <w:t xml:space="preserve">Furthermore, a group averaged plot of the frequency shift between rest and movie can be found in the Supplementary Materials (</w:t>
      </w:r>
      <w:hyperlink w:anchor="suppfig-frequencyshift">
        <w:r>
          <w:rPr>
            <w:rStyle w:val="InternetLink"/>
          </w:rPr>
          <w:t xml:space="preserve">Figure S4</w:t>
        </w:r>
      </w:hyperlink>
      <w:r>
        <w:t xml:space="preserve">).</w:t>
      </w:r>
    </w:p>
    <w:bookmarkEnd w:id="63"/>
    <w:bookmarkEnd w:id="64"/>
    <w:bookmarkStart w:id="65" w:name="re-analysis-using-gannet-1"/>
    <w:p>
      <w:pPr>
        <w:pStyle w:val="Heading2"/>
      </w:pPr>
      <w:r>
        <w:t xml:space="preserve">3.5 Re-analysis using Gannet</w:t>
      </w:r>
    </w:p>
    <w:p>
      <w:pPr>
        <w:pStyle w:val="FirstParagraph"/>
      </w:pPr>
      <w:r>
        <w:t xml:space="preserve">The re-analysis of our results using only the MEGA-PRESS sequence and</w:t>
      </w:r>
      <w:r>
        <w:t xml:space="preserve"> </w:t>
      </w:r>
      <w:r>
        <w:rPr>
          <w:rStyle w:val="VerbatimChar"/>
        </w:rPr>
        <w:t xml:space="preserve">Gannet</w:t>
      </w:r>
      <w:r>
        <w:t xml:space="preserve"> </w:t>
      </w:r>
      <w:r>
        <w:t xml:space="preserve">did not result in any significant changes from the results reported above. We have included these results in the Supplementary Material.</w:t>
      </w:r>
    </w:p>
    <w:bookmarkEnd w:id="65"/>
    <w:bookmarkEnd w:id="66"/>
    <w:bookmarkStart w:id="70" w:name="discussion"/>
    <w:p>
      <w:pPr>
        <w:pStyle w:val="Heading1"/>
      </w:pPr>
      <w:r>
        <w:t xml:space="preserve">4. Discussion</w:t>
      </w:r>
    </w:p>
    <w:p>
      <w:pPr>
        <w:pStyle w:val="FirstParagraph"/>
      </w:pPr>
      <w:r>
        <w:t xml:space="preserve">This study provides the first</w:t>
      </w:r>
      <w:r>
        <w:t xml:space="preserve"> </w:t>
      </w:r>
      <w:r>
        <w:rPr>
          <w:i/>
          <w:iCs/>
        </w:rPr>
        <w:t xml:space="preserve">in vivo</w:t>
      </w:r>
      <w:r>
        <w:t xml:space="preserve"> </w:t>
      </w:r>
      <w:r>
        <w:t xml:space="preserve">human investigation of the relationship between H and the E:I ratio, measured using fMRI and MRS-derived glutamate and GABA levels, respectively. No association was observed between H and E:I, suggesting that these indices may reflect distinct dimensions of neural dynamics. During movie-watching, H increased relative to rest, consistent with stronger long-range temporal dependencies in BOLD activity during visual stimulation. In contrast, Glx, GABA+, and their ratio (E:I) remained stable across conditions. These results indicate that functional signal complexity, as indexed by H, is sensitive to sensory engagement but does not appear to covary with MRS-derived estimates of excitatory–inhibitory balance under the current experimental conditions.</w:t>
      </w:r>
    </w:p>
    <w:p>
      <w:pPr>
        <w:pStyle w:val="TextBody"/>
      </w:pPr>
      <w:r>
        <w:t xml:space="preserve">An increase in H during movie-watching relative to rest aligns with previous work from our lab</w:t>
      </w:r>
      <w:r>
        <w:rPr>
          <w:vertAlign w:val="superscript"/>
        </w:rPr>
        <w:t xml:space="preserve">35</w:t>
      </w:r>
      <w:r>
        <w:t xml:space="preserve">, which reported increased H in the visual network (as defined by Yeo’s seven resting-state networks</w:t>
      </w:r>
      <w:r>
        <w:rPr>
          <w:vertAlign w:val="superscript"/>
        </w:rPr>
        <w:t xml:space="preserve">122</w:t>
      </w:r>
      <w:r>
        <w:t xml:space="preserve">) during movie-watching using data from the Human Connectome Project</w:t>
      </w:r>
      <w:r>
        <w:rPr>
          <w:vertAlign w:val="superscript"/>
        </w:rPr>
        <w:t xml:space="preserve">123</w:t>
      </w:r>
      <w:r>
        <w:t xml:space="preserve">. While this increase in H is consistent with our prior findings, other studies have reported decreases in H during active tasks</w:t>
      </w:r>
      <w:r>
        <w:rPr>
          <w:vertAlign w:val="superscript"/>
        </w:rPr>
        <w:t xml:space="preserve">33,34,36,124</w:t>
      </w:r>
      <w:r>
        <w:t xml:space="preserve">. The current results therefore suggest that the naturalistic, passive nature of movie-watching elicits a different effect on H compared to more active tasks. This interpretation is consistent with evidence indicating distinct neural responses and BOLD signal characteristics between conventional active visual tasks and naturalistic passive visual stimuli</w:t>
      </w:r>
      <w:r>
        <w:rPr>
          <w:vertAlign w:val="superscript"/>
        </w:rPr>
        <w:t xml:space="preserve">35,125</w:t>
      </w:r>
      <w:r>
        <w:t xml:space="preserve">. Higher H during movie-watching may reflect richer scaling properties that support the continuous integration of visual stimuli</w:t>
      </w:r>
      <w:r>
        <w:rPr>
          <w:vertAlign w:val="superscript"/>
        </w:rPr>
        <w:t xml:space="preserve">35</w:t>
      </w:r>
      <w:r>
        <w:t xml:space="preserve">.</w:t>
      </w:r>
    </w:p>
    <w:p>
      <w:pPr>
        <w:pStyle w:val="TextBody"/>
      </w:pPr>
      <w:r>
        <w:t xml:space="preserve">No significant changes were observed in either Glx or GABA+ between conditions. Consequently, the E:I ratio remained stable. The experimental design included both resting and movie-watching conditions to induce measurable differences in H, Glx, and GABA+, providing a wider range of values to test for correlations between these metrics. However, the absence of condition-related differences in Glx and GABA+ complicates interpretation of the null findings. Establishing such changes would have provided a foundation for directly examining the correlation between H and the E:I ratio. Without clear evidence that the paradigm elicited detectable neurochemical variation, it remains uncertain whether the lack of association between H and E:I reflects a genuine independence of these measures or limited sensitivity of the MRS protocol to capture subtle metabolic changes.</w:t>
      </w:r>
    </w:p>
    <w:p>
      <w:pPr>
        <w:pStyle w:val="TextBody"/>
      </w:pPr>
      <w:r>
        <w:t xml:space="preserve">A recent meta-analysis of studies measuring Glu and Glx</w:t>
      </w:r>
      <w:r>
        <w:rPr>
          <w:vertAlign w:val="superscript"/>
        </w:rPr>
        <w:t xml:space="preserve">97</w:t>
      </w:r>
      <w:r>
        <w:t xml:space="preserve"> </w:t>
      </w:r>
      <w:r>
        <w:t xml:space="preserve">reported a minimal task-induced increase in Glu and Glx within the visual cortex, primarily in the context of pain, learning, or motor paradigms rather than visual stimulation. Additionally, many of the studies included were conducted at 7T, offering increased sensitivity for detecting changes in Glu and Glx. Nonetheless, several studies have demonstrated changes in Glu and Glx at 3T</w:t>
      </w:r>
      <w:r>
        <w:rPr>
          <w:vertAlign w:val="superscript"/>
        </w:rPr>
        <w:t xml:space="preserve">126–128</w:t>
      </w:r>
      <w:r>
        <w:t xml:space="preserve">. Regarding our GABA+ findings, the same meta-analysis</w:t>
      </w:r>
      <w:r>
        <w:rPr>
          <w:vertAlign w:val="superscript"/>
        </w:rPr>
        <w:t xml:space="preserve">97</w:t>
      </w:r>
      <w:r>
        <w:t xml:space="preserve"> </w:t>
      </w:r>
      <w:r>
        <w:t xml:space="preserve">reported no task-dependent change in GABA within the visual cortex. This may be attributable to technical difficulties associated with capturing GABA levels using MRS at 3T due to its low concentration and spectral overlap with more abundant metabolites</w:t>
      </w:r>
      <w:r>
        <w:rPr>
          <w:vertAlign w:val="superscript"/>
        </w:rPr>
        <w:t xml:space="preserve">97</w:t>
      </w:r>
      <w:r>
        <w:t xml:space="preserve">. Although, several studies have successfully reported changes in GABA at 3T using different paradigms and/or regions of interest</w:t>
      </w:r>
      <w:r>
        <w:rPr>
          <w:vertAlign w:val="superscript"/>
        </w:rPr>
        <w:t xml:space="preserve">129–131</w:t>
      </w:r>
      <w:r>
        <w:t xml:space="preserve">.</w:t>
      </w:r>
    </w:p>
    <w:p>
      <w:pPr>
        <w:pStyle w:val="TextBody"/>
      </w:pPr>
      <w:r>
        <w:t xml:space="preserve">Another reason changes in Glx or GABA+ may not have been observed could be due to our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128,132</w:t>
      </w:r>
      <w:r>
        <w:t xml:space="preserve">. Indeed, Pasanta et al. (2023)</w:t>
      </w:r>
      <w:r>
        <w:rPr>
          <w:vertAlign w:val="superscript"/>
        </w:rPr>
        <w:t xml:space="preserve">97</w:t>
      </w:r>
      <w:r>
        <w:t xml:space="preserve"> </w:t>
      </w:r>
      <w:r>
        <w:t xml:space="preserve">and Archibald et al. (2020)</w:t>
      </w:r>
      <w:r>
        <w:rPr>
          <w:vertAlign w:val="superscript"/>
        </w:rPr>
        <w:t xml:space="preserve">133</w:t>
      </w:r>
      <w:r>
        <w:t xml:space="preserve"> </w:t>
      </w:r>
      <w:r>
        <w:t xml:space="preserve">reported larger metabolite changes during event-related paradigms compared to block designs, underscoring how task timing and structure can strongly influence the detectability of metabolic modulation with MRS.</w:t>
      </w:r>
    </w:p>
    <w:p>
      <w:pPr>
        <w:pStyle w:val="TextBody"/>
      </w:pPr>
      <w:r>
        <w:t xml:space="preserve">The concept of E:I balance encompasses multiple biological scales and mechanisms beyond neurotransmitter concentrations, including the relative densities of excitatory and inhibitory neurons, synaptic properties, interneuron subtype interactions, and electrophysiological signatures such as 1/f spectral scaling. While the glutamate-to-GABA ratio measured via MRS provides a noninvasive — albeit indirect — estimate of neurochemical E:I balance in humans, it remains a simplification of the underlying complexity. MRS derived values reflect total glutamate and GABA metabolite pools, predominantly intracellular and metabolically active, rather than direct synaptic neurotransmitter release underlying real-time excitation and inhibition. Moreover, conventional MRS measures such as Glx and GABA+ include contributions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Finally, few studies have directly quantified both glutamate and GABA in the same individuals, highlighting the novelty and importance of this approach. Our study acknowledges these limitations and aims to provide a step toward linking neurochemical measures with large-scale brain dynamics related to criticality.</w:t>
      </w:r>
    </w:p>
    <w:p>
      <w:pPr>
        <w:pStyle w:val="TextBody"/>
      </w:pPr>
      <w:r>
        <w:t xml:space="preserve">Alternatively, the present findings may in fact indicate that H and E:I are not directly coupled, or that their relationship is more complex than a simple linear association. This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w:t>
      </w:r>
      <w:r>
        <w:t xml:space="preserve"> </w:t>
      </w:r>
      <w:r>
        <w:t xml:space="preserve">The heterogeneity across these studies underscores the challenges of studying this phenomenon and suggests that any potential E:I-Hurst relationship may depend on experimental context, data acquisition methods, or analysis strategies. Further work is needed to clarify the true nature of this relationship and the conditions under which it might emerge.</w:t>
      </w:r>
    </w:p>
    <w:tbl>
      <w:tblPr>
        <w:tblStyle w:val="Table"/>
        <w:tblW w:type="pct" w:w="5000"/>
        <w:tblLayout w:type="fixed"/>
        <w:tblLook w:firstRow="0" w:lastRow="0" w:firstColumn="0" w:lastColumn="0" w:noHBand="0" w:noVBand="0" w:val="0000"/>
      </w:tblPr>
      <w:tblGrid>
        <w:gridCol w:w="7920"/>
      </w:tblGrid>
      <w:tr>
        <w:tc>
          <w:tcPr/>
          <w:bookmarkStart w:id="67"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center"/>
                  </w:pPr>
                  <w:r>
                    <w:t xml:space="preserve">Citation</w:t>
                  </w:r>
                </w:p>
              </w:tc>
              <w:tc>
                <w:tcPr/>
                <w:p>
                  <w:pPr>
                    <w:pStyle w:val="Compact"/>
                    <w:jc w:val="center"/>
                  </w:pPr>
                  <w:r>
                    <w:t xml:space="preserve">Study Type</w:t>
                  </w:r>
                </w:p>
              </w:tc>
              <w:tc>
                <w:tcPr/>
                <w:p>
                  <w:pPr>
                    <w:pStyle w:val="Compact"/>
                    <w:jc w:val="center"/>
                  </w:pPr>
                  <w:r>
                    <w:t xml:space="preserve">H Data Type</w:t>
                  </w:r>
                </w:p>
              </w:tc>
              <w:tc>
                <w:tcPr/>
                <w:p>
                  <w:pPr>
                    <w:pStyle w:val="Compact"/>
                    <w:jc w:val="center"/>
                  </w:pPr>
                  <w:r>
                    <w:t xml:space="preserve">H Calculation Method</w:t>
                  </w:r>
                </w:p>
              </w:tc>
              <w:tc>
                <w:tcPr/>
                <w:p>
                  <w:pPr>
                    <w:pStyle w:val="Compact"/>
                    <w:jc w:val="center"/>
                  </w:pPr>
                  <w:r>
                    <w:t xml:space="preserve">E:I Type</w:t>
                  </w:r>
                </w:p>
              </w:tc>
              <w:tc>
                <w:tcPr/>
                <w:p>
                  <w:pPr>
                    <w:pStyle w:val="Compact"/>
                    <w:jc w:val="center"/>
                  </w:pPr>
                  <w:r>
                    <w:t xml:space="preserve">E:I-Hurst Relationship</w:t>
                  </w:r>
                </w:p>
              </w:tc>
            </w:tr>
            <w:tr>
              <w:tc>
                <w:tcPr/>
                <w:p>
                  <w:pPr>
                    <w:pStyle w:val="Compact"/>
                    <w:jc w:val="center"/>
                  </w:pPr>
                  <w:r>
                    <w:t xml:space="preserve">Poil et al. (2012)</w:t>
                  </w:r>
                  <w:r>
                    <w:rPr>
                      <w:vertAlign w:val="superscript"/>
                    </w:rPr>
                    <w:t xml:space="preserve">7</w:t>
                  </w:r>
                </w:p>
              </w:tc>
              <w:tc>
                <w:tcPr/>
                <w:p>
                  <w:pPr>
                    <w:pStyle w:val="Compact"/>
                    <w:jc w:val="center"/>
                  </w:pPr>
                  <w:r>
                    <w:t xml:space="preserve">Computational with in-house simulated model</w:t>
                  </w:r>
                </w:p>
              </w:tc>
              <w:tc>
                <w:tcPr/>
                <w:p>
                  <w:pPr>
                    <w:pStyle w:val="Compact"/>
                    <w:jc w:val="center"/>
                  </w:pPr>
                  <w:r>
                    <w:t xml:space="preserve">Neuronal avalanche size</w:t>
                  </w:r>
                </w:p>
              </w:tc>
              <w:tc>
                <w:tcPr/>
                <w:p>
                  <w:pPr>
                    <w:pStyle w:val="Compact"/>
                    <w:jc w:val="center"/>
                  </w:pPr>
                  <w:r>
                    <w:t xml:space="preserve">Detrendend fluctuation analysis (DFA)</w:t>
                  </w:r>
                </w:p>
              </w:tc>
              <w:tc>
                <w:tcPr/>
                <w:p>
                  <w:pPr>
                    <w:pStyle w:val="Compact"/>
                    <w:jc w:val="center"/>
                  </w:pPr>
                  <w:r>
                    <w:t xml:space="preserve">Structural: number of E-to-I neurons</w:t>
                  </w:r>
                </w:p>
              </w:tc>
              <w:tc>
                <w:tcPr/>
                <w:p>
                  <w:pPr>
                    <w:pStyle w:val="Compact"/>
                    <w:jc w:val="center"/>
                  </w:pPr>
                  <w:r>
                    <w:t xml:space="preserve">Inverse U</w:t>
                  </w:r>
                </w:p>
              </w:tc>
            </w:tr>
            <w:tr>
              <w:tc>
                <w:tcPr/>
                <w:p>
                  <w:pPr>
                    <w:pStyle w:val="Compact"/>
                    <w:jc w:val="center"/>
                  </w:pPr>
                  <w:r>
                    <w:t xml:space="preserve">Bruining et al. (2020)</w:t>
                  </w:r>
                  <w:r>
                    <w:rPr>
                      <w:vertAlign w:val="superscript"/>
                    </w:rPr>
                    <w:t xml:space="preserve">10</w:t>
                  </w:r>
                </w:p>
              </w:tc>
              <w:tc>
                <w:tcPr/>
                <w:p>
                  <w:pPr>
                    <w:pStyle w:val="Compact"/>
                    <w:jc w:val="center"/>
                  </w:pPr>
                  <w:r>
                    <w:t xml:space="preserve">Computational with model by Poil et al. (2012); modified in-house</w:t>
                  </w:r>
                </w:p>
              </w:tc>
              <w:tc>
                <w:tcPr/>
                <w:p>
                  <w:pPr>
                    <w:pStyle w:val="Compact"/>
                    <w:jc w:val="center"/>
                  </w:pPr>
                  <w:r>
                    <w:t xml:space="preserve">Neuronal oscillation amplitude</w:t>
                  </w:r>
                </w:p>
              </w:tc>
              <w:tc>
                <w:tcPr/>
                <w:p>
                  <w:pPr>
                    <w:pStyle w:val="Compact"/>
                    <w:jc w:val="center"/>
                  </w:pPr>
                  <w:r>
                    <w:t xml:space="preserve">DFA</w:t>
                  </w:r>
                </w:p>
              </w:tc>
              <w:tc>
                <w:tcPr/>
                <w:p>
                  <w:pPr>
                    <w:pStyle w:val="Compact"/>
                    <w:jc w:val="center"/>
                  </w:pPr>
                  <w:r>
                    <w:t xml:space="preserve">Structural: number of E-to-I synapses</w:t>
                  </w:r>
                </w:p>
              </w:tc>
              <w:tc>
                <w:tcPr/>
                <w:p>
                  <w:pPr>
                    <w:pStyle w:val="Compact"/>
                    <w:jc w:val="center"/>
                  </w:pPr>
                  <w:r>
                    <w:t xml:space="preserve">Inverse U</w:t>
                  </w:r>
                </w:p>
              </w:tc>
            </w:tr>
            <w:tr>
              <w:tc>
                <w:tcPr/>
                <w:p>
                  <w:pPr>
                    <w:pStyle w:val="Compact"/>
                    <w:jc w:val="center"/>
                  </w:pPr>
                  <w:r>
                    <w:t xml:space="preserve">Gao et al. (2017)</w:t>
                  </w:r>
                  <w:r>
                    <w:rPr>
                      <w:vertAlign w:val="superscript"/>
                    </w:rPr>
                    <w:t xml:space="preserve">12</w:t>
                  </w:r>
                </w:p>
              </w:tc>
              <w:tc>
                <w:tcPr/>
                <w:p>
                  <w:pPr>
                    <w:pStyle w:val="Compact"/>
                    <w:jc w:val="center"/>
                  </w:pPr>
                  <w:r>
                    <w:t xml:space="preserve">Computational; in vivo in rats and macaques</w:t>
                  </w:r>
                </w:p>
              </w:tc>
              <w:tc>
                <w:tcPr/>
                <w:p>
                  <w:pPr>
                    <w:pStyle w:val="Compact"/>
                    <w:jc w:val="center"/>
                  </w:pPr>
                  <w:r>
                    <w:t xml:space="preserve">Local field potential (LFP)</w:t>
                  </w:r>
                </w:p>
              </w:tc>
              <w:tc>
                <w:tcPr/>
                <w:p>
                  <w:pPr>
                    <w:pStyle w:val="Compact"/>
                    <w:jc w:val="center"/>
                  </w:pPr>
                  <w:r>
                    <w:t xml:space="preserve">PSD</w:t>
                  </w:r>
                </w:p>
              </w:tc>
              <w:tc>
                <w:tcPr/>
                <w:p>
                  <w:pPr>
                    <w:pStyle w:val="Compact"/>
                    <w:jc w:val="center"/>
                  </w:pPr>
                  <w:r>
                    <w:t xml:space="preserve">Estimated from LFP</w:t>
                  </w:r>
                </w:p>
              </w:tc>
              <w:tc>
                <w:tcPr/>
                <w:p>
                  <w:pPr>
                    <w:pStyle w:val="Compact"/>
                    <w:jc w:val="center"/>
                  </w:pPr>
                  <w:r>
                    <w:t xml:space="preserve">Positive linear</w:t>
                  </w:r>
                </w:p>
              </w:tc>
            </w:tr>
            <w:tr>
              <w:tc>
                <w:tcPr/>
                <w:p>
                  <w:pPr>
                    <w:pStyle w:val="Compact"/>
                    <w:jc w:val="center"/>
                  </w:pPr>
                  <w:r>
                    <w:t xml:space="preserve">Lombardi et al. (2017)</w:t>
                  </w:r>
                  <w:r>
                    <w:rPr>
                      <w:vertAlign w:val="superscript"/>
                    </w:rPr>
                    <w:t xml:space="preserve">8</w:t>
                  </w:r>
                </w:p>
              </w:tc>
              <w:tc>
                <w:tcPr/>
                <w:p>
                  <w:pPr>
                    <w:pStyle w:val="Compact"/>
                    <w:jc w:val="center"/>
                  </w:pPr>
                  <w:r>
                    <w:t xml:space="preserve">Computational with in-house model</w:t>
                  </w:r>
                </w:p>
              </w:tc>
              <w:tc>
                <w:tcPr/>
                <w:p>
                  <w:pPr>
                    <w:pStyle w:val="Compact"/>
                    <w:jc w:val="center"/>
                  </w:pPr>
                  <w:r>
                    <w:t xml:space="preserve">Neuronal avalanche size</w:t>
                  </w:r>
                </w:p>
              </w:tc>
              <w:tc>
                <w:tcPr/>
                <w:p>
                  <w:pPr>
                    <w:pStyle w:val="Compact"/>
                    <w:jc w:val="center"/>
                  </w:pPr>
                  <w:r>
                    <w:t xml:space="preserve">PSD</w:t>
                  </w:r>
                </w:p>
              </w:tc>
              <w:tc>
                <w:tcPr/>
                <w:p>
                  <w:pPr>
                    <w:pStyle w:val="Compact"/>
                    <w:jc w:val="center"/>
                  </w:pPr>
                  <w:r>
                    <w:t xml:space="preserve">Structural: number of E-to-I neurons</w:t>
                  </w:r>
                </w:p>
              </w:tc>
              <w:tc>
                <w:tcPr/>
                <w:p>
                  <w:pPr>
                    <w:pStyle w:val="Compact"/>
                    <w:jc w:val="center"/>
                  </w:pPr>
                  <w:r>
                    <w:t xml:space="preserve">Negative linear</w:t>
                  </w:r>
                </w:p>
              </w:tc>
            </w:tr>
            <w:tr>
              <w:tc>
                <w:tcPr/>
                <w:p>
                  <w:pPr>
                    <w:pStyle w:val="Compact"/>
                    <w:jc w:val="center"/>
                  </w:pPr>
                  <w:r>
                    <w:t xml:space="preserve">Trakoshis et al. (2020)</w:t>
                  </w:r>
                  <w:r>
                    <w:rPr>
                      <w:vertAlign w:val="superscript"/>
                    </w:rPr>
                    <w:t xml:space="preserve">11</w:t>
                  </w:r>
                </w:p>
              </w:tc>
              <w:tc>
                <w:tcPr/>
                <w:p>
                  <w:pPr>
                    <w:pStyle w:val="Compact"/>
                    <w:jc w:val="center"/>
                  </w:pPr>
                  <w:r>
                    <w:t xml:space="preserve">Computational with simulated data; in vivo in mice</w:t>
                  </w:r>
                </w:p>
              </w:tc>
              <w:tc>
                <w:tcPr/>
                <w:p>
                  <w:pPr>
                    <w:pStyle w:val="Compact"/>
                    <w:jc w:val="center"/>
                  </w:pPr>
                  <w:r>
                    <w:t xml:space="preserve">fMRI BOLD signal</w:t>
                  </w:r>
                </w:p>
              </w:tc>
              <w:tc>
                <w:tcPr/>
                <w:p>
                  <w:pPr>
                    <w:pStyle w:val="Compact"/>
                    <w:jc w:val="center"/>
                  </w:pPr>
                  <w:r>
                    <w:t xml:space="preserve">Wavelet-based maximum likelihood method</w:t>
                  </w:r>
                </w:p>
              </w:tc>
              <w:tc>
                <w:tcPr/>
                <w:p>
                  <w:pPr>
                    <w:pStyle w:val="Compact"/>
                    <w:jc w:val="center"/>
                  </w:pPr>
                  <w:r>
                    <w:t xml:space="preserve">E-to-I synaptic conductance</w:t>
                  </w:r>
                </w:p>
              </w:tc>
              <w:tc>
                <w:tcPr/>
                <w:p>
                  <w:pPr>
                    <w:pStyle w:val="Compact"/>
                    <w:jc w:val="center"/>
                  </w:pPr>
                  <w:r>
                    <w:t xml:space="preserve">Negative linear</w:t>
                  </w:r>
                </w:p>
              </w:tc>
            </w:tr>
          </w:tbl>
          <w:p>
            <w:pPr>
              <w:jc w:val="center"/>
            </w:pPr>
            <w:pPr>
              <w:jc w:val="lef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67"/>
        </w:tc>
      </w:tr>
    </w:tbl>
    <w:p>
      <w:pPr>
        <w:pStyle w:val="TextBody"/>
      </w:pPr>
      <w:r>
        <w:t xml:space="preserve">Our findings specifically show an absence of a robust association between the Hurst exponent and MRS-derived E:I ratio, challenging the assumption that these measures directly reflect a shared underlying mechanism, such as the brain’s distance from criticality. One possibility is that while both H and E:I may independently vary with neural excitability, their relationship is nonlinear or not detectable at the temporal and spatial scales of fMRI and MRS. Additionally, the E:I balance estimated via glutamate and GABA concentrations may reflect metabolic rather than synaptic activity, limiting its correspondence with network dynamics captured by BOLD signal autocorrelation. These results have important implications for studies that use H as a proxy for E:I, particularly in neurodevelopmental or neurodegenerative contexts, and suggest caution in interpreting H as a stand-in for neurochemical balance without direct validation. Future research should investigate whether the relationship emerges under task-driven conditions, in specific brain regions, or in populations with pronounced E:I dysregulation.</w:t>
      </w:r>
    </w:p>
    <w:p>
      <w:pPr>
        <w:pStyle w:val="TextBody"/>
      </w:pPr>
      <w:r>
        <w:t xml:space="preserve">Finally, it is also possible that while an E:I-Hurst relationship exists, it is not observed within the visual cortex. This theory seems plausible given that MRS studies of disrupted E:I, mostly conducted within the context of autistic adults, have found changes in E:I within other brain regions such as the anterior cingulate cortex, frontal lobe, or temporal lobe</w:t>
      </w:r>
      <w:r>
        <w:rPr>
          <w:vertAlign w:val="superscript"/>
        </w:rPr>
        <w:t xml:space="preserve">53</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97</w:t>
      </w:r>
      <w:r>
        <w:t xml:space="preserve">. However, this would suggest that the E:I-H relationship would be region dependent, and therefore not a global theory as it is often portrayed.</w:t>
      </w:r>
    </w:p>
    <w:p>
      <w:pPr>
        <w:pStyle w:val="TextBody"/>
      </w:pPr>
      <w:r>
        <w:t xml:space="preserve">As both H and E:I have been known to change with age, we did not seek to limit our sample to any specific age range. Furthermore, other physiological details — such as caffeine, nicotine, phase of the menstrual cycle, gender, and medication use — were not collected, as the core E:I-Hurst theory posits a global relationship that should hold irrespective of specific brain states or transient physiological factors. Additionally, our within-subjects design strengthens this approach: our core analyses assessing changes between resting state and movie-watching were paired, with each participant serving as their own control. This reduces the influence of inter-individual variability, including age-related and other brain-state effects.</w:t>
      </w:r>
    </w:p>
    <w:bookmarkStart w:id="68"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18 participants’ data were analyzed. With this small sample size, it is difficult to make conclusions about a concept as complex as the E:I-Hurst relationship.</w:t>
      </w:r>
    </w:p>
    <w:p>
      <w:pPr>
        <w:pStyle w:val="TextBody"/>
      </w:pPr>
      <w:r>
        <w:t xml:space="preserve">It is also important to note that MRS measures reflect total glutamate and GABA metabolite pools, predominantly intracellular and involved in metabolic processes, rather than direct synaptic neurotransmitter release. Furthermore, commonly used measures such as Glx and GABA+ include signals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Although voxel placement was guided by anatomical landmarks and performed by trained personnel, some variability in voxel location across subjects and sessions may have introduced noise in metabolite quantification. Future studies may benefit from automated alignment and formal voxel overlap analysis to reduce this source of variability. Furthermore, our MRS voxels were placed once for the first MRS sequence, and copied for the subsequent MRS runs. This</w:t>
      </w:r>
      <w:r>
        <w:t xml:space="preserve"> </w:t>
      </w:r>
      <w:r>
        <w:t xml:space="preserve">‘cloning’</w:t>
      </w:r>
      <w:r>
        <w:t xml:space="preserve"> </w:t>
      </w:r>
      <w:r>
        <w:t xml:space="preserve">assumes nominal stability and does not capture any potential effective sampling differences due to head motion or shim-related changes.</w:t>
      </w:r>
      <w:r>
        <w:t xml:space="preserve"> </w:t>
      </w:r>
      <w:r>
        <w:t xml:space="preserve">Future studies may also wish to acquire high resolution anatomical scans before each MRS run in order to re-align the MRS voxel and to quantify: intra-subject voxel movement; voxel dice coefficient: overlap of runs (ideally &gt;0.90); center-of-mass distance: Euclidean shift (mm) between runs (e.g. threshold &gt;5mm outlier).</w:t>
      </w:r>
      <w:r>
        <w:t xml:space="preserve"> </w:t>
      </w:r>
      <w:r>
        <w:t xml:space="preserve">We did not explicitly monitor scanner frequency drift following the fMRI runs. Heating-related drift can affect the stability of MRS sequences, potentially introducing variability in glutamate and GABA quantification</w:t>
      </w:r>
      <w:r>
        <w:rPr>
          <w:vertAlign w:val="superscript"/>
        </w:rPr>
        <w:t xml:space="preserve">134</w:t>
      </w:r>
      <w:r>
        <w:t xml:space="preserve">. While all MRS data were visually inspected for quality, we cannot rule out subtle effects of drift, which may have contributed to noise in the E:I measurements. We included frequency drift in our linear mixed-effects models in an attempt to control for these confounds. For future research, we highly recommend prospective drift corrections to address these issues.</w:t>
      </w:r>
      <w:r>
        <w:t xml:space="preserve"> </w:t>
      </w:r>
      <w:r>
        <w:t xml:space="preserve">Finally, the order of scanning conditions (rest followed by movie-watching) was not pseudorandomized. This may introduce potential order-related confounds, such as physiological adaptation or scanner drift, which could influence the observed differences between conditions.</w:t>
      </w:r>
    </w:p>
    <w:p>
      <w:pPr>
        <w:pStyle w:val="TextBody"/>
      </w:pPr>
      <w:r>
        <w:t xml:space="preserve">An additional avenue for future research involves dynamic fMRS, which seeks to capture time-varying changes in metabolite levels during task performance. While promising, such approaches currently face substantial limitations in signal-to-noise ratio and temporal resolution, particularly for edited GABA measures. Our study was not optimized for dynamic fitting, but future work could explore how fluctuations in neurometabolites relate to moment-to-moment variations in BOLD signal complexity.</w:t>
      </w:r>
    </w:p>
    <w:p>
      <w:pPr>
        <w:pStyle w:val="TextBody"/>
      </w:pPr>
      <w:r>
        <w:t xml:space="preserve">We hope that by future researchers can use our reported effect sizes to calculate potential sample sizes. We would also like to list some of the strengths of our study, which include: using sLASER (as opposed to PRESS), which has been shown to have enhanced detection of complex multiplets such as Glx/Glu</w:t>
      </w:r>
      <w:r>
        <w:rPr>
          <w:vertAlign w:val="superscript"/>
        </w:rPr>
        <w:t xml:space="preserve">78</w:t>
      </w:r>
      <w:r>
        <w:t xml:space="preserve">; using the J-editing sequence MEGA-PRESS for improved GABA detection</w:t>
      </w:r>
      <w:r>
        <w:rPr>
          <w:vertAlign w:val="superscript"/>
        </w:rPr>
        <w:t xml:space="preserve">56</w:t>
      </w:r>
      <w:r>
        <w:t xml:space="preserve">; using a large MRS voxel size (~22 ml) as per consensus recommendations</w:t>
      </w:r>
      <w:r>
        <w:rPr>
          <w:vertAlign w:val="superscript"/>
        </w:rPr>
        <w:t xml:space="preserve">135–137</w:t>
      </w:r>
      <w:r>
        <w:t xml:space="preserve">; measuring H within the same region as our single-voxel MRS; and using multi-echo fMRI for improved motion artifact regression</w:t>
      </w:r>
      <w:r>
        <w:rPr>
          <w:vertAlign w:val="superscript"/>
        </w:rPr>
        <w:t xml:space="preserve">138</w:t>
      </w:r>
      <w:r>
        <w:t xml:space="preserve">.</w:t>
      </w:r>
    </w:p>
    <w:bookmarkEnd w:id="68"/>
    <w:bookmarkStart w:id="69" w:name="lessons-for-future-researchers"/>
    <w:p>
      <w:pPr>
        <w:pStyle w:val="Heading2"/>
      </w:pPr>
      <w:r>
        <w:t xml:space="preserve">4.2 Lessons for Future Researchers</w:t>
      </w:r>
    </w:p>
    <w:p>
      <w:pPr>
        <w:pStyle w:val="FirstParagraph"/>
      </w:pPr>
      <w:r>
        <w:t xml:space="preserve">Finally, we hope that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r>
        <w:rPr>
          <w:vertAlign w:val="superscript"/>
        </w:rPr>
        <w:t xml:space="preserve">139</w:t>
      </w:r>
      <w:r>
        <w:t xml:space="preserve">;</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126,127,133</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133,140–142</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143</w:t>
      </w:r>
      <w:r>
        <w:t xml:space="preserve">. However, see Pasanta et al. (2023)</w:t>
      </w:r>
      <w:r>
        <w:rPr>
          <w:vertAlign w:val="superscript"/>
        </w:rPr>
        <w:t xml:space="preserve">97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77,144</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69"/>
    <w:bookmarkEnd w:id="70"/>
    <w:bookmarkStart w:id="71" w:name="conclusion"/>
    <w:p>
      <w:pPr>
        <w:pStyle w:val="Heading1"/>
      </w:pPr>
      <w:r>
        <w:t xml:space="preserve">5. Conclusion</w:t>
      </w:r>
    </w:p>
    <w:p>
      <w:pPr>
        <w:pStyle w:val="FirstParagraph"/>
      </w:pPr>
      <w:r>
        <w:t xml:space="preserve">In conclusion, the results do not support a relationship between H and the E:I ratio in the visual cortex either during rest or during movie-watching at 3T in humans. Although a task-related increase in H was observed, no accompanying changes were detected in Glu, GABA, or E:I between movie and rest. Comparing our findings to the broader literature, E:I balance may be too subtle to be detected with conventional 3T MRS methods</w:t>
      </w:r>
      <w:r>
        <w:rPr>
          <w:vertAlign w:val="superscript"/>
        </w:rPr>
        <w:t xml:space="preserve">139</w:t>
      </w:r>
      <w:r>
        <w:t xml:space="preserve">. Therefore, higher-field (7T) or multi-voxel fMRS studies would be needed to confirm.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71"/>
    <w:bookmarkStart w:id="73"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22">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‘reproducible manner’</w:t>
      </w:r>
      <w:r>
        <w:t xml:space="preserve">: the entire manuscript, including statistics reported, figures, and tables, can be reproduced here:</w:t>
      </w:r>
      <w:r>
        <w:t xml:space="preserve"> </w:t>
      </w:r>
      <w:hyperlink r:id="rId72">
        <w:r>
          <w:rPr>
            <w:rStyle w:val="InternetLink"/>
          </w:rPr>
          <w:t xml:space="preserve">weberlab.github.io/EI_Hurst_Manuscript/</w:t>
        </w:r>
      </w:hyperlink>
    </w:p>
    <w:bookmarkEnd w:id="73"/>
    <w:bookmarkStart w:id="74" w:name="competing-interests"/>
    <w:p>
      <w:pPr>
        <w:pStyle w:val="Heading1"/>
      </w:pPr>
      <w:r>
        <w:t xml:space="preserve">Competing interests</w:t>
      </w:r>
    </w:p>
    <w:p>
      <w:pPr>
        <w:pStyle w:val="FirstParagraph"/>
      </w:pPr>
      <w:r>
        <w:t xml:space="preserve">The authors declare they have no known competing interests.</w:t>
      </w:r>
    </w:p>
    <w:bookmarkEnd w:id="74"/>
    <w:bookmarkStart w:id="75"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JA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75"/>
    <w:bookmarkStart w:id="76"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76"/>
    <w:bookmarkStart w:id="365" w:name="references"/>
    <w:p>
      <w:pPr>
        <w:pStyle w:val="Heading1"/>
      </w:pPr>
      <w:r>
        <w:t xml:space="preserve">References</w:t>
      </w:r>
    </w:p>
    <w:bookmarkStart w:id="364" w:name="refs"/>
    <w:bookmarkStart w:id="78" w:name="ref-decoRestingBrainsNever2013"/>
    <w:p>
      <w:pPr>
        <w:pStyle w:val="Bibliography"/>
      </w:pPr>
      <w:r>
        <w:t xml:space="preserve">1.</w:t>
      </w:r>
      <w:r>
        <w:t xml:space="preserve"> </w:t>
      </w:r>
      <w:r>
        <w:t xml:space="preserve">	</w:t>
      </w:r>
      <w:r>
        <w:t xml:space="preserve">Deco, G., Jirsa, V. K. &amp; McIntosh, A. R.</w:t>
      </w:r>
      <w:r>
        <w:t xml:space="preserve"> </w:t>
      </w:r>
      <w:hyperlink r:id="rId77">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78"/>
    <w:bookmarkStart w:id="79"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79"/>
    <w:bookmarkStart w:id="80"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80"/>
    <w:bookmarkStart w:id="82" w:name="X3987a7f9f2843d143a6b08774176d9ab9bc4f8d"/>
    <w:p>
      <w:pPr>
        <w:pStyle w:val="Bibliography"/>
      </w:pPr>
      <w:r>
        <w:t xml:space="preserve">4.</w:t>
      </w:r>
      <w:r>
        <w:t xml:space="preserve"> </w:t>
      </w:r>
      <w:r>
        <w:t xml:space="preserve">	</w:t>
      </w:r>
      <w:r>
        <w:t xml:space="preserve">Bassett, D. S. &amp; Gazzaniga, M. S.</w:t>
      </w:r>
      <w:r>
        <w:t xml:space="preserve"> </w:t>
      </w:r>
      <w:hyperlink r:id="rId81">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82"/>
    <w:bookmarkStart w:id="83"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83"/>
    <w:bookmarkStart w:id="85"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84">
        <w:r>
          <w:rPr>
            <w:rStyle w:val="InternetLink"/>
          </w:rPr>
          <w:t xml:space="preserve">10.1177/10738584231221766</w:t>
        </w:r>
      </w:hyperlink>
      <w:r>
        <w:t xml:space="preserve">.</w:t>
      </w:r>
    </w:p>
    <w:bookmarkEnd w:id="85"/>
    <w:bookmarkStart w:id="87"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86">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87"/>
    <w:bookmarkStart w:id="89"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88">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89"/>
    <w:bookmarkStart w:id="91" w:name="Xfe4345fc4d266d969d4559abe9321e337b060ba"/>
    <w:p>
      <w:pPr>
        <w:pStyle w:val="Bibliography"/>
      </w:pPr>
      <w:r>
        <w:t xml:space="preserve">9.</w:t>
      </w:r>
      <w:r>
        <w:t xml:space="preserve"> </w:t>
      </w:r>
      <w:r>
        <w:t xml:space="preserve">	</w:t>
      </w:r>
      <w:r>
        <w:t xml:space="preserve">Baumgarten, L. &amp; Bornholdt, S.</w:t>
      </w:r>
      <w:r>
        <w:t xml:space="preserve"> </w:t>
      </w:r>
      <w:hyperlink r:id="rId90">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91"/>
    <w:bookmarkStart w:id="93"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92">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93"/>
    <w:bookmarkStart w:id="95"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94">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 (2020).</w:t>
      </w:r>
    </w:p>
    <w:bookmarkEnd w:id="95"/>
    <w:bookmarkStart w:id="97" w:name="ref-gaoInferringSynapticExcitation2017"/>
    <w:p>
      <w:pPr>
        <w:pStyle w:val="Bibliography"/>
      </w:pPr>
      <w:r>
        <w:t xml:space="preserve">12.</w:t>
      </w:r>
      <w:r>
        <w:t xml:space="preserve"> </w:t>
      </w:r>
      <w:r>
        <w:t xml:space="preserve">	</w:t>
      </w:r>
      <w:r>
        <w:t xml:space="preserve">Gao, R., Peterson, E. J. &amp; Voytek, B.</w:t>
      </w:r>
      <w:r>
        <w:t xml:space="preserve"> </w:t>
      </w:r>
      <w:hyperlink r:id="rId96">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97"/>
    <w:bookmarkStart w:id="99"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98">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99"/>
    <w:bookmarkStart w:id="101"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00">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01"/>
    <w:bookmarkStart w:id="103" w:name="ref-langtonComputationEdgeChaos1990"/>
    <w:p>
      <w:pPr>
        <w:pStyle w:val="Bibliography"/>
      </w:pPr>
      <w:r>
        <w:t xml:space="preserve">15.</w:t>
      </w:r>
      <w:r>
        <w:t xml:space="preserve"> </w:t>
      </w:r>
      <w:r>
        <w:t xml:space="preserve">	</w:t>
      </w:r>
      <w:r>
        <w:t xml:space="preserve">Langton, C. G.</w:t>
      </w:r>
      <w:r>
        <w:t xml:space="preserve"> </w:t>
      </w:r>
      <w:hyperlink r:id="rId102">
        <w:r>
          <w:rPr>
            <w:rStyle w:val="InternetLink"/>
          </w:rPr>
          <w:t xml:space="preserve">Computation at the edge of chaos:</w:t>
        </w:r>
        <w:r>
          <w:rPr>
            <w:rStyle w:val="InternetLink"/>
          </w:rPr>
          <w:t xml:space="preserve"> </w:t>
        </w:r>
        <w:r>
          <w:rPr>
            <w:rStyle w:val="InternetLink"/>
          </w:rPr>
          <w:t xml:space="preserve">Phase</w:t>
        </w:r>
        <w:r>
          <w:rPr>
            <w:rStyle w:val="InternetLink"/>
          </w:rPr>
          <w:t xml:space="preserve"> </w:t>
        </w:r>
        <w:r>
          <w:rPr>
            <w:rStyle w:val="InternetLink"/>
          </w:rPr>
          <w:t xml:space="preserve">transitions and emergent computation</w:t>
        </w:r>
      </w:hyperlink>
      <w:r>
        <w:t xml:space="preserve">.</w:t>
      </w:r>
      <w:r>
        <w:t xml:space="preserve"> </w:t>
      </w:r>
      <w:r>
        <w:rPr>
          <w:i/>
          <w:iCs/>
        </w:rPr>
        <w:t xml:space="preserve">Physica D: Nonlinear Phenomena</w:t>
      </w:r>
      <w:r>
        <w:t xml:space="preserve"> </w:t>
      </w:r>
      <w:r>
        <w:rPr>
          <w:b/>
          <w:bCs/>
        </w:rPr>
        <w:t xml:space="preserve">42</w:t>
      </w:r>
      <w:r>
        <w:t xml:space="preserve">, 12–37 (1990).</w:t>
      </w:r>
    </w:p>
    <w:bookmarkEnd w:id="103"/>
    <w:bookmarkStart w:id="105" w:name="ref-bakHowNatureWorks1996"/>
    <w:p>
      <w:pPr>
        <w:pStyle w:val="Bibliography"/>
      </w:pPr>
      <w:r>
        <w:t xml:space="preserve">16.</w:t>
      </w:r>
      <w:r>
        <w:t xml:space="preserve"> </w:t>
      </w:r>
      <w:r>
        <w:t xml:space="preserve">	</w:t>
      </w:r>
      <w:r>
        <w:t xml:space="preserve">Bak, P.</w:t>
      </w:r>
      <w:r>
        <w:t xml:space="preserve"> </w:t>
      </w:r>
      <w:r>
        <w:rPr>
          <w:i/>
          <w:iCs/>
        </w:rPr>
        <w:t xml:space="preserve">How</w:t>
      </w:r>
      <w:r>
        <w:rPr>
          <w:i/>
          <w:iCs/>
        </w:rPr>
        <w:t xml:space="preserve"> </w:t>
      </w:r>
      <w:r>
        <w:rPr>
          <w:i/>
          <w:iCs/>
        </w:rPr>
        <w:t xml:space="preserve">Nature Works</w:t>
      </w:r>
      <w:r>
        <w:t xml:space="preserve">. (Springer, New York, NY, 1996). doi:</w:t>
      </w:r>
      <w:hyperlink r:id="rId104">
        <w:r>
          <w:rPr>
            <w:rStyle w:val="InternetLink"/>
          </w:rPr>
          <w:t xml:space="preserve">10.1007/978-1-4757-5426-1</w:t>
        </w:r>
      </w:hyperlink>
      <w:r>
        <w:t xml:space="preserve">.</w:t>
      </w:r>
    </w:p>
    <w:bookmarkEnd w:id="105"/>
    <w:bookmarkStart w:id="107" w:name="ref-rubensteinModelAutismIncreased2003"/>
    <w:p>
      <w:pPr>
        <w:pStyle w:val="Bibliography"/>
      </w:pPr>
      <w:r>
        <w:t xml:space="preserve">17.</w:t>
      </w:r>
      <w:r>
        <w:t xml:space="preserve"> </w:t>
      </w:r>
      <w:r>
        <w:t xml:space="preserve">	</w:t>
      </w:r>
      <w:r>
        <w:t xml:space="preserve">Rubenstein, J. L. R. &amp; Merzenich, M. M.</w:t>
      </w:r>
      <w:r>
        <w:t xml:space="preserve"> </w:t>
      </w:r>
      <w:hyperlink r:id="rId106">
        <w:r>
          <w:rPr>
            <w:rStyle w:val="InternetLink"/>
          </w:rPr>
          <w:t xml:space="preserve">Model of autism: Increased ratio of excitation/inhibition in key neural systems</w:t>
        </w:r>
      </w:hyperlink>
      <w:r>
        <w:t xml:space="preserve">.</w:t>
      </w:r>
      <w:r>
        <w:t xml:space="preserve"> </w:t>
      </w:r>
      <w:r>
        <w:rPr>
          <w:i/>
          <w:iCs/>
        </w:rPr>
        <w:t xml:space="preserve">Genes, brain, and behavior</w:t>
      </w:r>
      <w:r>
        <w:t xml:space="preserve"> </w:t>
      </w:r>
      <w:r>
        <w:rPr>
          <w:b/>
          <w:bCs/>
        </w:rPr>
        <w:t xml:space="preserve">2</w:t>
      </w:r>
      <w:r>
        <w:t xml:space="preserve">, 255–267 (2003).</w:t>
      </w:r>
    </w:p>
    <w:bookmarkEnd w:id="107"/>
    <w:bookmarkStart w:id="109" w:name="X8844ad3d8d9e8a223627135108c22cce11cb1c9"/>
    <w:p>
      <w:pPr>
        <w:pStyle w:val="Bibliography"/>
      </w:pPr>
      <w:r>
        <w:t xml:space="preserve">18.</w:t>
      </w:r>
      <w:r>
        <w:t xml:space="preserve"> </w:t>
      </w:r>
      <w:r>
        <w:t xml:space="preserve">	</w:t>
      </w:r>
      <w:r>
        <w:t xml:space="preserve">Lauterborn, J. C.</w:t>
      </w:r>
      <w:r>
        <w:t xml:space="preserve"> </w:t>
      </w:r>
      <w:r>
        <w:rPr>
          <w:i/>
          <w:iCs/>
        </w:rPr>
        <w:t xml:space="preserve">et al.</w:t>
      </w:r>
      <w:r>
        <w:t xml:space="preserve"> </w:t>
      </w:r>
      <w:hyperlink r:id="rId108">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09"/>
    <w:bookmarkStart w:id="111" w:name="X64994448b976e637152e47fbc640fd4797f44ad"/>
    <w:p>
      <w:pPr>
        <w:pStyle w:val="Bibliography"/>
      </w:pPr>
      <w:r>
        <w:t xml:space="preserve">19.</w:t>
      </w:r>
      <w:r>
        <w:t xml:space="preserve"> </w:t>
      </w:r>
      <w:r>
        <w:t xml:space="preserve">	</w:t>
      </w:r>
      <w:r>
        <w:t xml:space="preserve">Sohal, V. S. &amp; Rubenstein, J. L. R.</w:t>
      </w:r>
      <w:r>
        <w:t xml:space="preserve"> </w:t>
      </w:r>
      <w:hyperlink r:id="rId110">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11"/>
    <w:bookmarkStart w:id="113" w:name="X15522e51d4999d4481434cec6c8927ac1afe02d"/>
    <w:p>
      <w:pPr>
        <w:pStyle w:val="Bibliography"/>
      </w:pPr>
      <w:r>
        <w:t xml:space="preserve">20.</w:t>
      </w:r>
      <w:r>
        <w:t xml:space="preserve"> </w:t>
      </w:r>
      <w:r>
        <w:t xml:space="preserve">	</w:t>
      </w:r>
      <w:r>
        <w:t xml:space="preserve">Muñoz, M. A.</w:t>
      </w:r>
      <w:r>
        <w:t xml:space="preserve"> </w:t>
      </w:r>
      <w:hyperlink r:id="rId112">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13"/>
    <w:bookmarkStart w:id="115" w:name="X3100962fe0ebda0a64b076c39ca996352c3077e"/>
    <w:p>
      <w:pPr>
        <w:pStyle w:val="Bibliography"/>
      </w:pPr>
      <w:r>
        <w:t xml:space="preserve">21.</w:t>
      </w:r>
      <w:r>
        <w:t xml:space="preserve"> </w:t>
      </w:r>
      <w:r>
        <w:t xml:space="preserve">	</w:t>
      </w:r>
      <w:r>
        <w:t xml:space="preserve">Caserta, F.</w:t>
      </w:r>
      <w:r>
        <w:t xml:space="preserve"> </w:t>
      </w:r>
      <w:r>
        <w:rPr>
          <w:i/>
          <w:iCs/>
        </w:rPr>
        <w:t xml:space="preserve">et al.</w:t>
      </w:r>
      <w:r>
        <w:t xml:space="preserve"> </w:t>
      </w:r>
      <w:hyperlink r:id="rId114">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15"/>
    <w:bookmarkStart w:id="117" w:name="X3f056608b292383f7f819c315b768813843e4ba"/>
    <w:p>
      <w:pPr>
        <w:pStyle w:val="Bibliography"/>
      </w:pPr>
      <w:r>
        <w:t xml:space="preserve">22.</w:t>
      </w:r>
      <w:r>
        <w:t xml:space="preserve"> </w:t>
      </w:r>
      <w:r>
        <w:t xml:space="preserve">	</w:t>
      </w:r>
      <w:r>
        <w:t xml:space="preserve">Lowen, S. B., Cash, S. S., Poo, M. &amp; Teich, M. C.</w:t>
      </w:r>
      <w:r>
        <w:t xml:space="preserve"> </w:t>
      </w:r>
      <w:hyperlink r:id="rId116">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17"/>
    <w:bookmarkStart w:id="119" w:name="X2d1e1346fb5eebb46556911e8a6473781bd7363"/>
    <w:p>
      <w:pPr>
        <w:pStyle w:val="Bibliography"/>
      </w:pPr>
      <w:r>
        <w:t xml:space="preserve">23.</w:t>
      </w:r>
      <w:r>
        <w:t xml:space="preserve"> </w:t>
      </w:r>
      <w:r>
        <w:t xml:space="preserve">	</w:t>
      </w:r>
      <w:r>
        <w:t xml:space="preserve">Mazzoni, A.</w:t>
      </w:r>
      <w:r>
        <w:t xml:space="preserve"> </w:t>
      </w:r>
      <w:r>
        <w:rPr>
          <w:i/>
          <w:iCs/>
        </w:rPr>
        <w:t xml:space="preserve">et al.</w:t>
      </w:r>
      <w:r>
        <w:t xml:space="preserve"> </w:t>
      </w:r>
      <w:hyperlink r:id="rId118">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19"/>
    <w:bookmarkStart w:id="121" w:name="ref-bedardMacroscopicModelsLocal2009"/>
    <w:p>
      <w:pPr>
        <w:pStyle w:val="Bibliography"/>
      </w:pPr>
      <w:r>
        <w:t xml:space="preserve">24.</w:t>
      </w:r>
      <w:r>
        <w:t xml:space="preserve"> </w:t>
      </w:r>
      <w:r>
        <w:t xml:space="preserve">	</w:t>
      </w:r>
      <w:r>
        <w:t xml:space="preserve">Bédard, C. &amp; Destexhe, A.</w:t>
      </w:r>
      <w:r>
        <w:t xml:space="preserve"> </w:t>
      </w:r>
      <w:hyperlink r:id="rId120">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21"/>
    <w:bookmarkStart w:id="123" w:name="X320e96e3d65881e8fa79bfcbbde85012f4f91da"/>
    <w:p>
      <w:pPr>
        <w:pStyle w:val="Bibliography"/>
      </w:pPr>
      <w:r>
        <w:t xml:space="preserve">25.</w:t>
      </w:r>
      <w:r>
        <w:t xml:space="preserve"> </w:t>
      </w:r>
      <w:r>
        <w:t xml:space="preserve">	</w:t>
      </w:r>
      <w:r>
        <w:t xml:space="preserve">Bullmore, E. T.</w:t>
      </w:r>
      <w:r>
        <w:t xml:space="preserve"> </w:t>
      </w:r>
      <w:r>
        <w:rPr>
          <w:i/>
          <w:iCs/>
        </w:rPr>
        <w:t xml:space="preserve">et al.</w:t>
      </w:r>
      <w:r>
        <w:t xml:space="preserve"> </w:t>
      </w:r>
      <w:hyperlink r:id="rId122">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23"/>
    <w:bookmarkStart w:id="125" w:name="ref-zarahnEmpiricalAnalysesBOLD1997"/>
    <w:p>
      <w:pPr>
        <w:pStyle w:val="Bibliography"/>
      </w:pPr>
      <w:r>
        <w:t xml:space="preserve">26.</w:t>
      </w:r>
      <w:r>
        <w:t xml:space="preserve"> </w:t>
      </w:r>
      <w:r>
        <w:t xml:space="preserve">	</w:t>
      </w:r>
      <w:r>
        <w:t xml:space="preserve">Zarahn, E., Aguirre, G. K. &amp; D’Esposito, M.</w:t>
      </w:r>
      <w:r>
        <w:t xml:space="preserve"> </w:t>
      </w:r>
      <w:hyperlink r:id="rId124">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25"/>
    <w:bookmarkStart w:id="127" w:name="Xd7b015f33a1488d89f221ec12f970e1003b9efe"/>
    <w:p>
      <w:pPr>
        <w:pStyle w:val="Bibliography"/>
      </w:pPr>
      <w:r>
        <w:t xml:space="preserve">27.</w:t>
      </w:r>
      <w:r>
        <w:t xml:space="preserve"> </w:t>
      </w:r>
      <w:r>
        <w:t xml:space="preserve">	</w:t>
      </w:r>
      <w:r>
        <w:t xml:space="preserve">Fadili, M. J. &amp; Bullmore, E. T.</w:t>
      </w:r>
      <w:r>
        <w:t xml:space="preserve"> </w:t>
      </w:r>
      <w:hyperlink r:id="rId126">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27"/>
    <w:bookmarkStart w:id="129" w:name="X790fe44bee6d974469e7b4e816b8211f69a1fdd"/>
    <w:p>
      <w:pPr>
        <w:pStyle w:val="Bibliography"/>
      </w:pPr>
      <w:r>
        <w:t xml:space="preserve">28.</w:t>
      </w:r>
      <w:r>
        <w:t xml:space="preserve"> </w:t>
      </w:r>
      <w:r>
        <w:t xml:space="preserve">	</w:t>
      </w:r>
      <w:r>
        <w:t xml:space="preserve">Campbell, O. L. &amp; Weber, A. M.</w:t>
      </w:r>
      <w:r>
        <w:t xml:space="preserve"> </w:t>
      </w:r>
      <w:hyperlink r:id="rId128">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29"/>
    <w:bookmarkStart w:id="131" w:name="X3ea812e4ccad662b9abc313f9dff7ec9c62bbb8"/>
    <w:p>
      <w:pPr>
        <w:pStyle w:val="Bibliography"/>
      </w:pPr>
      <w:r>
        <w:t xml:space="preserve">29.</w:t>
      </w:r>
      <w:r>
        <w:t xml:space="preserve"> </w:t>
      </w:r>
      <w:r>
        <w:t xml:space="preserve">	</w:t>
      </w:r>
      <w:r>
        <w:t xml:space="preserve">Eke, A., Herman, P., Kocsis, L. &amp; Kozak, L. R.</w:t>
      </w:r>
      <w:r>
        <w:t xml:space="preserve"> </w:t>
      </w:r>
      <w:hyperlink r:id="rId130">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31"/>
    <w:bookmarkStart w:id="133" w:name="ref-hurstLongTermStorageCapacity1951"/>
    <w:p>
      <w:pPr>
        <w:pStyle w:val="Bibliography"/>
      </w:pPr>
      <w:r>
        <w:t xml:space="preserve">30.</w:t>
      </w:r>
      <w:r>
        <w:t xml:space="preserve"> </w:t>
      </w:r>
      <w:r>
        <w:t xml:space="preserve">	</w:t>
      </w:r>
      <w:r>
        <w:t xml:space="preserve">Hurst, H. E.</w:t>
      </w:r>
      <w:r>
        <w:t xml:space="preserve"> </w:t>
      </w:r>
      <w:hyperlink r:id="rId132">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33"/>
    <w:bookmarkStart w:id="134" w:name="ref-dongHurstExponentAnalysis2018"/>
    <w:p>
      <w:pPr>
        <w:pStyle w:val="Bibliography"/>
      </w:pPr>
      <w:r>
        <w:t xml:space="preserve">31.</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34"/>
    <w:bookmarkStart w:id="136" w:name="X6ee2ccee5d4e65211fef03ed8b33a5daf3d2e4e"/>
    <w:p>
      <w:pPr>
        <w:pStyle w:val="Bibliography"/>
      </w:pPr>
      <w:r>
        <w:t xml:space="preserve">32.</w:t>
      </w:r>
      <w:r>
        <w:t xml:space="preserve"> </w:t>
      </w:r>
      <w:r>
        <w:t xml:space="preserve">	</w:t>
      </w:r>
      <w:r>
        <w:t xml:space="preserve">Wink, A.-M., Bullmore, E., Barnes, A., Bernard, F. &amp; Suckling, J.</w:t>
      </w:r>
      <w:r>
        <w:t xml:space="preserve"> </w:t>
      </w:r>
      <w:hyperlink r:id="rId135">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36"/>
    <w:bookmarkStart w:id="138" w:name="X67f88f309fcd2f4a1598267ccaa3cd1cbb49c50"/>
    <w:p>
      <w:pPr>
        <w:pStyle w:val="Bibliography"/>
      </w:pPr>
      <w:r>
        <w:t xml:space="preserve">33.</w:t>
      </w:r>
      <w:r>
        <w:t xml:space="preserve"> </w:t>
      </w:r>
      <w:r>
        <w:t xml:space="preserve">	</w:t>
      </w:r>
      <w:r>
        <w:t xml:space="preserve">Ciuciu, P., Abry, P. &amp; He, B. J.</w:t>
      </w:r>
      <w:r>
        <w:t xml:space="preserve"> </w:t>
      </w:r>
      <w:hyperlink r:id="rId137">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38"/>
    <w:bookmarkStart w:id="140" w:name="ref-heScaleFreePropertiesFunctional2011"/>
    <w:p>
      <w:pPr>
        <w:pStyle w:val="Bibliography"/>
      </w:pPr>
      <w:r>
        <w:t xml:space="preserve">34.</w:t>
      </w:r>
      <w:r>
        <w:t xml:space="preserve"> </w:t>
      </w:r>
      <w:r>
        <w:t xml:space="preserve">	</w:t>
      </w:r>
      <w:r>
        <w:t xml:space="preserve">He, B. J.</w:t>
      </w:r>
      <w:r>
        <w:t xml:space="preserve"> </w:t>
      </w:r>
      <w:hyperlink r:id="rId139">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40"/>
    <w:bookmarkStart w:id="141" w:name="ref-campbellFractalBasedAnalysisFMRI2022"/>
    <w:p>
      <w:pPr>
        <w:pStyle w:val="Bibliography"/>
      </w:pPr>
      <w:r>
        <w:t xml:space="preserve">35.</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41"/>
    <w:bookmarkStart w:id="143" w:name="Xafc73dd94de471dc6ce7bfbb5fb85cdff354abb"/>
    <w:p>
      <w:pPr>
        <w:pStyle w:val="Bibliography"/>
      </w:pPr>
      <w:r>
        <w:t xml:space="preserve">36.</w:t>
      </w:r>
      <w:r>
        <w:t xml:space="preserve"> </w:t>
      </w:r>
      <w:r>
        <w:t xml:space="preserve">	</w:t>
      </w:r>
      <w:r>
        <w:t xml:space="preserve">Churchill, N. W.</w:t>
      </w:r>
      <w:r>
        <w:t xml:space="preserve"> </w:t>
      </w:r>
      <w:r>
        <w:rPr>
          <w:i/>
          <w:iCs/>
        </w:rPr>
        <w:t xml:space="preserve">et al.</w:t>
      </w:r>
      <w:r>
        <w:t xml:space="preserve"> </w:t>
      </w:r>
      <w:hyperlink r:id="rId142">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43"/>
    <w:bookmarkStart w:id="145" w:name="ref-winkAgeCholinergicEffects2006"/>
    <w:p>
      <w:pPr>
        <w:pStyle w:val="Bibliography"/>
      </w:pPr>
      <w:r>
        <w:t xml:space="preserve">37.</w:t>
      </w:r>
      <w:r>
        <w:t xml:space="preserve"> </w:t>
      </w:r>
      <w:r>
        <w:t xml:space="preserve">	</w:t>
      </w:r>
      <w:r>
        <w:t xml:space="preserve">Wink, A. M., Bernard, F., Salvador, R., Bullmore, E. &amp; Suckling, J.</w:t>
      </w:r>
      <w:r>
        <w:t xml:space="preserve"> </w:t>
      </w:r>
      <w:hyperlink r:id="rId144">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45"/>
    <w:bookmarkStart w:id="147" w:name="Xb783d2555b92d46afdfcb97c84763e9aa4bd336"/>
    <w:p>
      <w:pPr>
        <w:pStyle w:val="Bibliography"/>
      </w:pPr>
      <w:r>
        <w:t xml:space="preserve">38.</w:t>
      </w:r>
      <w:r>
        <w:t xml:space="preserve"> </w:t>
      </w:r>
      <w:r>
        <w:t xml:space="preserve">	</w:t>
      </w:r>
      <w:r>
        <w:t xml:space="preserve">Mella, A. E., Vanderwal, T., Miller, S. P. &amp; Weber, A. M.</w:t>
      </w:r>
      <w:r>
        <w:t xml:space="preserve"> </w:t>
      </w:r>
      <w:hyperlink r:id="rId146">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47"/>
    <w:bookmarkStart w:id="149" w:name="ref-maximFractionalGaussianNoise2005"/>
    <w:p>
      <w:pPr>
        <w:pStyle w:val="Bibliography"/>
      </w:pPr>
      <w:r>
        <w:t xml:space="preserve">39.</w:t>
      </w:r>
      <w:r>
        <w:t xml:space="preserve"> </w:t>
      </w:r>
      <w:r>
        <w:t xml:space="preserve">	</w:t>
      </w:r>
      <w:r>
        <w:t xml:space="preserve">Maxim, V.</w:t>
      </w:r>
      <w:r>
        <w:t xml:space="preserve"> </w:t>
      </w:r>
      <w:r>
        <w:rPr>
          <w:i/>
          <w:iCs/>
        </w:rPr>
        <w:t xml:space="preserve">et al.</w:t>
      </w:r>
      <w:r>
        <w:t xml:space="preserve"> </w:t>
      </w:r>
      <w:hyperlink r:id="rId148">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49"/>
    <w:bookmarkStart w:id="151" w:name="ref-warsiCorrelatingBrainBlood2012"/>
    <w:p>
      <w:pPr>
        <w:pStyle w:val="Bibliography"/>
      </w:pPr>
      <w:r>
        <w:t xml:space="preserve">40.</w:t>
      </w:r>
      <w:r>
        <w:t xml:space="preserve"> </w:t>
      </w:r>
      <w:r>
        <w:t xml:space="preserve">	</w:t>
      </w:r>
      <w:r>
        <w:t xml:space="preserve">Warsi, M. A., Molloy, W. &amp; Noseworthy, M. D.</w:t>
      </w:r>
      <w:r>
        <w:t xml:space="preserve"> </w:t>
      </w:r>
      <w:hyperlink r:id="rId150">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51"/>
    <w:bookmarkStart w:id="153" w:name="ref-donaTemporalFractalAnalysis2017"/>
    <w:p>
      <w:pPr>
        <w:pStyle w:val="Bibliography"/>
      </w:pPr>
      <w:r>
        <w:t xml:space="preserve">41.</w:t>
      </w:r>
      <w:r>
        <w:t xml:space="preserve"> </w:t>
      </w:r>
      <w:r>
        <w:t xml:space="preserve">	</w:t>
      </w:r>
      <w:r>
        <w:t xml:space="preserve">Dona, O., Hall, G. B. &amp; Noseworthy, M. D.</w:t>
      </w:r>
      <w:r>
        <w:t xml:space="preserve"> </w:t>
      </w:r>
      <w:hyperlink r:id="rId152">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53"/>
    <w:bookmarkStart w:id="155" w:name="ref-laiShiftRandomnessBrain2010"/>
    <w:p>
      <w:pPr>
        <w:pStyle w:val="Bibliography"/>
      </w:pPr>
      <w:r>
        <w:t xml:space="preserve">42.</w:t>
      </w:r>
      <w:r>
        <w:t xml:space="preserve"> </w:t>
      </w:r>
      <w:r>
        <w:t xml:space="preserve">	</w:t>
      </w:r>
      <w:r>
        <w:t xml:space="preserve">Lai, M.-C.</w:t>
      </w:r>
      <w:r>
        <w:t xml:space="preserve"> </w:t>
      </w:r>
      <w:r>
        <w:rPr>
          <w:i/>
          <w:iCs/>
        </w:rPr>
        <w:t xml:space="preserve">et al.</w:t>
      </w:r>
      <w:r>
        <w:t xml:space="preserve"> </w:t>
      </w:r>
      <w:hyperlink r:id="rId154">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55"/>
    <w:bookmarkStart w:id="157" w:name="ref-linkeAlteredDevelopmentHurst2024"/>
    <w:p>
      <w:pPr>
        <w:pStyle w:val="Bibliography"/>
      </w:pPr>
      <w:r>
        <w:t xml:space="preserve">43.</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56">
        <w:r>
          <w:rPr>
            <w:rStyle w:val="InternetLink"/>
          </w:rPr>
          <w:t xml:space="preserve">10.1016/j.bpsc.2024.09.003</w:t>
        </w:r>
      </w:hyperlink>
      <w:r>
        <w:t xml:space="preserve">.</w:t>
      </w:r>
    </w:p>
    <w:bookmarkEnd w:id="157"/>
    <w:bookmarkStart w:id="159" w:name="X9db7696ad2e4faacd50572793eadf5dbc11376b"/>
    <w:p>
      <w:pPr>
        <w:pStyle w:val="Bibliography"/>
      </w:pPr>
      <w:r>
        <w:t xml:space="preserve">44.</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58">
        <w:r>
          <w:rPr>
            <w:rStyle w:val="InternetLink"/>
          </w:rPr>
          <w:t xml:space="preserve">10.1101/2022.05.24.22275531</w:t>
        </w:r>
      </w:hyperlink>
      <w:r>
        <w:t xml:space="preserve">.</w:t>
      </w:r>
    </w:p>
    <w:bookmarkEnd w:id="159"/>
    <w:bookmarkStart w:id="161" w:name="ref-donaFractalAnalysisBrain2017"/>
    <w:p>
      <w:pPr>
        <w:pStyle w:val="Bibliography"/>
      </w:pPr>
      <w:r>
        <w:t xml:space="preserve">45.</w:t>
      </w:r>
      <w:r>
        <w:t xml:space="preserve"> </w:t>
      </w:r>
      <w:r>
        <w:t xml:space="preserve">	</w:t>
      </w:r>
      <w:r>
        <w:t xml:space="preserve">Dona, O., Noseworthy, M. D., DeMatteo, C. &amp; Connolly, J. F.</w:t>
      </w:r>
      <w:r>
        <w:t xml:space="preserve"> </w:t>
      </w:r>
      <w:hyperlink r:id="rId160">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61"/>
    <w:bookmarkStart w:id="163" w:name="ref-weiIdentifyingMajorDepressive2013"/>
    <w:p>
      <w:pPr>
        <w:pStyle w:val="Bibliography"/>
      </w:pPr>
      <w:r>
        <w:t xml:space="preserve">46.</w:t>
      </w:r>
      <w:r>
        <w:t xml:space="preserve"> </w:t>
      </w:r>
      <w:r>
        <w:t xml:space="preserve">	</w:t>
      </w:r>
      <w:r>
        <w:t xml:space="preserve">Wei, M.</w:t>
      </w:r>
      <w:r>
        <w:t xml:space="preserve"> </w:t>
      </w:r>
      <w:r>
        <w:rPr>
          <w:i/>
          <w:iCs/>
        </w:rPr>
        <w:t xml:space="preserve">et al.</w:t>
      </w:r>
      <w:r>
        <w:t xml:space="preserve"> </w:t>
      </w:r>
      <w:hyperlink r:id="rId162">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63"/>
    <w:bookmarkStart w:id="165" w:name="ref-jingIdentifyingCurrentRemitted2017"/>
    <w:p>
      <w:pPr>
        <w:pStyle w:val="Bibliography"/>
      </w:pPr>
      <w:r>
        <w:t xml:space="preserve">47.</w:t>
      </w:r>
      <w:r>
        <w:t xml:space="preserve"> </w:t>
      </w:r>
      <w:r>
        <w:t xml:space="preserve">	</w:t>
      </w:r>
      <w:r>
        <w:t xml:space="preserve">Jing, B.</w:t>
      </w:r>
      <w:r>
        <w:t xml:space="preserve"> </w:t>
      </w:r>
      <w:r>
        <w:rPr>
          <w:i/>
          <w:iCs/>
        </w:rPr>
        <w:t xml:space="preserve">et al.</w:t>
      </w:r>
      <w:r>
        <w:t xml:space="preserve"> </w:t>
      </w:r>
      <w:hyperlink r:id="rId164">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65"/>
    <w:bookmarkStart w:id="167" w:name="Xb33ad22c9aea02cb9e68fb14f52e57e52d7323b"/>
    <w:p>
      <w:pPr>
        <w:pStyle w:val="Bibliography"/>
      </w:pPr>
      <w:r>
        <w:t xml:space="preserve">48.</w:t>
      </w:r>
      <w:r>
        <w:t xml:space="preserve"> </w:t>
      </w:r>
      <w:r>
        <w:t xml:space="preserve">	</w:t>
      </w:r>
      <w:r>
        <w:t xml:space="preserve">Sokunbi, M. O.</w:t>
      </w:r>
      <w:r>
        <w:t xml:space="preserve"> </w:t>
      </w:r>
      <w:r>
        <w:rPr>
          <w:i/>
          <w:iCs/>
        </w:rPr>
        <w:t xml:space="preserve">et al.</w:t>
      </w:r>
      <w:r>
        <w:t xml:space="preserve"> </w:t>
      </w:r>
      <w:hyperlink r:id="rId166">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67"/>
    <w:bookmarkStart w:id="169" w:name="X79642ef279d4aea0ebe5e10d2cba19e16f93a8d"/>
    <w:p>
      <w:pPr>
        <w:pStyle w:val="Bibliography"/>
      </w:pPr>
      <w:r>
        <w:t xml:space="preserve">49.</w:t>
      </w:r>
      <w:r>
        <w:t xml:space="preserve"> </w:t>
      </w:r>
      <w:r>
        <w:t xml:space="preserve">	</w:t>
      </w:r>
      <w:r>
        <w:t xml:space="preserve">Vico Varela, E., Etter, G. &amp; Williams, S.</w:t>
      </w:r>
      <w:r>
        <w:t xml:space="preserve"> </w:t>
      </w:r>
      <w:hyperlink r:id="rId168">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69"/>
    <w:bookmarkStart w:id="171" w:name="X74eeba1900ceb98dfbcd7382bee95fe128676bf"/>
    <w:p>
      <w:pPr>
        <w:pStyle w:val="Bibliography"/>
      </w:pPr>
      <w:r>
        <w:t xml:space="preserve">50.</w:t>
      </w:r>
      <w:r>
        <w:t xml:space="preserve"> </w:t>
      </w:r>
      <w:r>
        <w:t xml:space="preserve">	</w:t>
      </w:r>
      <w:r>
        <w:t xml:space="preserve">Uzunova, G., Pallanti, S. &amp; Hollander, E.</w:t>
      </w:r>
      <w:r>
        <w:t xml:space="preserve"> </w:t>
      </w:r>
      <w:hyperlink r:id="rId170">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71"/>
    <w:bookmarkStart w:id="173" w:name="X195a6a133ec6fab0acbef6fbf212c03ad0ed323"/>
    <w:p>
      <w:pPr>
        <w:pStyle w:val="Bibliography"/>
      </w:pPr>
      <w:r>
        <w:t xml:space="preserve">51.</w:t>
      </w:r>
      <w:r>
        <w:t xml:space="preserve"> </w:t>
      </w:r>
      <w:r>
        <w:t xml:space="preserve">	</w:t>
      </w:r>
      <w:r>
        <w:t xml:space="preserve">Page, C. E. &amp; Coutellier, L.</w:t>
      </w:r>
      <w:r>
        <w:t xml:space="preserve"> </w:t>
      </w:r>
      <w:hyperlink r:id="rId172">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73"/>
    <w:bookmarkStart w:id="175" w:name="ref-kangInterplayMentalDisorder2019"/>
    <w:p>
      <w:pPr>
        <w:pStyle w:val="Bibliography"/>
      </w:pPr>
      <w:r>
        <w:t xml:space="preserve">52.</w:t>
      </w:r>
      <w:r>
        <w:t xml:space="preserve"> </w:t>
      </w:r>
      <w:r>
        <w:t xml:space="preserve">	</w:t>
      </w:r>
      <w:r>
        <w:t xml:space="preserve">Kang, E.</w:t>
      </w:r>
      <w:r>
        <w:t xml:space="preserve"> </w:t>
      </w:r>
      <w:r>
        <w:rPr>
          <w:i/>
          <w:iCs/>
        </w:rPr>
        <w:t xml:space="preserve">et al.</w:t>
      </w:r>
      <w:r>
        <w:t xml:space="preserve"> </w:t>
      </w:r>
      <w:hyperlink r:id="rId174">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75"/>
    <w:bookmarkStart w:id="177" w:name="ref-ajramContribution1HMagnetic2019"/>
    <w:p>
      <w:pPr>
        <w:pStyle w:val="Bibliography"/>
      </w:pPr>
      <w:r>
        <w:t xml:space="preserve">53.</w:t>
      </w:r>
      <w:r>
        <w:t xml:space="preserve"> </w:t>
      </w:r>
      <w:r>
        <w:t xml:space="preserve">	</w:t>
      </w:r>
      <w:r>
        <w:t xml:space="preserve">Ajram, L. A.</w:t>
      </w:r>
      <w:r>
        <w:t xml:space="preserve"> </w:t>
      </w:r>
      <w:r>
        <w:rPr>
          <w:i/>
          <w:iCs/>
        </w:rPr>
        <w:t xml:space="preserve">et al.</w:t>
      </w:r>
      <w:r>
        <w:t xml:space="preserve"> </w:t>
      </w:r>
      <w:hyperlink r:id="rId176">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77"/>
    <w:bookmarkStart w:id="179" w:name="X33af55f10e3529ea3b703273ed55b97973a9c47"/>
    <w:p>
      <w:pPr>
        <w:pStyle w:val="Bibliography"/>
      </w:pPr>
      <w:r>
        <w:t xml:space="preserve">54.</w:t>
      </w:r>
      <w:r>
        <w:t xml:space="preserve"> </w:t>
      </w:r>
      <w:r>
        <w:t xml:space="preserve">	</w:t>
      </w:r>
      <w:r>
        <w:t xml:space="preserve">Stanley, J. A. &amp; Raz, N.</w:t>
      </w:r>
      <w:r>
        <w:t xml:space="preserve"> </w:t>
      </w:r>
      <w:hyperlink r:id="rId178">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79"/>
    <w:bookmarkStart w:id="181" w:name="ref-harrisEdited1Magnetic2017"/>
    <w:p>
      <w:pPr>
        <w:pStyle w:val="Bibliography"/>
      </w:pPr>
      <w:r>
        <w:t xml:space="preserve">55.</w:t>
      </w:r>
      <w:r>
        <w:t xml:space="preserve"> </w:t>
      </w:r>
      <w:r>
        <w:t xml:space="preserve">	</w:t>
      </w:r>
      <w:r>
        <w:t xml:space="preserve">Harris, A. D., Saleh, M. G. &amp; Edden, R. A. E.</w:t>
      </w:r>
      <w:r>
        <w:t xml:space="preserve"> </w:t>
      </w:r>
      <w:hyperlink r:id="rId180">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81"/>
    <w:bookmarkStart w:id="183" w:name="ref-peekComprehensiveGuideMEGAPRESS2023"/>
    <w:p>
      <w:pPr>
        <w:pStyle w:val="Bibliography"/>
      </w:pPr>
      <w:r>
        <w:t xml:space="preserve">56.</w:t>
      </w:r>
      <w:r>
        <w:t xml:space="preserve"> </w:t>
      </w:r>
      <w:r>
        <w:t xml:space="preserve">	</w:t>
      </w:r>
      <w:r>
        <w:t xml:space="preserve">Peek, A. L.</w:t>
      </w:r>
      <w:r>
        <w:t xml:space="preserve"> </w:t>
      </w:r>
      <w:r>
        <w:rPr>
          <w:i/>
          <w:iCs/>
        </w:rPr>
        <w:t xml:space="preserve">et al.</w:t>
      </w:r>
      <w:r>
        <w:t xml:space="preserve"> </w:t>
      </w:r>
      <w:hyperlink r:id="rId182">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83"/>
    <w:bookmarkStart w:id="185" w:name="ref-poilFastNetworkOscillations2011"/>
    <w:p>
      <w:pPr>
        <w:pStyle w:val="Bibliography"/>
      </w:pPr>
      <w:r>
        <w:t xml:space="preserve">57.</w:t>
      </w:r>
      <w:r>
        <w:t xml:space="preserve"> </w:t>
      </w:r>
      <w:r>
        <w:t xml:space="preserve">	</w:t>
      </w:r>
      <w:r>
        <w:t xml:space="preserve">Poil, S.-S.</w:t>
      </w:r>
      <w:r>
        <w:t xml:space="preserve"> </w:t>
      </w:r>
      <w:r>
        <w:rPr>
          <w:i/>
          <w:iCs/>
        </w:rPr>
        <w:t xml:space="preserve">et al.</w:t>
      </w:r>
      <w:r>
        <w:t xml:space="preserve"> </w:t>
      </w:r>
      <w:hyperlink r:id="rId184">
        <w:r>
          <w:rPr>
            <w:rStyle w:val="InternetLink"/>
          </w:rPr>
          <w:t xml:space="preserve">Fast network oscillations in vitro exhibit a slow decay of temporal auto-correlations:</w:t>
        </w:r>
        <w:r>
          <w:rPr>
            <w:rStyle w:val="InternetLink"/>
          </w:rPr>
          <w:t xml:space="preserve"> </w:t>
        </w:r>
        <w:r>
          <w:rPr>
            <w:rStyle w:val="InternetLink"/>
          </w:rPr>
          <w:t xml:space="preserve">Stability</w:t>
        </w:r>
        <w:r>
          <w:rPr>
            <w:rStyle w:val="InternetLink"/>
          </w:rPr>
          <w:t xml:space="preserve"> </w:t>
        </w:r>
        <w:r>
          <w:rPr>
            <w:rStyle w:val="InternetLink"/>
          </w:rPr>
          <w:t xml:space="preserve">of fast network oscillations</w:t>
        </w:r>
      </w:hyperlink>
      <w:r>
        <w:t xml:space="preserve">.</w:t>
      </w:r>
      <w:r>
        <w:t xml:space="preserve"> </w:t>
      </w:r>
      <w:r>
        <w:rPr>
          <w:i/>
          <w:iCs/>
        </w:rPr>
        <w:t xml:space="preserve">European Journal of Neuroscience</w:t>
      </w:r>
      <w:r>
        <w:t xml:space="preserve"> </w:t>
      </w:r>
      <w:r>
        <w:rPr>
          <w:b/>
          <w:bCs/>
        </w:rPr>
        <w:t xml:space="preserve">34</w:t>
      </w:r>
      <w:r>
        <w:t xml:space="preserve">, 394–403 (2011).</w:t>
      </w:r>
    </w:p>
    <w:bookmarkEnd w:id="185"/>
    <w:bookmarkStart w:id="187" w:name="X670c54a005ed7507f4626875ce455b6cc32d0d9"/>
    <w:p>
      <w:pPr>
        <w:pStyle w:val="Bibliography"/>
      </w:pPr>
      <w:r>
        <w:t xml:space="preserve">58.</w:t>
      </w:r>
      <w:r>
        <w:t xml:space="preserve"> </w:t>
      </w:r>
      <w:r>
        <w:t xml:space="preserve">	</w:t>
      </w:r>
      <w:r>
        <w:t xml:space="preserve">Monto, S., Vanhatalo, S., Holmes, M. D. &amp; Palva, J. M.</w:t>
      </w:r>
      <w:r>
        <w:t xml:space="preserve"> </w:t>
      </w:r>
      <w:hyperlink r:id="rId186">
        <w:r>
          <w:rPr>
            <w:rStyle w:val="InternetLink"/>
          </w:rPr>
          <w:t xml:space="preserve">Epileptogenic</w:t>
        </w:r>
        <w:r>
          <w:rPr>
            <w:rStyle w:val="InternetLink"/>
          </w:rPr>
          <w:t xml:space="preserve"> </w:t>
        </w:r>
        <w:r>
          <w:rPr>
            <w:rStyle w:val="InternetLink"/>
          </w:rPr>
          <w:t xml:space="preserve">Neocortical Networks Are Revealed</w:t>
        </w:r>
        <w:r>
          <w:rPr>
            <w:rStyle w:val="InternetLink"/>
          </w:rPr>
          <w:t xml:space="preserve"> </w:t>
        </w:r>
        <w:r>
          <w:rPr>
            <w:rStyle w:val="InternetLink"/>
          </w:rPr>
          <w:t xml:space="preserve">by</w:t>
        </w:r>
        <w:r>
          <w:rPr>
            <w:rStyle w:val="InternetLink"/>
          </w:rPr>
          <w:t xml:space="preserve"> </w:t>
        </w:r>
        <w:r>
          <w:rPr>
            <w:rStyle w:val="InternetLink"/>
          </w:rPr>
          <w:t xml:space="preserve">Abnormal Temporal Dynamics</w:t>
        </w:r>
        <w:r>
          <w:rPr>
            <w:rStyle w:val="InternetLink"/>
          </w:rPr>
          <w:t xml:space="preserve"> </w:t>
        </w:r>
        <w:r>
          <w:rPr>
            <w:rStyle w:val="InternetLink"/>
          </w:rPr>
          <w:t xml:space="preserve">in</w:t>
        </w:r>
        <w:r>
          <w:rPr>
            <w:rStyle w:val="InternetLink"/>
          </w:rPr>
          <w:t xml:space="preserve"> </w:t>
        </w:r>
        <w:r>
          <w:rPr>
            <w:rStyle w:val="InternetLink"/>
          </w:rPr>
          <w:t xml:space="preserve">Seizure-Free Subdural EEG</w:t>
        </w:r>
      </w:hyperlink>
      <w:r>
        <w:t xml:space="preserve">.</w:t>
      </w:r>
      <w:r>
        <w:t xml:space="preserve"> </w:t>
      </w:r>
      <w:r>
        <w:rPr>
          <w:i/>
          <w:iCs/>
        </w:rPr>
        <w:t xml:space="preserve">Cerebral Cortex</w:t>
      </w:r>
      <w:r>
        <w:t xml:space="preserve"> </w:t>
      </w:r>
      <w:r>
        <w:rPr>
          <w:b/>
          <w:bCs/>
        </w:rPr>
        <w:t xml:space="preserve">17</w:t>
      </w:r>
      <w:r>
        <w:t xml:space="preserve">, 1386–1393 (2007).</w:t>
      </w:r>
    </w:p>
    <w:bookmarkEnd w:id="187"/>
    <w:bookmarkStart w:id="189" w:name="X57bd0e2605c22795c5bd8ffc8a5c4acda84f88f"/>
    <w:p>
      <w:pPr>
        <w:pStyle w:val="Bibliography"/>
      </w:pPr>
      <w:r>
        <w:t xml:space="preserve">59.</w:t>
      </w:r>
      <w:r>
        <w:t xml:space="preserve"> </w:t>
      </w:r>
      <w:r>
        <w:t xml:space="preserve">	</w:t>
      </w:r>
      <w:r>
        <w:t xml:space="preserve">Beggs, J. M. &amp; Plenz, D.</w:t>
      </w:r>
      <w:r>
        <w:t xml:space="preserve"> </w:t>
      </w:r>
      <w:hyperlink r:id="rId188">
        <w:r>
          <w:rPr>
            <w:rStyle w:val="InternetLink"/>
          </w:rPr>
          <w:t xml:space="preserve">Neuronal</w:t>
        </w:r>
        <w:r>
          <w:rPr>
            <w:rStyle w:val="InternetLink"/>
          </w:rPr>
          <w:t xml:space="preserve"> </w:t>
        </w:r>
        <w:r>
          <w:rPr>
            <w:rStyle w:val="InternetLink"/>
          </w:rPr>
          <w:t xml:space="preserve">Avalanches</w:t>
        </w:r>
        <w:r>
          <w:rPr>
            <w:rStyle w:val="InternetLink"/>
          </w:rPr>
          <w:t xml:space="preserve"> </w:t>
        </w:r>
        <w:r>
          <w:rPr>
            <w:rStyle w:val="InternetLink"/>
          </w:rPr>
          <w:t xml:space="preserve">in</w:t>
        </w:r>
        <w:r>
          <w:rPr>
            <w:rStyle w:val="InternetLink"/>
          </w:rPr>
          <w:t xml:space="preserve"> </w:t>
        </w:r>
        <w:r>
          <w:rPr>
            <w:rStyle w:val="InternetLink"/>
          </w:rPr>
          <w:t xml:space="preserve">Neocortical Circuits</w:t>
        </w:r>
      </w:hyperlink>
      <w:r>
        <w:t xml:space="preserve">.</w:t>
      </w:r>
      <w:r>
        <w:t xml:space="preserve"> </w:t>
      </w:r>
      <w:r>
        <w:rPr>
          <w:i/>
          <w:iCs/>
        </w:rPr>
        <w:t xml:space="preserve">The Journal of Neuroscience</w:t>
      </w:r>
      <w:r>
        <w:t xml:space="preserve"> </w:t>
      </w:r>
      <w:r>
        <w:rPr>
          <w:b/>
          <w:bCs/>
        </w:rPr>
        <w:t xml:space="preserve">23</w:t>
      </w:r>
      <w:r>
        <w:t xml:space="preserve">, 11167–11177 (2003).</w:t>
      </w:r>
    </w:p>
    <w:bookmarkEnd w:id="189"/>
    <w:bookmarkStart w:id="191" w:name="Xdb649a1852d5606ef37cf9435a5ad42696389d3"/>
    <w:p>
      <w:pPr>
        <w:pStyle w:val="Bibliography"/>
      </w:pPr>
      <w:r>
        <w:t xml:space="preserve">60.</w:t>
      </w:r>
      <w:r>
        <w:t xml:space="preserve"> </w:t>
      </w:r>
      <w:r>
        <w:t xml:space="preserve">	</w:t>
      </w:r>
      <w:r>
        <w:t xml:space="preserve">Gireesh, E. D. &amp; Plenz, D.</w:t>
      </w:r>
      <w:r>
        <w:t xml:space="preserve"> </w:t>
      </w:r>
      <w:hyperlink r:id="rId190">
        <w:r>
          <w:rPr>
            <w:rStyle w:val="InternetLink"/>
          </w:rPr>
          <w:t xml:space="preserve">Neuronal avalanches organize as nested theta- and beta/gamma-oscillations during development of cortical layer 2/3</w:t>
        </w:r>
      </w:hyperlink>
      <w:r>
        <w:t xml:space="preserve">.</w:t>
      </w:r>
      <w:r>
        <w:t xml:space="preserve"> </w:t>
      </w:r>
      <w:r>
        <w:rPr>
          <w:i/>
          <w:iCs/>
        </w:rPr>
        <w:t xml:space="preserve">Proceedings of the National Academy of Sciences</w:t>
      </w:r>
      <w:r>
        <w:t xml:space="preserve"> </w:t>
      </w:r>
      <w:r>
        <w:rPr>
          <w:b/>
          <w:bCs/>
        </w:rPr>
        <w:t xml:space="preserve">105</w:t>
      </w:r>
      <w:r>
        <w:t xml:space="preserve">, 7576–7581 (2008).</w:t>
      </w:r>
    </w:p>
    <w:bookmarkEnd w:id="191"/>
    <w:bookmarkStart w:id="193" w:name="ref-yangMaximalVariabilityPhase2012"/>
    <w:p>
      <w:pPr>
        <w:pStyle w:val="Bibliography"/>
      </w:pPr>
      <w:r>
        <w:t xml:space="preserve">61.</w:t>
      </w:r>
      <w:r>
        <w:t xml:space="preserve"> </w:t>
      </w:r>
      <w:r>
        <w:t xml:space="preserve">	</w:t>
      </w:r>
      <w:r>
        <w:t xml:space="preserve">Yang, H., Shew, W. L., Roy, R. &amp; Plenz, D.</w:t>
      </w:r>
      <w:r>
        <w:t xml:space="preserve"> </w:t>
      </w:r>
      <w:hyperlink r:id="rId192">
        <w:r>
          <w:rPr>
            <w:rStyle w:val="InternetLink"/>
          </w:rPr>
          <w:t xml:space="preserve">Maximal</w:t>
        </w:r>
        <w:r>
          <w:rPr>
            <w:rStyle w:val="InternetLink"/>
          </w:rPr>
          <w:t xml:space="preserve"> </w:t>
        </w:r>
        <w:r>
          <w:rPr>
            <w:rStyle w:val="InternetLink"/>
          </w:rPr>
          <w:t xml:space="preserve">Variability</w:t>
        </w:r>
        <w:r>
          <w:rPr>
            <w:rStyle w:val="InternetLink"/>
          </w:rPr>
          <w:t xml:space="preserve"> </w:t>
        </w:r>
        <w:r>
          <w:rPr>
            <w:rStyle w:val="InternetLink"/>
          </w:rPr>
          <w:t xml:space="preserve">of</w:t>
        </w:r>
        <w:r>
          <w:rPr>
            <w:rStyle w:val="InternetLink"/>
          </w:rPr>
          <w:t xml:space="preserve"> </w:t>
        </w:r>
        <w:r>
          <w:rPr>
            <w:rStyle w:val="InternetLink"/>
          </w:rPr>
          <w:t xml:space="preserve">Phase Synchrony</w:t>
        </w:r>
        <w:r>
          <w:rPr>
            <w:rStyle w:val="InternetLink"/>
          </w:rPr>
          <w:t xml:space="preserve"> </w:t>
        </w:r>
        <w:r>
          <w:rPr>
            <w:rStyle w:val="InternetLink"/>
          </w:rPr>
          <w:t xml:space="preserve">in</w:t>
        </w:r>
        <w:r>
          <w:rPr>
            <w:rStyle w:val="InternetLink"/>
          </w:rPr>
          <w:t xml:space="preserve"> </w:t>
        </w:r>
        <w:r>
          <w:rPr>
            <w:rStyle w:val="InternetLink"/>
          </w:rPr>
          <w:t xml:space="preserve">Cortical Networks</w:t>
        </w:r>
        <w:r>
          <w:rPr>
            <w:rStyle w:val="InternetLink"/>
          </w:rPr>
          <w:t xml:space="preserve"> </w:t>
        </w:r>
        <w:r>
          <w:rPr>
            <w:rStyle w:val="InternetLink"/>
          </w:rPr>
          <w:t xml:space="preserve">with</w:t>
        </w:r>
        <w:r>
          <w:rPr>
            <w:rStyle w:val="InternetLink"/>
          </w:rPr>
          <w:t xml:space="preserve"> </w:t>
        </w:r>
        <w:r>
          <w:rPr>
            <w:rStyle w:val="InternetLink"/>
          </w:rPr>
          <w:t xml:space="preserve">Neuronal Avalanches</w:t>
        </w:r>
      </w:hyperlink>
      <w:r>
        <w:t xml:space="preserve">.</w:t>
      </w:r>
      <w:r>
        <w:t xml:space="preserve"> </w:t>
      </w:r>
      <w:r>
        <w:rPr>
          <w:i/>
          <w:iCs/>
        </w:rPr>
        <w:t xml:space="preserve">The Journal of Neuroscience</w:t>
      </w:r>
      <w:r>
        <w:t xml:space="preserve"> </w:t>
      </w:r>
      <w:r>
        <w:rPr>
          <w:b/>
          <w:bCs/>
        </w:rPr>
        <w:t xml:space="preserve">32</w:t>
      </w:r>
      <w:r>
        <w:t xml:space="preserve">, 1061–1072 (2012).</w:t>
      </w:r>
    </w:p>
    <w:bookmarkEnd w:id="193"/>
    <w:bookmarkStart w:id="195" w:name="ref-obyrneHowCriticalBrain2022"/>
    <w:p>
      <w:pPr>
        <w:pStyle w:val="Bibliography"/>
      </w:pPr>
      <w:r>
        <w:t xml:space="preserve">62.</w:t>
      </w:r>
      <w:r>
        <w:t xml:space="preserve"> </w:t>
      </w:r>
      <w:r>
        <w:t xml:space="preserve">	</w:t>
      </w:r>
      <w:r>
        <w:t xml:space="preserve">O’Byrne, J. &amp; Jerbi, K.</w:t>
      </w:r>
      <w:r>
        <w:t xml:space="preserve"> </w:t>
      </w:r>
      <w:hyperlink r:id="rId194">
        <w:r>
          <w:rPr>
            <w:rStyle w:val="InternetLink"/>
          </w:rPr>
          <w:t xml:space="preserve">How critical is brain criticality?</w:t>
        </w:r>
      </w:hyperlink>
      <w:r>
        <w:t xml:space="preserve"> </w:t>
      </w:r>
      <w:r>
        <w:rPr>
          <w:i/>
          <w:iCs/>
        </w:rPr>
        <w:t xml:space="preserve">Trends in Neurosciences</w:t>
      </w:r>
      <w:r>
        <w:t xml:space="preserve"> </w:t>
      </w:r>
      <w:r>
        <w:rPr>
          <w:b/>
          <w:bCs/>
        </w:rPr>
        <w:t xml:space="preserve">45</w:t>
      </w:r>
      <w:r>
        <w:t xml:space="preserve">, 820–837 (2022).</w:t>
      </w:r>
    </w:p>
    <w:bookmarkEnd w:id="195"/>
    <w:bookmarkStart w:id="197" w:name="X8ce174dd83c21ef4ca7230b9898934f8cc25266"/>
    <w:p>
      <w:pPr>
        <w:pStyle w:val="Bibliography"/>
      </w:pPr>
      <w:r>
        <w:t xml:space="preserve">63.</w:t>
      </w:r>
      <w:r>
        <w:t xml:space="preserve"> </w:t>
      </w:r>
      <w:r>
        <w:t xml:space="preserve">	</w:t>
      </w:r>
      <w:r>
        <w:t xml:space="preserve">Plenz, D.</w:t>
      </w:r>
      <w:r>
        <w:t xml:space="preserve"> </w:t>
      </w:r>
      <w:r>
        <w:rPr>
          <w:i/>
          <w:iCs/>
        </w:rPr>
        <w:t xml:space="preserve">et al.</w:t>
      </w:r>
      <w:r>
        <w:t xml:space="preserve"> </w:t>
      </w:r>
      <w:hyperlink r:id="rId196">
        <w:r>
          <w:rPr>
            <w:rStyle w:val="InternetLink"/>
          </w:rPr>
          <w:t xml:space="preserve">Self-</w:t>
        </w:r>
        <w:r>
          <w:rPr>
            <w:rStyle w:val="InternetLink"/>
          </w:rPr>
          <w:t xml:space="preserve">Organized Criticality</w:t>
        </w:r>
        <w:r>
          <w:rPr>
            <w:rStyle w:val="InternetLink"/>
          </w:rPr>
          <w:t xml:space="preserve"> </w:t>
        </w:r>
        <w:r>
          <w:rPr>
            <w:rStyle w:val="InternetLink"/>
          </w:rPr>
          <w:t xml:space="preserve">in the</w:t>
        </w:r>
        <w:r>
          <w:rPr>
            <w:rStyle w:val="InternetLink"/>
          </w:rPr>
          <w:t xml:space="preserve"> </w:t>
        </w:r>
        <w:r>
          <w:rPr>
            <w:rStyle w:val="InternetLink"/>
          </w:rPr>
          <w:t xml:space="preserve">Brain</w:t>
        </w:r>
      </w:hyperlink>
      <w:r>
        <w:t xml:space="preserve">.</w:t>
      </w:r>
      <w:r>
        <w:t xml:space="preserve"> </w:t>
      </w:r>
      <w:r>
        <w:rPr>
          <w:i/>
          <w:iCs/>
        </w:rPr>
        <w:t xml:space="preserve">Frontiers in Physics</w:t>
      </w:r>
      <w:r>
        <w:t xml:space="preserve"> </w:t>
      </w:r>
      <w:r>
        <w:rPr>
          <w:b/>
          <w:bCs/>
        </w:rPr>
        <w:t xml:space="preserve">9</w:t>
      </w:r>
      <w:r>
        <w:t xml:space="preserve">, 639389 (2021).</w:t>
      </w:r>
    </w:p>
    <w:bookmarkEnd w:id="197"/>
    <w:bookmarkStart w:id="199" w:name="ref-avramieaRegulationCriticalBrain2023"/>
    <w:p>
      <w:pPr>
        <w:pStyle w:val="Bibliography"/>
      </w:pPr>
      <w:r>
        <w:t xml:space="preserve">64.</w:t>
      </w:r>
      <w:r>
        <w:t xml:space="preserve"> </w:t>
      </w:r>
      <w:r>
        <w:t xml:space="preserve">	</w:t>
      </w:r>
      <w:r>
        <w:t xml:space="preserve">Avrămiea, A.-E. Regulation of critical brain dynamics and its functional implications. HFAAA72020230307 (Vrije Universiteit Amsterdam, 2023). doi:</w:t>
      </w:r>
      <w:hyperlink r:id="rId198">
        <w:r>
          <w:rPr>
            <w:rStyle w:val="InternetLink"/>
          </w:rPr>
          <w:t xml:space="preserve">10.5463/thesis.144</w:t>
        </w:r>
      </w:hyperlink>
      <w:r>
        <w:t xml:space="preserve">.</w:t>
      </w:r>
    </w:p>
    <w:bookmarkEnd w:id="199"/>
    <w:bookmarkStart w:id="201" w:name="Xed66735bb6d2317bca3d933a96a148919293c77"/>
    <w:p>
      <w:pPr>
        <w:pStyle w:val="Bibliography"/>
      </w:pPr>
      <w:r>
        <w:t xml:space="preserve">65.</w:t>
      </w:r>
      <w:r>
        <w:t xml:space="preserve"> </w:t>
      </w:r>
      <w:r>
        <w:t xml:space="preserve">	</w:t>
      </w:r>
      <w:r>
        <w:t xml:space="preserve">Zeraati, R., Priesemann, V. &amp; Levina, A.</w:t>
      </w:r>
      <w:r>
        <w:t xml:space="preserve"> </w:t>
      </w:r>
      <w:hyperlink r:id="rId200">
        <w:r>
          <w:rPr>
            <w:rStyle w:val="InternetLink"/>
          </w:rPr>
          <w:t xml:space="preserve">Self-</w:t>
        </w:r>
        <w:r>
          <w:rPr>
            <w:rStyle w:val="InternetLink"/>
          </w:rPr>
          <w:t xml:space="preserve">Organization Toward Criticality</w:t>
        </w:r>
        <w:r>
          <w:rPr>
            <w:rStyle w:val="InternetLink"/>
          </w:rPr>
          <w:t xml:space="preserve"> </w:t>
        </w:r>
        <w:r>
          <w:rPr>
            <w:rStyle w:val="InternetLink"/>
          </w:rPr>
          <w:t xml:space="preserve">by</w:t>
        </w:r>
        <w:r>
          <w:rPr>
            <w:rStyle w:val="InternetLink"/>
          </w:rPr>
          <w:t xml:space="preserve"> </w:t>
        </w:r>
        <w:r>
          <w:rPr>
            <w:rStyle w:val="InternetLink"/>
          </w:rPr>
          <w:t xml:space="preserve">Synaptic Plasticity</w:t>
        </w:r>
      </w:hyperlink>
      <w:r>
        <w:t xml:space="preserve">.</w:t>
      </w:r>
      <w:r>
        <w:t xml:space="preserve"> </w:t>
      </w:r>
      <w:r>
        <w:rPr>
          <w:i/>
          <w:iCs/>
        </w:rPr>
        <w:t xml:space="preserve">Frontiers in Physics</w:t>
      </w:r>
      <w:r>
        <w:t xml:space="preserve"> </w:t>
      </w:r>
      <w:r>
        <w:rPr>
          <w:b/>
          <w:bCs/>
        </w:rPr>
        <w:t xml:space="preserve">9</w:t>
      </w:r>
      <w:r>
        <w:t xml:space="preserve">, 619661 (2021).</w:t>
      </w:r>
    </w:p>
    <w:bookmarkEnd w:id="201"/>
    <w:bookmarkStart w:id="203" w:name="X53ee3219835bedd3e8024e256fb42bd968bf7fb"/>
    <w:p>
      <w:pPr>
        <w:pStyle w:val="Bibliography"/>
      </w:pPr>
      <w:r>
        <w:t xml:space="preserve">66.</w:t>
      </w:r>
      <w:r>
        <w:t xml:space="preserve"> </w:t>
      </w:r>
      <w:r>
        <w:t xml:space="preserve">	</w:t>
      </w:r>
      <w:r>
        <w:t xml:space="preserve">Ikeda, N., Akita, D. &amp; Takahashi, H.</w:t>
      </w:r>
      <w:r>
        <w:t xml:space="preserve"> </w:t>
      </w:r>
      <w:hyperlink r:id="rId202">
        <w:r>
          <w:rPr>
            <w:rStyle w:val="InternetLink"/>
          </w:rPr>
          <w:t xml:space="preserve">Emergent functions of noise-driven spontaneous activity:</w:t>
        </w:r>
        <w:r>
          <w:rPr>
            <w:rStyle w:val="InternetLink"/>
          </w:rPr>
          <w:t xml:space="preserve"> </w:t>
        </w:r>
        <w:r>
          <w:rPr>
            <w:rStyle w:val="InternetLink"/>
          </w:rPr>
          <w:t xml:space="preserve">Homeostatic</w:t>
        </w:r>
        <w:r>
          <w:rPr>
            <w:rStyle w:val="InternetLink"/>
          </w:rPr>
          <w:t xml:space="preserve"> </w:t>
        </w:r>
        <w:r>
          <w:rPr>
            <w:rStyle w:val="InternetLink"/>
          </w:rPr>
          <w:t xml:space="preserve">maintenance of criticality and memory consolidation</w:t>
        </w:r>
      </w:hyperlink>
      <w:r>
        <w:t xml:space="preserve">. (2025).</w:t>
      </w:r>
    </w:p>
    <w:bookmarkEnd w:id="203"/>
    <w:bookmarkStart w:id="205" w:name="ref-xiePharmacoresistantTemporalLobe2024"/>
    <w:p>
      <w:pPr>
        <w:pStyle w:val="Bibliography"/>
      </w:pPr>
      <w:r>
        <w:t xml:space="preserve">67.</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204">
        <w:r>
          <w:rPr>
            <w:rStyle w:val="InternetLink"/>
          </w:rPr>
          <w:t xml:space="preserve">10.1101/2024.04.22.590555</w:t>
        </w:r>
      </w:hyperlink>
      <w:r>
        <w:t xml:space="preserve">.</w:t>
      </w:r>
    </w:p>
    <w:bookmarkEnd w:id="205"/>
    <w:bookmarkStart w:id="207" w:name="X66840f2e535e017a7b65cdb14133cdb34347199"/>
    <w:p>
      <w:pPr>
        <w:pStyle w:val="Bibliography"/>
      </w:pPr>
      <w:r>
        <w:t xml:space="preserve">68.</w:t>
      </w:r>
      <w:r>
        <w:t xml:space="preserve"> </w:t>
      </w:r>
      <w:r>
        <w:t xml:space="preserve">	</w:t>
      </w:r>
      <w:r>
        <w:t xml:space="preserve">Fotiadis, P.</w:t>
      </w:r>
      <w:r>
        <w:t xml:space="preserve"> </w:t>
      </w:r>
      <w:r>
        <w:rPr>
          <w:i/>
          <w:iCs/>
        </w:rPr>
        <w:t xml:space="preserve">et al.</w:t>
      </w:r>
      <w:r>
        <w:t xml:space="preserve"> </w:t>
      </w:r>
      <w:hyperlink r:id="rId206">
        <w:r>
          <w:rPr>
            <w:rStyle w:val="InternetLink"/>
          </w:rPr>
          <w:t xml:space="preserve">Myelination and excitation-inhibition balance synergistically shape structure-function coupling across the human cortex</w:t>
        </w:r>
      </w:hyperlink>
      <w:r>
        <w:t xml:space="preserve">.</w:t>
      </w:r>
      <w:r>
        <w:t xml:space="preserve"> </w:t>
      </w:r>
      <w:r>
        <w:rPr>
          <w:i/>
          <w:iCs/>
        </w:rPr>
        <w:t xml:space="preserve">Nature Communications</w:t>
      </w:r>
      <w:r>
        <w:t xml:space="preserve"> </w:t>
      </w:r>
      <w:r>
        <w:rPr>
          <w:b/>
          <w:bCs/>
        </w:rPr>
        <w:t xml:space="preserve">14</w:t>
      </w:r>
      <w:r>
        <w:t xml:space="preserve">, 6115 (2023).</w:t>
      </w:r>
    </w:p>
    <w:bookmarkEnd w:id="207"/>
    <w:bookmarkStart w:id="209" w:name="X64d5c77c0dd95405f1207ce5d2d112cdcadb366"/>
    <w:p>
      <w:pPr>
        <w:pStyle w:val="Bibliography"/>
      </w:pPr>
      <w:r>
        <w:t xml:space="preserve">69.</w:t>
      </w:r>
      <w:r>
        <w:t xml:space="preserve"> </w:t>
      </w:r>
      <w:r>
        <w:t xml:space="preserve">	</w:t>
      </w:r>
      <w:r>
        <w:t xml:space="preserve">Vanderwal, T., Eilbott, J. &amp; Castellanos, F. X.</w:t>
      </w:r>
      <w:r>
        <w:t xml:space="preserve"> </w:t>
      </w:r>
      <w:hyperlink r:id="rId208">
        <w:r>
          <w:rPr>
            <w:rStyle w:val="InternetLink"/>
          </w:rPr>
          <w:t xml:space="preserve">Movies in the magnet:</w:t>
        </w:r>
        <w:r>
          <w:rPr>
            <w:rStyle w:val="InternetLink"/>
          </w:rPr>
          <w:t xml:space="preserve"> </w:t>
        </w:r>
        <w:r>
          <w:rPr>
            <w:rStyle w:val="InternetLink"/>
          </w:rPr>
          <w:t xml:space="preserve">Naturalistic</w:t>
        </w:r>
        <w:r>
          <w:rPr>
            <w:rStyle w:val="InternetLink"/>
          </w:rPr>
          <w:t xml:space="preserve"> </w:t>
        </w:r>
        <w:r>
          <w:rPr>
            <w:rStyle w:val="InternetLink"/>
          </w:rPr>
          <w:t xml:space="preserve">paradigms in developmental functional neuroimaging</w:t>
        </w:r>
      </w:hyperlink>
      <w:r>
        <w:t xml:space="preserve">.</w:t>
      </w:r>
      <w:r>
        <w:t xml:space="preserve"> </w:t>
      </w:r>
      <w:r>
        <w:rPr>
          <w:i/>
          <w:iCs/>
        </w:rPr>
        <w:t xml:space="preserve">Developmental Cognitive Neuroscience</w:t>
      </w:r>
      <w:r>
        <w:t xml:space="preserve"> </w:t>
      </w:r>
      <w:r>
        <w:rPr>
          <w:b/>
          <w:bCs/>
        </w:rPr>
        <w:t xml:space="preserve">36</w:t>
      </w:r>
      <w:r>
        <w:t xml:space="preserve">, 100600 (2019).</w:t>
      </w:r>
    </w:p>
    <w:bookmarkEnd w:id="209"/>
    <w:bookmarkStart w:id="211" w:name="ref-linInvestigatingMetabolicChanges2012"/>
    <w:p>
      <w:pPr>
        <w:pStyle w:val="Bibliography"/>
      </w:pPr>
      <w:r>
        <w:t xml:space="preserve">70.</w:t>
      </w:r>
      <w:r>
        <w:t xml:space="preserve"> </w:t>
      </w:r>
      <w:r>
        <w:t xml:space="preserve">	</w:t>
      </w:r>
      <w:r>
        <w:t xml:space="preserve">Lin, Y., Stephenson, M. C., Xin, L., Napolitano, A. &amp; Morris, P. G.</w:t>
      </w:r>
      <w:r>
        <w:t xml:space="preserve"> </w:t>
      </w:r>
      <w:hyperlink r:id="rId210">
        <w:r>
          <w:rPr>
            <w:rStyle w:val="InternetLink"/>
          </w:rPr>
          <w:t xml:space="preserve">Investigating the</w:t>
        </w:r>
        <w:r>
          <w:rPr>
            <w:rStyle w:val="InternetLink"/>
          </w:rPr>
          <w:t xml:space="preserve"> </w:t>
        </w:r>
        <w:r>
          <w:rPr>
            <w:rStyle w:val="InternetLink"/>
          </w:rPr>
          <w:t xml:space="preserve">Metabolic Changes</w:t>
        </w:r>
        <w:r>
          <w:rPr>
            <w:rStyle w:val="InternetLink"/>
          </w:rPr>
          <w:t xml:space="preserve"> </w:t>
        </w:r>
        <w:r>
          <w:rPr>
            <w:rStyle w:val="InternetLink"/>
          </w:rPr>
          <w:t xml:space="preserve">due to</w:t>
        </w:r>
        <w:r>
          <w:rPr>
            <w:rStyle w:val="InternetLink"/>
          </w:rPr>
          <w:t xml:space="preserve"> </w:t>
        </w:r>
        <w:r>
          <w:rPr>
            <w:rStyle w:val="InternetLink"/>
          </w:rPr>
          <w:t xml:space="preserve">Visual Stimulation</w:t>
        </w:r>
        <w:r>
          <w:rPr>
            <w:rStyle w:val="InternetLink"/>
          </w:rPr>
          <w:t xml:space="preserve"> </w:t>
        </w:r>
        <w:r>
          <w:rPr>
            <w:rStyle w:val="InternetLink"/>
          </w:rPr>
          <w:t xml:space="preserve">using</w:t>
        </w:r>
        <w:r>
          <w:rPr>
            <w:rStyle w:val="InternetLink"/>
          </w:rPr>
          <w:t xml:space="preserve"> </w:t>
        </w:r>
        <w:r>
          <w:rPr>
            <w:rStyle w:val="InternetLink"/>
          </w:rPr>
          <w:t xml:space="preserve">Functional Proton Magnetic Resonance Spectroscopy</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Journal of Cerebral Blood Flow &amp; Metabolism</w:t>
      </w:r>
      <w:r>
        <w:t xml:space="preserve"> </w:t>
      </w:r>
      <w:r>
        <w:rPr>
          <w:b/>
          <w:bCs/>
        </w:rPr>
        <w:t xml:space="preserve">32</w:t>
      </w:r>
      <w:r>
        <w:t xml:space="preserve">, 1484–1495 (2012).</w:t>
      </w:r>
    </w:p>
    <w:bookmarkEnd w:id="211"/>
    <w:bookmarkStart w:id="213" w:name="X3c88d9f185b840e7d37383eacc851b1a1df9e52"/>
    <w:p>
      <w:pPr>
        <w:pStyle w:val="Bibliography"/>
      </w:pPr>
      <w:r>
        <w:t xml:space="preserve">71.</w:t>
      </w:r>
      <w:r>
        <w:t xml:space="preserve"> </w:t>
      </w:r>
      <w:r>
        <w:t xml:space="preserve">	</w:t>
      </w:r>
      <w:r>
        <w:t xml:space="preserve">Martínez-Maestro, M., Labadie, C. &amp; Möller, H. E.</w:t>
      </w:r>
      <w:r>
        <w:t xml:space="preserve"> </w:t>
      </w:r>
      <w:hyperlink r:id="rId212">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13"/>
    <w:bookmarkStart w:id="215" w:name="ref-saucedoChangesGABAGlutamate"/>
    <w:p>
      <w:pPr>
        <w:pStyle w:val="Bibliography"/>
      </w:pPr>
      <w:r>
        <w:t xml:space="preserve">72.</w:t>
      </w:r>
      <w:r>
        <w:t xml:space="preserve"> </w:t>
      </w:r>
      <w:r>
        <w:t xml:space="preserve">	</w:t>
      </w:r>
      <w:r>
        <w:t xml:space="preserve">Saucedo, A., Guo, F., Pappas, I. &amp; Wang, D. Changes in</w:t>
      </w:r>
      <w:r>
        <w:t xml:space="preserve"> </w:t>
      </w:r>
      <w:r>
        <w:t xml:space="preserve">GABA</w:t>
      </w:r>
      <w:r>
        <w:t xml:space="preserve"> </w:t>
      </w:r>
      <w:r>
        <w:t xml:space="preserve">and</w:t>
      </w:r>
      <w:r>
        <w:t xml:space="preserve"> </w:t>
      </w:r>
      <w:r>
        <w:t xml:space="preserve">Glutamate</w:t>
      </w:r>
      <w:r>
        <w:t xml:space="preserve"> </w:t>
      </w:r>
      <w:r>
        <w:t xml:space="preserve">levels with peripheral and central visual stimulation using functional magnetic resonance spectroscopy at</w:t>
      </w:r>
      <w:r>
        <w:t xml:space="preserve"> </w:t>
      </w:r>
      <w:r>
        <w:t xml:space="preserve">7T</w:t>
      </w:r>
      <w:r>
        <w:t xml:space="preserve">. in</w:t>
      </w:r>
      <w:r>
        <w:t xml:space="preserve"> </w:t>
      </w:r>
      <w:r>
        <w:rPr>
          <w:i/>
          <w:iCs/>
        </w:rPr>
        <w:t xml:space="preserve">2024</w:t>
      </w:r>
      <w:r>
        <w:rPr>
          <w:i/>
          <w:iCs/>
        </w:rPr>
        <w:t xml:space="preserve"> </w:t>
      </w:r>
      <w:r>
        <w:rPr>
          <w:i/>
          <w:iCs/>
        </w:rPr>
        <w:t xml:space="preserve">ISMRM</w:t>
      </w:r>
      <w:r>
        <w:rPr>
          <w:i/>
          <w:iCs/>
        </w:rPr>
        <w:t xml:space="preserve"> </w:t>
      </w:r>
      <w:r>
        <w:rPr>
          <w:i/>
          <w:iCs/>
        </w:rPr>
        <w:t xml:space="preserve">&amp;</w:t>
      </w:r>
      <w:r>
        <w:rPr>
          <w:i/>
          <w:iCs/>
        </w:rPr>
        <w:t xml:space="preserve"> </w:t>
      </w:r>
      <w:r>
        <w:rPr>
          <w:i/>
          <w:iCs/>
        </w:rPr>
        <w:t xml:space="preserve">ISMRT Annual Meeting</w:t>
      </w:r>
      <w:r>
        <w:t xml:space="preserve"> </w:t>
      </w:r>
      <w:r>
        <w:t xml:space="preserve">1922 (Toronto, ON, Canada). doi:</w:t>
      </w:r>
      <w:hyperlink r:id="rId214">
        <w:r>
          <w:rPr>
            <w:rStyle w:val="InternetLink"/>
          </w:rPr>
          <w:t xml:space="preserve">10.58530/2024/1922</w:t>
        </w:r>
      </w:hyperlink>
      <w:r>
        <w:t xml:space="preserve">.</w:t>
      </w:r>
    </w:p>
    <w:bookmarkEnd w:id="215"/>
    <w:bookmarkStart w:id="217" w:name="ref-kurcyusOppositeDynamicsGABA2018"/>
    <w:p>
      <w:pPr>
        <w:pStyle w:val="Bibliography"/>
      </w:pPr>
      <w:r>
        <w:t xml:space="preserve">73.</w:t>
      </w:r>
      <w:r>
        <w:t xml:space="preserve"> </w:t>
      </w:r>
      <w:r>
        <w:t xml:space="preserve">	</w:t>
      </w:r>
      <w:r>
        <w:t xml:space="preserve">Kurcyus, K.</w:t>
      </w:r>
      <w:r>
        <w:t xml:space="preserve"> </w:t>
      </w:r>
      <w:r>
        <w:rPr>
          <w:i/>
          <w:iCs/>
        </w:rPr>
        <w:t xml:space="preserve">et al.</w:t>
      </w:r>
      <w:r>
        <w:t xml:space="preserve"> </w:t>
      </w:r>
      <w:hyperlink r:id="rId216">
        <w:r>
          <w:rPr>
            <w:rStyle w:val="InternetLink"/>
          </w:rPr>
          <w:t xml:space="preserve">Opposite</w:t>
        </w:r>
        <w:r>
          <w:rPr>
            <w:rStyle w:val="InternetLink"/>
          </w:rPr>
          <w:t xml:space="preserve"> </w:t>
        </w:r>
        <w:r>
          <w:rPr>
            <w:rStyle w:val="InternetLink"/>
          </w:rPr>
          <w:t xml:space="preserve">Dynamics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and</w:t>
        </w:r>
        <w:r>
          <w:rPr>
            <w:rStyle w:val="InternetLink"/>
          </w:rPr>
          <w:t xml:space="preserve"> </w:t>
        </w:r>
        <w:r>
          <w:rPr>
            <w:rStyle w:val="InternetLink"/>
          </w:rPr>
          <w:t xml:space="preserve">Glutamate Levels</w:t>
        </w:r>
        <w:r>
          <w:rPr>
            <w:rStyle w:val="InternetLink"/>
          </w:rPr>
          <w:t xml:space="preserve"> </w:t>
        </w:r>
        <w:r>
          <w:rPr>
            <w:rStyle w:val="InternetLink"/>
          </w:rPr>
          <w:t xml:space="preserve">in the</w:t>
        </w:r>
        <w:r>
          <w:rPr>
            <w:rStyle w:val="InternetLink"/>
          </w:rPr>
          <w:t xml:space="preserve"> </w:t>
        </w:r>
        <w:r>
          <w:rPr>
            <w:rStyle w:val="InternetLink"/>
          </w:rPr>
          <w:t xml:space="preserve">Occipital Cortex</w:t>
        </w:r>
        <w:r>
          <w:rPr>
            <w:rStyle w:val="InternetLink"/>
          </w:rPr>
          <w:t xml:space="preserve"> </w:t>
        </w:r>
        <w:r>
          <w:rPr>
            <w:rStyle w:val="InternetLink"/>
          </w:rPr>
          <w:t xml:space="preserve">during</w:t>
        </w:r>
        <w:r>
          <w:rPr>
            <w:rStyle w:val="InternetLink"/>
          </w:rPr>
          <w:t xml:space="preserve"> </w:t>
        </w:r>
        <w:r>
          <w:rPr>
            <w:rStyle w:val="InternetLink"/>
          </w:rPr>
          <w:t xml:space="preserve">Visual Processing</w:t>
        </w:r>
      </w:hyperlink>
      <w:r>
        <w:t xml:space="preserve">.</w:t>
      </w:r>
      <w:r>
        <w:t xml:space="preserve"> </w:t>
      </w:r>
      <w:r>
        <w:rPr>
          <w:i/>
          <w:iCs/>
        </w:rPr>
        <w:t xml:space="preserve">The Journal of Neuroscience</w:t>
      </w:r>
      <w:r>
        <w:t xml:space="preserve"> </w:t>
      </w:r>
      <w:r>
        <w:rPr>
          <w:b/>
          <w:bCs/>
        </w:rPr>
        <w:t xml:space="preserve">38</w:t>
      </w:r>
      <w:r>
        <w:t xml:space="preserve">, 9967–9976 (2018).</w:t>
      </w:r>
    </w:p>
    <w:bookmarkEnd w:id="217"/>
    <w:bookmarkStart w:id="219" w:name="X2deb2be2adb62c9f33832d8596f4171cb63eb82"/>
    <w:p>
      <w:pPr>
        <w:pStyle w:val="Bibliography"/>
      </w:pPr>
      <w:r>
        <w:t xml:space="preserve">74.</w:t>
      </w:r>
      <w:r>
        <w:t xml:space="preserve"> </w:t>
      </w:r>
      <w:r>
        <w:t xml:space="preserve">	</w:t>
      </w:r>
      <w:r>
        <w:t xml:space="preserve">Oz, G. &amp; Tkáč, I.</w:t>
      </w:r>
      <w:r>
        <w:t xml:space="preserve"> </w:t>
      </w:r>
      <w:hyperlink r:id="rId218">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19"/>
    <w:bookmarkStart w:id="221" w:name="ref-mescherSimultaneousVivoSpectral1998"/>
    <w:p>
      <w:pPr>
        <w:pStyle w:val="Bibliography"/>
      </w:pPr>
      <w:r>
        <w:t xml:space="preserve">75.</w:t>
      </w:r>
      <w:r>
        <w:t xml:space="preserve"> </w:t>
      </w:r>
      <w:r>
        <w:t xml:space="preserve">	</w:t>
      </w:r>
      <w:r>
        <w:t xml:space="preserve">Mescher, M., Merkle, H., Kirsch, J., Garwood, M. &amp; Gruetter, R.</w:t>
      </w:r>
      <w:r>
        <w:t xml:space="preserve"> </w:t>
      </w:r>
      <w:hyperlink r:id="rId220">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21"/>
    <w:bookmarkStart w:id="222" w:name="ref-cordeyJungles2019"/>
    <w:p>
      <w:pPr>
        <w:pStyle w:val="Bibliography"/>
      </w:pPr>
      <w:r>
        <w:t xml:space="preserve">76.</w:t>
      </w:r>
      <w:r>
        <w:t xml:space="preserve"> </w:t>
      </w:r>
      <w:r>
        <w:t xml:space="preserve">	</w:t>
      </w:r>
      <w:r>
        <w:t xml:space="preserve">Cordey, H. Jungles.</w:t>
      </w:r>
      <w:r>
        <w:t xml:space="preserve"> </w:t>
      </w:r>
      <w:r>
        <w:rPr>
          <w:i/>
          <w:iCs/>
        </w:rPr>
        <w:t xml:space="preserve">Our Planet</w:t>
      </w:r>
      <w:r>
        <w:t xml:space="preserve"> </w:t>
      </w:r>
      <w:r>
        <w:t xml:space="preserve">(2019).</w:t>
      </w:r>
    </w:p>
    <w:bookmarkEnd w:id="222"/>
    <w:bookmarkStart w:id="224" w:name="ref-ipCombinedFMRIMRSAcquires2017"/>
    <w:p>
      <w:pPr>
        <w:pStyle w:val="Bibliography"/>
      </w:pPr>
      <w:r>
        <w:t xml:space="preserve">77.</w:t>
      </w:r>
      <w:r>
        <w:t xml:space="preserve"> </w:t>
      </w:r>
      <w:r>
        <w:t xml:space="preserve">	</w:t>
      </w:r>
      <w:r>
        <w:t xml:space="preserve">Ip, I. B.</w:t>
      </w:r>
      <w:r>
        <w:t xml:space="preserve"> </w:t>
      </w:r>
      <w:r>
        <w:rPr>
          <w:i/>
          <w:iCs/>
        </w:rPr>
        <w:t xml:space="preserve">et al.</w:t>
      </w:r>
      <w:r>
        <w:t xml:space="preserve"> </w:t>
      </w:r>
      <w:hyperlink r:id="rId223">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24"/>
    <w:bookmarkStart w:id="226" w:name="X56c2864753b60d9230ad09d1af7ca17bd280dab"/>
    <w:p>
      <w:pPr>
        <w:pStyle w:val="Bibliography"/>
      </w:pPr>
      <w:r>
        <w:t xml:space="preserve">78.</w:t>
      </w:r>
      <w:r>
        <w:t xml:space="preserve"> </w:t>
      </w:r>
      <w:r>
        <w:t xml:space="preserve">	</w:t>
      </w:r>
      <w:r>
        <w:t xml:space="preserve">Wilson, M.</w:t>
      </w:r>
      <w:r>
        <w:t xml:space="preserve"> </w:t>
      </w:r>
      <w:r>
        <w:rPr>
          <w:i/>
          <w:iCs/>
        </w:rPr>
        <w:t xml:space="preserve">et al.</w:t>
      </w:r>
      <w:r>
        <w:t xml:space="preserve"> </w:t>
      </w:r>
      <w:hyperlink r:id="rId225">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226"/>
    <w:bookmarkStart w:id="228" w:name="X43d031096c745031e21b8d0f664225976fbb7fa"/>
    <w:p>
      <w:pPr>
        <w:pStyle w:val="Bibliography"/>
      </w:pPr>
      <w:r>
        <w:t xml:space="preserve">79.</w:t>
      </w:r>
      <w:r>
        <w:t xml:space="preserve"> </w:t>
      </w:r>
      <w:r>
        <w:t xml:space="preserve">	</w:t>
      </w:r>
      <w:r>
        <w:t xml:space="preserve">Van Veenendaal, T. M.</w:t>
      </w:r>
      <w:r>
        <w:t xml:space="preserve"> </w:t>
      </w:r>
      <w:r>
        <w:rPr>
          <w:i/>
          <w:iCs/>
        </w:rPr>
        <w:t xml:space="preserve">et al.</w:t>
      </w:r>
      <w:r>
        <w:t xml:space="preserve"> </w:t>
      </w:r>
      <w:hyperlink r:id="rId227">
        <w:r>
          <w:rPr>
            <w:rStyle w:val="InternetLink"/>
          </w:rPr>
          <w:t xml:space="preserve">Glutamate quantification by</w:t>
        </w:r>
        <w:r>
          <w:rPr>
            <w:rStyle w:val="InternetLink"/>
          </w:rPr>
          <w:t xml:space="preserve"> </w:t>
        </w:r>
        <w:r>
          <w:rPr>
            <w:rStyle w:val="InternetLink"/>
          </w:rPr>
          <w:t xml:space="preserve">PRESS</w:t>
        </w:r>
        <w:r>
          <w:rPr>
            <w:rStyle w:val="InternetLink"/>
          </w:rPr>
          <w:t xml:space="preserve"> </w:t>
        </w:r>
        <w:r>
          <w:rPr>
            <w:rStyle w:val="InternetLink"/>
          </w:rPr>
          <w:t xml:space="preserve">or</w:t>
        </w:r>
        <w:r>
          <w:rPr>
            <w:rStyle w:val="InternetLink"/>
          </w:rPr>
          <w:t xml:space="preserve"> </w:t>
        </w:r>
        <w:r>
          <w:rPr>
            <w:rStyle w:val="InternetLink"/>
          </w:rPr>
          <w:t xml:space="preserve">MEGA-PRESS</w:t>
        </w:r>
        <w:r>
          <w:rPr>
            <w:rStyle w:val="InternetLink"/>
          </w:rPr>
          <w:t xml:space="preserve">:</w:t>
        </w:r>
        <w:r>
          <w:rPr>
            <w:rStyle w:val="InternetLink"/>
          </w:rPr>
          <w:t xml:space="preserve"> </w:t>
        </w:r>
        <w:r>
          <w:rPr>
            <w:rStyle w:val="InternetLink"/>
          </w:rPr>
          <w:t xml:space="preserve">Validation</w:t>
        </w:r>
        <w:r>
          <w:rPr>
            <w:rStyle w:val="InternetLink"/>
          </w:rPr>
          <w:t xml:space="preserve">, repeatability, and concordance</w:t>
        </w:r>
      </w:hyperlink>
      <w:r>
        <w:t xml:space="preserve">.</w:t>
      </w:r>
      <w:r>
        <w:t xml:space="preserve"> </w:t>
      </w:r>
      <w:r>
        <w:rPr>
          <w:i/>
          <w:iCs/>
        </w:rPr>
        <w:t xml:space="preserve">Magnetic Resonance Imaging</w:t>
      </w:r>
      <w:r>
        <w:t xml:space="preserve"> </w:t>
      </w:r>
      <w:r>
        <w:rPr>
          <w:b/>
          <w:bCs/>
        </w:rPr>
        <w:t xml:space="preserve">48</w:t>
      </w:r>
      <w:r>
        <w:t xml:space="preserve">, 107–114 (2018).</w:t>
      </w:r>
    </w:p>
    <w:bookmarkEnd w:id="228"/>
    <w:bookmarkStart w:id="230" w:name="ref-liFirstStepNeuroimaging2016"/>
    <w:p>
      <w:pPr>
        <w:pStyle w:val="Bibliography"/>
      </w:pPr>
      <w:r>
        <w:t xml:space="preserve">80.</w:t>
      </w:r>
      <w:r>
        <w:t xml:space="preserve"> </w:t>
      </w:r>
      <w:r>
        <w:t xml:space="preserve">	</w:t>
      </w:r>
      <w:r>
        <w:t xml:space="preserve">Li, X., Morgan, P. S., Ashburner, J., Smith, J. &amp; Rorden, C.</w:t>
      </w:r>
      <w:r>
        <w:t xml:space="preserve"> </w:t>
      </w:r>
      <w:hyperlink r:id="rId229">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30"/>
    <w:bookmarkStart w:id="232" w:name="ref-gorgolewskiBrainImagingData2016"/>
    <w:p>
      <w:pPr>
        <w:pStyle w:val="Bibliography"/>
      </w:pPr>
      <w:r>
        <w:t xml:space="preserve">81.</w:t>
      </w:r>
      <w:r>
        <w:t xml:space="preserve"> </w:t>
      </w:r>
      <w:r>
        <w:t xml:space="preserve">	</w:t>
      </w:r>
      <w:r>
        <w:t xml:space="preserve">Gorgolewski, K. J.</w:t>
      </w:r>
      <w:r>
        <w:t xml:space="preserve"> </w:t>
      </w:r>
      <w:r>
        <w:rPr>
          <w:i/>
          <w:iCs/>
        </w:rPr>
        <w:t xml:space="preserve">et al.</w:t>
      </w:r>
      <w:r>
        <w:t xml:space="preserve"> </w:t>
      </w:r>
      <w:hyperlink r:id="rId231">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32"/>
    <w:bookmarkStart w:id="234" w:name="ref-boreDcm2Bids2023"/>
    <w:p>
      <w:pPr>
        <w:pStyle w:val="Bibliography"/>
      </w:pPr>
      <w:r>
        <w:t xml:space="preserve">82.</w:t>
      </w:r>
      <w:r>
        <w:t xml:space="preserve"> </w:t>
      </w:r>
      <w:r>
        <w:t xml:space="preserve">	</w:t>
      </w:r>
      <w:r>
        <w:t xml:space="preserve">Boré, A., Guay, S., Bedetti, C., Meisler, S. &amp; GuenTher, N.</w:t>
      </w:r>
      <w:r>
        <w:t xml:space="preserve"> </w:t>
      </w:r>
      <w:r>
        <w:t xml:space="preserve">Dcm2Bids</w:t>
      </w:r>
      <w:r>
        <w:t xml:space="preserve">. (2023) doi:</w:t>
      </w:r>
      <w:hyperlink r:id="rId233">
        <w:r>
          <w:rPr>
            <w:rStyle w:val="InternetLink"/>
          </w:rPr>
          <w:t xml:space="preserve">10.5281/zenodo.8436509</w:t>
        </w:r>
      </w:hyperlink>
      <w:r>
        <w:t xml:space="preserve">.</w:t>
      </w:r>
    </w:p>
    <w:bookmarkEnd w:id="234"/>
    <w:bookmarkStart w:id="236" w:name="ref-tustisonN4ITKImprovedN32010"/>
    <w:p>
      <w:pPr>
        <w:pStyle w:val="Bibliography"/>
      </w:pPr>
      <w:r>
        <w:t xml:space="preserve">83.</w:t>
      </w:r>
      <w:r>
        <w:t xml:space="preserve"> </w:t>
      </w:r>
      <w:r>
        <w:t xml:space="preserve">	</w:t>
      </w:r>
      <w:r>
        <w:t xml:space="preserve">Tustison, N. J.</w:t>
      </w:r>
      <w:r>
        <w:t xml:space="preserve"> </w:t>
      </w:r>
      <w:r>
        <w:rPr>
          <w:i/>
          <w:iCs/>
        </w:rPr>
        <w:t xml:space="preserve">et al.</w:t>
      </w:r>
      <w:r>
        <w:t xml:space="preserve"> </w:t>
      </w:r>
      <w:hyperlink r:id="rId235">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36"/>
    <w:bookmarkStart w:id="238" w:name="Xeefaf9082b75bd08ec775a50708dca4153d9690"/>
    <w:p>
      <w:pPr>
        <w:pStyle w:val="Bibliography"/>
      </w:pPr>
      <w:r>
        <w:t xml:space="preserve">84.</w:t>
      </w:r>
      <w:r>
        <w:t xml:space="preserve"> </w:t>
      </w:r>
      <w:r>
        <w:t xml:space="preserve">	</w:t>
      </w:r>
      <w:r>
        <w:t xml:space="preserve">Avants, B. B., Epstein, C. L., Grossman, M. &amp; Gee, J. C.</w:t>
      </w:r>
      <w:r>
        <w:t xml:space="preserve"> </w:t>
      </w:r>
      <w:hyperlink r:id="rId237">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38"/>
    <w:bookmarkStart w:id="240" w:name="X43711a0a118a74b3ee63b3c5ba2faa681733756"/>
    <w:p>
      <w:pPr>
        <w:pStyle w:val="Bibliography"/>
      </w:pPr>
      <w:r>
        <w:t xml:space="preserve">85.</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39">
        <w:r>
          <w:rPr>
            <w:rStyle w:val="InternetLink"/>
          </w:rPr>
          <w:t xml:space="preserve">10.5281/zenodo.50186</w:t>
        </w:r>
      </w:hyperlink>
      <w:r>
        <w:t xml:space="preserve">.</w:t>
      </w:r>
    </w:p>
    <w:bookmarkEnd w:id="240"/>
    <w:bookmarkStart w:id="242" w:name="ref-zhangSegmentationBrainMR2001"/>
    <w:p>
      <w:pPr>
        <w:pStyle w:val="Bibliography"/>
      </w:pPr>
      <w:r>
        <w:t xml:space="preserve">86.</w:t>
      </w:r>
      <w:r>
        <w:t xml:space="preserve"> </w:t>
      </w:r>
      <w:r>
        <w:t xml:space="preserve">	</w:t>
      </w:r>
      <w:r>
        <w:t xml:space="preserve">Zhang, Y., Brady, M. &amp; Smith, S.</w:t>
      </w:r>
      <w:r>
        <w:t xml:space="preserve"> </w:t>
      </w:r>
      <w:hyperlink r:id="rId241">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42"/>
    <w:bookmarkStart w:id="244" w:name="X9e85724468787baf5444247f89a11ca552f98cd"/>
    <w:p>
      <w:pPr>
        <w:pStyle w:val="Bibliography"/>
      </w:pPr>
      <w:r>
        <w:t xml:space="preserve">87.</w:t>
      </w:r>
      <w:r>
        <w:t xml:space="preserve"> </w:t>
      </w:r>
      <w:r>
        <w:t xml:space="preserve">	</w:t>
      </w:r>
      <w:r>
        <w:t xml:space="preserve">Smith, S. M.</w:t>
      </w:r>
      <w:r>
        <w:t xml:space="preserve"> </w:t>
      </w:r>
      <w:r>
        <w:rPr>
          <w:i/>
          <w:iCs/>
        </w:rPr>
        <w:t xml:space="preserve">et al.</w:t>
      </w:r>
      <w:r>
        <w:t xml:space="preserve"> </w:t>
      </w:r>
      <w:hyperlink r:id="rId243">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44"/>
    <w:bookmarkStart w:id="246" w:name="ref-daleCorticalSurfacebasedAnalysis1999"/>
    <w:p>
      <w:pPr>
        <w:pStyle w:val="Bibliography"/>
      </w:pPr>
      <w:r>
        <w:t xml:space="preserve">88.</w:t>
      </w:r>
      <w:r>
        <w:t xml:space="preserve"> </w:t>
      </w:r>
      <w:r>
        <w:t xml:space="preserve">	</w:t>
      </w:r>
      <w:r>
        <w:t xml:space="preserve">Dale, A. M., Fischl, B. &amp; Sereno, M. I.</w:t>
      </w:r>
      <w:r>
        <w:t xml:space="preserve"> </w:t>
      </w:r>
      <w:hyperlink r:id="rId245">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46"/>
    <w:bookmarkStart w:id="248" w:name="X3c1fe9de21a1d29d636da9e3eada512cffb92e2"/>
    <w:p>
      <w:pPr>
        <w:pStyle w:val="Bibliography"/>
      </w:pPr>
      <w:r>
        <w:t xml:space="preserve">89.</w:t>
      </w:r>
      <w:r>
        <w:t xml:space="preserve"> </w:t>
      </w:r>
      <w:r>
        <w:t xml:space="preserve">	</w:t>
      </w:r>
      <w:r>
        <w:t xml:space="preserve">Klein, A.</w:t>
      </w:r>
      <w:r>
        <w:t xml:space="preserve"> </w:t>
      </w:r>
      <w:r>
        <w:rPr>
          <w:i/>
          <w:iCs/>
        </w:rPr>
        <w:t xml:space="preserve">et al.</w:t>
      </w:r>
      <w:r>
        <w:t xml:space="preserve"> </w:t>
      </w:r>
      <w:hyperlink r:id="rId247">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48"/>
    <w:bookmarkStart w:id="250" w:name="Xe1081da162060deb82331b9df54dc7d82337269"/>
    <w:p>
      <w:pPr>
        <w:pStyle w:val="Bibliography"/>
      </w:pPr>
      <w:r>
        <w:t xml:space="preserve">90.</w:t>
      </w:r>
      <w:r>
        <w:t xml:space="preserve"> </w:t>
      </w:r>
      <w:r>
        <w:t xml:space="preserve">	</w:t>
      </w:r>
      <w:r>
        <w:t xml:space="preserve">Esteban, O.</w:t>
      </w:r>
      <w:r>
        <w:t xml:space="preserve"> </w:t>
      </w:r>
      <w:r>
        <w:rPr>
          <w:i/>
          <w:iCs/>
        </w:rPr>
        <w:t xml:space="preserve">et al.</w:t>
      </w:r>
      <w:r>
        <w:t xml:space="preserve"> </w:t>
      </w:r>
      <w:hyperlink r:id="rId249">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50"/>
    <w:bookmarkStart w:id="252" w:name="Xf6126b899085a9a785ebf6398c9bce49f28ea50"/>
    <w:p>
      <w:pPr>
        <w:pStyle w:val="Bibliography"/>
      </w:pPr>
      <w:r>
        <w:t xml:space="preserve">91.</w:t>
      </w:r>
      <w:r>
        <w:t xml:space="preserve"> </w:t>
      </w:r>
      <w:r>
        <w:t xml:space="preserve">	</w:t>
      </w:r>
      <w:r>
        <w:t xml:space="preserve">Jenkinson, M., Bannister, P., Brady, M. &amp; Smith, S.</w:t>
      </w:r>
      <w:r>
        <w:t xml:space="preserve"> </w:t>
      </w:r>
      <w:hyperlink r:id="rId251">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52"/>
    <w:bookmarkStart w:id="254" w:name="ref-coxAFNISoftwareAnalysis1996"/>
    <w:p>
      <w:pPr>
        <w:pStyle w:val="Bibliography"/>
      </w:pPr>
      <w:r>
        <w:t xml:space="preserve">92.</w:t>
      </w:r>
      <w:r>
        <w:t xml:space="preserve"> </w:t>
      </w:r>
      <w:r>
        <w:t xml:space="preserve">	</w:t>
      </w:r>
      <w:r>
        <w:t xml:space="preserve">Cox, R. W.</w:t>
      </w:r>
      <w:r>
        <w:t xml:space="preserve"> </w:t>
      </w:r>
      <w:hyperlink r:id="rId253">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54"/>
    <w:bookmarkStart w:id="256" w:name="X699ec02cddd59da9f6ce2f525f26c7d6f5ae283"/>
    <w:p>
      <w:pPr>
        <w:pStyle w:val="Bibliography"/>
      </w:pPr>
      <w:r>
        <w:t xml:space="preserve">93.</w:t>
      </w:r>
      <w:r>
        <w:t xml:space="preserve"> </w:t>
      </w:r>
      <w:r>
        <w:t xml:space="preserve">	</w:t>
      </w:r>
      <w:r>
        <w:t xml:space="preserve">Posse, S.</w:t>
      </w:r>
      <w:r>
        <w:t xml:space="preserve"> </w:t>
      </w:r>
      <w:r>
        <w:rPr>
          <w:i/>
          <w:iCs/>
        </w:rPr>
        <w:t xml:space="preserve">et al.</w:t>
      </w:r>
      <w:r>
        <w:t xml:space="preserve"> </w:t>
      </w:r>
      <w:hyperlink r:id="rId255">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56"/>
    <w:bookmarkStart w:id="258" w:name="X3a598bbf6fcf345f81ae1f5a13bc405d17b0a4c"/>
    <w:p>
      <w:pPr>
        <w:pStyle w:val="Bibliography"/>
      </w:pPr>
      <w:r>
        <w:t xml:space="preserve">94.</w:t>
      </w:r>
      <w:r>
        <w:t xml:space="preserve"> </w:t>
      </w:r>
      <w:r>
        <w:t xml:space="preserve">	</w:t>
      </w:r>
      <w:r>
        <w:t xml:space="preserve">DuPre, E.</w:t>
      </w:r>
      <w:r>
        <w:t xml:space="preserve"> </w:t>
      </w:r>
      <w:r>
        <w:rPr>
          <w:i/>
          <w:iCs/>
        </w:rPr>
        <w:t xml:space="preserve">et al.</w:t>
      </w:r>
      <w:r>
        <w:t xml:space="preserve"> </w:t>
      </w:r>
      <w:hyperlink r:id="rId257">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58"/>
    <w:bookmarkStart w:id="260" w:name="X3269ade3d7f8b0f39f41bc530824d1dc76d0dfa"/>
    <w:p>
      <w:pPr>
        <w:pStyle w:val="Bibliography"/>
      </w:pPr>
      <w:r>
        <w:t xml:space="preserve">95.</w:t>
      </w:r>
      <w:r>
        <w:t xml:space="preserve"> </w:t>
      </w:r>
      <w:r>
        <w:t xml:space="preserve">	</w:t>
      </w:r>
      <w:r>
        <w:t xml:space="preserve">Oeltzschner, G.</w:t>
      </w:r>
      <w:r>
        <w:t xml:space="preserve"> </w:t>
      </w:r>
      <w:r>
        <w:rPr>
          <w:i/>
          <w:iCs/>
        </w:rPr>
        <w:t xml:space="preserve">et al.</w:t>
      </w:r>
      <w:r>
        <w:t xml:space="preserve"> </w:t>
      </w:r>
      <w:hyperlink r:id="rId259">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60"/>
    <w:bookmarkStart w:id="262" w:name="Xa737e5e392e4bcd51c7fd23331cbb80e3818b9a"/>
    <w:p>
      <w:pPr>
        <w:pStyle w:val="Bibliography"/>
      </w:pPr>
      <w:r>
        <w:t xml:space="preserve">96.</w:t>
      </w:r>
      <w:r>
        <w:t xml:space="preserve"> </w:t>
      </w:r>
      <w:r>
        <w:t xml:space="preserve">	</w:t>
      </w:r>
      <w:r>
        <w:t xml:space="preserve">Provencher, S. W.</w:t>
      </w:r>
      <w:r>
        <w:t xml:space="preserve"> </w:t>
      </w:r>
      <w:hyperlink r:id="rId261">
        <w:r>
          <w:rPr>
            <w:rStyle w:val="InternetLink"/>
          </w:rPr>
          <w:t xml:space="preserve">Automatic quantitation of localized in vivo</w:t>
        </w:r>
        <w:r>
          <w:rPr>
            <w:rStyle w:val="InternetLink"/>
          </w:rPr>
          <w:t xml:space="preserve"> </w:t>
        </w:r>
        <w:r>
          <w:rPr>
            <w:rStyle w:val="InternetLink"/>
          </w:rPr>
          <w:t xml:space="preserve">1H</w:t>
        </w:r>
        <w:r>
          <w:rPr>
            <w:rStyle w:val="InternetLink"/>
          </w:rPr>
          <w:t xml:space="preserve"> </w:t>
        </w:r>
        <w:r>
          <w:rPr>
            <w:rStyle w:val="InternetLink"/>
          </w:rPr>
          <w:t xml:space="preserve">spectra with</w:t>
        </w:r>
        <w:r>
          <w:rPr>
            <w:rStyle w:val="InternetLink"/>
          </w:rPr>
          <w:t xml:space="preserve"> </w:t>
        </w:r>
        <w:r>
          <w:rPr>
            <w:rStyle w:val="InternetLink"/>
          </w:rPr>
          <w:t xml:space="preserve">LCModel</w:t>
        </w:r>
      </w:hyperlink>
      <w:r>
        <w:t xml:space="preserve">.</w:t>
      </w:r>
      <w:r>
        <w:t xml:space="preserve"> </w:t>
      </w:r>
      <w:r>
        <w:rPr>
          <w:i/>
          <w:iCs/>
        </w:rPr>
        <w:t xml:space="preserve">NMR in biomedicine</w:t>
      </w:r>
      <w:r>
        <w:t xml:space="preserve"> </w:t>
      </w:r>
      <w:r>
        <w:rPr>
          <w:b/>
          <w:bCs/>
        </w:rPr>
        <w:t xml:space="preserve">14</w:t>
      </w:r>
      <w:r>
        <w:t xml:space="preserve">, 260–264 (2001).</w:t>
      </w:r>
    </w:p>
    <w:bookmarkEnd w:id="262"/>
    <w:bookmarkStart w:id="264" w:name="ref-pasantaFunctionalMRSStudies2023"/>
    <w:p>
      <w:pPr>
        <w:pStyle w:val="Bibliography"/>
      </w:pPr>
      <w:r>
        <w:t xml:space="preserve">97.</w:t>
      </w:r>
      <w:r>
        <w:t xml:space="preserve"> </w:t>
      </w:r>
      <w:r>
        <w:t xml:space="preserve">	</w:t>
      </w:r>
      <w:r>
        <w:t xml:space="preserve">Pasanta, D.</w:t>
      </w:r>
      <w:r>
        <w:t xml:space="preserve"> </w:t>
      </w:r>
      <w:r>
        <w:rPr>
          <w:i/>
          <w:iCs/>
        </w:rPr>
        <w:t xml:space="preserve">et al.</w:t>
      </w:r>
      <w:r>
        <w:t xml:space="preserve"> </w:t>
      </w:r>
      <w:hyperlink r:id="rId263">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64"/>
    <w:bookmarkStart w:id="266" w:name="ref-ramadanGlutamateGlutamineReview2013"/>
    <w:p>
      <w:pPr>
        <w:pStyle w:val="Bibliography"/>
      </w:pPr>
      <w:r>
        <w:t xml:space="preserve">98.</w:t>
      </w:r>
      <w:r>
        <w:t xml:space="preserve"> </w:t>
      </w:r>
      <w:r>
        <w:t xml:space="preserve">	</w:t>
      </w:r>
      <w:r>
        <w:t xml:space="preserve">Ramadan, S., Lin, A. &amp; Stanwell, P.</w:t>
      </w:r>
      <w:r>
        <w:t xml:space="preserve"> </w:t>
      </w:r>
      <w:hyperlink r:id="rId265">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66"/>
    <w:bookmarkStart w:id="268" w:name="X052b6cafc7e5dc3a47aa528e7a043214fc5326f"/>
    <w:p>
      <w:pPr>
        <w:pStyle w:val="Bibliography"/>
      </w:pPr>
      <w:r>
        <w:t xml:space="preserve">99.</w:t>
      </w:r>
      <w:r>
        <w:t xml:space="preserve"> </w:t>
      </w:r>
      <w:r>
        <w:t xml:space="preserve">	</w:t>
      </w:r>
      <w:r>
        <w:t xml:space="preserve">Zöllner, H. J.</w:t>
      </w:r>
      <w:r>
        <w:t xml:space="preserve"> </w:t>
      </w:r>
      <w:r>
        <w:rPr>
          <w:i/>
          <w:iCs/>
        </w:rPr>
        <w:t xml:space="preserve">et al.</w:t>
      </w:r>
      <w:r>
        <w:t xml:space="preserve"> </w:t>
      </w:r>
      <w:hyperlink r:id="rId267">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68"/>
    <w:bookmarkStart w:id="270" w:name="X75e3a610a061c8794902153a8faf5931aea2967"/>
    <w:p>
      <w:pPr>
        <w:pStyle w:val="Bibliography"/>
      </w:pPr>
      <w:r>
        <w:t xml:space="preserve">100.</w:t>
      </w:r>
      <w:r>
        <w:t xml:space="preserve"> </w:t>
      </w:r>
      <w:r>
        <w:t xml:space="preserve">	</w:t>
      </w:r>
      <w:r>
        <w:t xml:space="preserve">Zöllner, H. J.</w:t>
      </w:r>
      <w:r>
        <w:t xml:space="preserve"> </w:t>
      </w:r>
      <w:r>
        <w:rPr>
          <w:i/>
          <w:iCs/>
        </w:rPr>
        <w:t xml:space="preserve">et al.</w:t>
      </w:r>
      <w:r>
        <w:t xml:space="preserve"> </w:t>
      </w:r>
      <w:hyperlink r:id="rId269">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70"/>
    <w:bookmarkStart w:id="272" w:name="X180a60f14470e5f085a3ed4594321e508d6ec55"/>
    <w:p>
      <w:pPr>
        <w:pStyle w:val="Bibliography"/>
      </w:pPr>
      <w:r>
        <w:t xml:space="preserve">101.</w:t>
      </w:r>
      <w:r>
        <w:t xml:space="preserve"> </w:t>
      </w:r>
      <w:r>
        <w:t xml:space="preserve">	</w:t>
      </w:r>
      <w:r>
        <w:t xml:space="preserve">An, L., Willem Van Der Veen, J., Li, S., Thomasson, D. M. &amp; Shen, J.</w:t>
      </w:r>
      <w:r>
        <w:t xml:space="preserve"> </w:t>
      </w:r>
      <w:hyperlink r:id="rId271">
        <w:r>
          <w:rPr>
            <w:rStyle w:val="InternetLink"/>
          </w:rPr>
          <w:t xml:space="preserve">Combination of multichannel single-voxel</w:t>
        </w:r>
        <w:r>
          <w:rPr>
            <w:rStyle w:val="InternetLink"/>
          </w:rPr>
          <w:t xml:space="preserve"> </w:t>
        </w:r>
        <w:r>
          <w:rPr>
            <w:rStyle w:val="InternetLink"/>
          </w:rPr>
          <w:t xml:space="preserve">MRS</w:t>
        </w:r>
        <w:r>
          <w:rPr>
            <w:rStyle w:val="InternetLink"/>
          </w:rPr>
          <w:t xml:space="preserve"> </w:t>
        </w:r>
        <w:r>
          <w:rPr>
            <w:rStyle w:val="InternetLink"/>
          </w:rPr>
          <w:t xml:space="preserve">signals using generalized least squares</w:t>
        </w:r>
      </w:hyperlink>
      <w:r>
        <w:t xml:space="preserve">.</w:t>
      </w:r>
      <w:r>
        <w:t xml:space="preserve"> </w:t>
      </w:r>
      <w:r>
        <w:rPr>
          <w:i/>
          <w:iCs/>
        </w:rPr>
        <w:t xml:space="preserve">Journal of Magnetic Resonance Imaging</w:t>
      </w:r>
      <w:r>
        <w:t xml:space="preserve"> </w:t>
      </w:r>
      <w:r>
        <w:rPr>
          <w:b/>
          <w:bCs/>
        </w:rPr>
        <w:t xml:space="preserve">37</w:t>
      </w:r>
      <w:r>
        <w:t xml:space="preserve">, 1445–1450 (2013).</w:t>
      </w:r>
    </w:p>
    <w:bookmarkEnd w:id="272"/>
    <w:bookmarkStart w:id="274" w:name="ref-bouchardNoiseDecorrelationCoil2025"/>
    <w:p>
      <w:pPr>
        <w:pStyle w:val="Bibliography"/>
      </w:pPr>
      <w:r>
        <w:t xml:space="preserve">102.</w:t>
      </w:r>
      <w:r>
        <w:t xml:space="preserve"> </w:t>
      </w:r>
      <w:r>
        <w:t xml:space="preserve">	</w:t>
      </w:r>
      <w:r>
        <w:t xml:space="preserve">Bouchard, A. E. &amp; Mikkelsen, M.</w:t>
      </w:r>
      <w:r>
        <w:t xml:space="preserve"> </w:t>
      </w:r>
      <w:hyperlink r:id="rId273">
        <w:r>
          <w:rPr>
            <w:rStyle w:val="InternetLink"/>
          </w:rPr>
          <w:t xml:space="preserve">Noise decorrelation coil combination optimizes</w:t>
        </w:r>
        <w:r>
          <w:rPr>
            <w:rStyle w:val="InternetLink"/>
          </w:rPr>
          <w:t xml:space="preserve"> </w:t>
        </w:r>
        <w:r>
          <w:rPr>
            <w:rStyle w:val="InternetLink"/>
          </w:rPr>
          <w:t xml:space="preserve">SNR</w:t>
        </w:r>
        <w:r>
          <w:rPr>
            <w:rStyle w:val="InternetLink"/>
          </w:rPr>
          <w:t xml:space="preserve"> </w:t>
        </w:r>
        <w:r>
          <w:rPr>
            <w:rStyle w:val="InternetLink"/>
          </w:rPr>
          <w:t xml:space="preserve">of edited</w:t>
        </w:r>
        <w:r>
          <w:rPr>
            <w:rStyle w:val="InternetLink"/>
          </w:rPr>
          <w:t xml:space="preserve"> </w:t>
        </w:r>
        <w:r>
          <w:rPr>
            <w:rStyle w:val="InternetLink"/>
          </w:rPr>
          <w:t xml:space="preserve">1H MRS</w:t>
        </w:r>
        <w:r>
          <w:rPr>
            <w:rStyle w:val="InternetLink"/>
          </w:rPr>
          <w:t xml:space="preserve"> </w:t>
        </w:r>
        <w:r>
          <w:rPr>
            <w:rStyle w:val="InternetLink"/>
          </w:rPr>
          <w:t xml:space="preserve">data</w:t>
        </w:r>
      </w:hyperlink>
      <w:r>
        <w:t xml:space="preserve">.</w:t>
      </w:r>
      <w:r>
        <w:t xml:space="preserve"> </w:t>
      </w:r>
      <w:r>
        <w:rPr>
          <w:i/>
          <w:iCs/>
        </w:rPr>
        <w:t xml:space="preserve">Magnetic Resonance Imaging</w:t>
      </w:r>
      <w:r>
        <w:t xml:space="preserve"> </w:t>
      </w:r>
      <w:r>
        <w:rPr>
          <w:b/>
          <w:bCs/>
        </w:rPr>
        <w:t xml:space="preserve">122</w:t>
      </w:r>
      <w:r>
        <w:t xml:space="preserve">, 110452 (2025).</w:t>
      </w:r>
    </w:p>
    <w:bookmarkEnd w:id="274"/>
    <w:bookmarkStart w:id="276" w:name="X34dcf5b26e20f7c34f09cc47bce142128fdda22"/>
    <w:p>
      <w:pPr>
        <w:pStyle w:val="Bibliography"/>
      </w:pPr>
      <w:r>
        <w:t xml:space="preserve">103.</w:t>
      </w:r>
      <w:r>
        <w:t xml:space="preserve"> </w:t>
      </w:r>
      <w:r>
        <w:t xml:space="preserve">	</w:t>
      </w:r>
      <w:r>
        <w:t xml:space="preserve">Harris, A. D., Puts, N. A. J., Barker, P. B. &amp; Edden, R. A. E.</w:t>
      </w:r>
      <w:r>
        <w:t xml:space="preserve"> </w:t>
      </w:r>
      <w:hyperlink r:id="rId275">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76"/>
    <w:bookmarkStart w:id="278" w:name="ref-mikkelsenBigGABAII2019"/>
    <w:p>
      <w:pPr>
        <w:pStyle w:val="Bibliography"/>
      </w:pPr>
      <w:r>
        <w:t xml:space="preserve">104.</w:t>
      </w:r>
      <w:r>
        <w:t xml:space="preserve"> </w:t>
      </w:r>
      <w:r>
        <w:t xml:space="preserve">	</w:t>
      </w:r>
      <w:r>
        <w:t xml:space="preserve">Mikkelsen, M.</w:t>
      </w:r>
      <w:r>
        <w:t xml:space="preserve"> </w:t>
      </w:r>
      <w:r>
        <w:rPr>
          <w:i/>
          <w:iCs/>
        </w:rPr>
        <w:t xml:space="preserve">et al.</w:t>
      </w:r>
      <w:r>
        <w:t xml:space="preserve"> </w:t>
      </w:r>
      <w:hyperlink r:id="rId277">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78"/>
    <w:bookmarkStart w:id="280" w:name="ref-mikkelsenBigGABAEdited2017"/>
    <w:p>
      <w:pPr>
        <w:pStyle w:val="Bibliography"/>
      </w:pPr>
      <w:r>
        <w:t xml:space="preserve">105.</w:t>
      </w:r>
      <w:r>
        <w:t xml:space="preserve"> </w:t>
      </w:r>
      <w:r>
        <w:t xml:space="preserve">	</w:t>
      </w:r>
      <w:r>
        <w:t xml:space="preserve">Mikkelsen, M.</w:t>
      </w:r>
      <w:r>
        <w:t xml:space="preserve"> </w:t>
      </w:r>
      <w:r>
        <w:rPr>
          <w:i/>
          <w:iCs/>
        </w:rPr>
        <w:t xml:space="preserve">et al.</w:t>
      </w:r>
      <w:r>
        <w:t xml:space="preserve"> </w:t>
      </w:r>
      <w:hyperlink r:id="rId279">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80"/>
    <w:bookmarkStart w:id="281" w:name="Xa40a6c308a7c4ecd374d5d433164d97a4c07e0f"/>
    <w:p>
      <w:pPr>
        <w:pStyle w:val="Bibliography"/>
      </w:pPr>
      <w:r>
        <w:t xml:space="preserve">106.</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81"/>
    <w:bookmarkStart w:id="283" w:name="ref-gasparovicUseTissueWater2006"/>
    <w:p>
      <w:pPr>
        <w:pStyle w:val="Bibliography"/>
      </w:pPr>
      <w:r>
        <w:t xml:space="preserve">107.</w:t>
      </w:r>
      <w:r>
        <w:t xml:space="preserve"> </w:t>
      </w:r>
      <w:r>
        <w:t xml:space="preserve">	</w:t>
      </w:r>
      <w:r>
        <w:t xml:space="preserve">Gasparovic, C.</w:t>
      </w:r>
      <w:r>
        <w:t xml:space="preserve"> </w:t>
      </w:r>
      <w:r>
        <w:rPr>
          <w:i/>
          <w:iCs/>
        </w:rPr>
        <w:t xml:space="preserve">et al.</w:t>
      </w:r>
      <w:r>
        <w:t xml:space="preserve"> </w:t>
      </w:r>
      <w:hyperlink r:id="rId282">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83"/>
    <w:bookmarkStart w:id="285" w:name="X3bd4325490f39fc8d86d2a451dd0fe154a395df"/>
    <w:p>
      <w:pPr>
        <w:pStyle w:val="Bibliography"/>
      </w:pPr>
      <w:r>
        <w:t xml:space="preserve">108.</w:t>
      </w:r>
      <w:r>
        <w:t xml:space="preserve"> </w:t>
      </w:r>
      <w:r>
        <w:t xml:space="preserve">	</w:t>
      </w:r>
      <w:r>
        <w:t xml:space="preserve">Rideaux, R.</w:t>
      </w:r>
      <w:r>
        <w:t xml:space="preserve"> </w:t>
      </w:r>
      <w:hyperlink r:id="rId284">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85"/>
    <w:bookmarkStart w:id="287" w:name="ref-juchemB0ShimmingVivo2021"/>
    <w:p>
      <w:pPr>
        <w:pStyle w:val="Bibliography"/>
      </w:pPr>
      <w:r>
        <w:t xml:space="preserve">109.</w:t>
      </w:r>
      <w:r>
        <w:t xml:space="preserve"> </w:t>
      </w:r>
      <w:r>
        <w:t xml:space="preserve">	</w:t>
      </w:r>
      <w:r>
        <w:t xml:space="preserve">Juchem, C.</w:t>
      </w:r>
      <w:r>
        <w:t xml:space="preserve"> </w:t>
      </w:r>
      <w:r>
        <w:rPr>
          <w:i/>
          <w:iCs/>
        </w:rPr>
        <w:t xml:space="preserve">et al.</w:t>
      </w:r>
      <w:r>
        <w:t xml:space="preserve"> </w:t>
      </w:r>
      <w:hyperlink r:id="rId286">
        <w:r>
          <w:rPr>
            <w:rStyle w:val="InternetLink"/>
          </w:rPr>
          <w:t xml:space="preserve">B</w:t>
        </w:r>
        <w:r>
          <w:rPr>
            <w:rStyle w:val="InternetLink"/>
            <w:vertAlign w:val="subscript"/>
          </w:rPr>
          <w:t xml:space="preserve">0</w:t>
        </w:r>
        <w:r>
          <w:rPr>
            <w:rStyle w:val="InternetLink"/>
          </w:rPr>
          <w:t xml:space="preserve"> </w:t>
        </w:r>
        <w:r>
          <w:rPr>
            <w:rStyle w:val="InternetLink"/>
          </w:rPr>
          <w:t xml:space="preserve">shimming for in vivo 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e4350 (2021).</w:t>
      </w:r>
    </w:p>
    <w:bookmarkEnd w:id="287"/>
    <w:bookmarkStart w:id="289" w:name="ref-eddenGannetBatchprocessingTool2014"/>
    <w:p>
      <w:pPr>
        <w:pStyle w:val="Bibliography"/>
      </w:pPr>
      <w:r>
        <w:t xml:space="preserve">110.</w:t>
      </w:r>
      <w:r>
        <w:t xml:space="preserve"> </w:t>
      </w:r>
      <w:r>
        <w:t xml:space="preserve">	</w:t>
      </w:r>
      <w:r>
        <w:t xml:space="preserve">Edden, R. A. E., Puts, N. A. J., Harris, A. D., Barker, P. B. &amp; Evans, C. J.</w:t>
      </w:r>
      <w:r>
        <w:t xml:space="preserve"> </w:t>
      </w:r>
      <w:hyperlink r:id="rId288">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289"/>
    <w:bookmarkStart w:id="291" w:name="ref-duffPowerSpectralDensity2008"/>
    <w:p>
      <w:pPr>
        <w:pStyle w:val="Bibliography"/>
      </w:pPr>
      <w:r>
        <w:t xml:space="preserve">111.</w:t>
      </w:r>
      <w:r>
        <w:t xml:space="preserve"> </w:t>
      </w:r>
      <w:r>
        <w:t xml:space="preserve">	</w:t>
      </w:r>
      <w:r>
        <w:t xml:space="preserve">Duff, E. P.</w:t>
      </w:r>
      <w:r>
        <w:t xml:space="preserve"> </w:t>
      </w:r>
      <w:r>
        <w:rPr>
          <w:i/>
          <w:iCs/>
        </w:rPr>
        <w:t xml:space="preserve">et al.</w:t>
      </w:r>
      <w:r>
        <w:t xml:space="preserve"> </w:t>
      </w:r>
      <w:hyperlink r:id="rId290">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291"/>
    <w:bookmarkStart w:id="293" w:name="Xd34177f599f07e2811a749ece05b12e11ebd05a"/>
    <w:p>
      <w:pPr>
        <w:pStyle w:val="Bibliography"/>
      </w:pPr>
      <w:r>
        <w:t xml:space="preserve">112.</w:t>
      </w:r>
      <w:r>
        <w:t xml:space="preserve"> </w:t>
      </w:r>
      <w:r>
        <w:t xml:space="preserve">	</w:t>
      </w:r>
      <w:r>
        <w:t xml:space="preserve">Bullmore, E.</w:t>
      </w:r>
      <w:r>
        <w:t xml:space="preserve"> </w:t>
      </w:r>
      <w:r>
        <w:rPr>
          <w:i/>
          <w:iCs/>
        </w:rPr>
        <w:t xml:space="preserve">et al.</w:t>
      </w:r>
      <w:r>
        <w:t xml:space="preserve"> </w:t>
      </w:r>
      <w:hyperlink r:id="rId292">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293"/>
    <w:bookmarkStart w:id="295" w:name="ref-welchUseFastFourier1967"/>
    <w:p>
      <w:pPr>
        <w:pStyle w:val="Bibliography"/>
      </w:pPr>
      <w:r>
        <w:t xml:space="preserve">113.</w:t>
      </w:r>
      <w:r>
        <w:t xml:space="preserve"> </w:t>
      </w:r>
      <w:r>
        <w:t xml:space="preserve">	</w:t>
      </w:r>
      <w:r>
        <w:t xml:space="preserve">Welch, P.</w:t>
      </w:r>
      <w:r>
        <w:t xml:space="preserve"> </w:t>
      </w:r>
      <w:hyperlink r:id="rId294">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295"/>
    <w:bookmarkStart w:id="297" w:name="ref-virtanenSciPy10Fundamental2020"/>
    <w:p>
      <w:pPr>
        <w:pStyle w:val="Bibliography"/>
      </w:pPr>
      <w:r>
        <w:t xml:space="preserve">114.</w:t>
      </w:r>
      <w:r>
        <w:t xml:space="preserve"> </w:t>
      </w:r>
      <w:r>
        <w:t xml:space="preserve">	</w:t>
      </w:r>
      <w:r>
        <w:t xml:space="preserve">Virtanen, P.</w:t>
      </w:r>
      <w:r>
        <w:t xml:space="preserve"> </w:t>
      </w:r>
      <w:r>
        <w:rPr>
          <w:i/>
          <w:iCs/>
        </w:rPr>
        <w:t xml:space="preserve">et al.</w:t>
      </w:r>
      <w:r>
        <w:t xml:space="preserve"> </w:t>
      </w:r>
      <w:hyperlink r:id="rId296">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297"/>
    <w:bookmarkStart w:id="299" w:name="X8f92efa2129315f50d21293b2abe8849772b3c2"/>
    <w:p>
      <w:pPr>
        <w:pStyle w:val="Bibliography"/>
      </w:pPr>
      <w:r>
        <w:t xml:space="preserve">115.</w:t>
      </w:r>
      <w:r>
        <w:t xml:space="preserve"> </w:t>
      </w:r>
      <w:r>
        <w:t xml:space="preserve">	</w:t>
      </w:r>
      <w:r>
        <w:t xml:space="preserve">Rubin, D., Fekete, T. &amp; Mujica-Parodi, L. R.</w:t>
      </w:r>
      <w:r>
        <w:t xml:space="preserve"> </w:t>
      </w:r>
      <w:hyperlink r:id="rId298">
        <w:r>
          <w:rPr>
            <w:rStyle w:val="InternetLink"/>
          </w:rPr>
          <w:t xml:space="preserve">Optimizing</w:t>
        </w:r>
        <w:r>
          <w:rPr>
            <w:rStyle w:val="InternetLink"/>
          </w:rPr>
          <w:t xml:space="preserve"> </w:t>
        </w:r>
        <w:r>
          <w:rPr>
            <w:rStyle w:val="InternetLink"/>
          </w:rPr>
          <w:t xml:space="preserve">Complexity Measures</w:t>
        </w:r>
        <w:r>
          <w:rPr>
            <w:rStyle w:val="InternetLink"/>
          </w:rPr>
          <w:t xml:space="preserve"> </w:t>
        </w:r>
        <w:r>
          <w:rPr>
            <w:rStyle w:val="InternetLink"/>
          </w:rPr>
          <w:t xml:space="preserve">for</w:t>
        </w:r>
        <w:r>
          <w:rPr>
            <w:rStyle w:val="InternetLink"/>
          </w:rPr>
          <w:t xml:space="preserve"> </w:t>
        </w:r>
        <w:r>
          <w:rPr>
            <w:rStyle w:val="InternetLink"/>
          </w:rPr>
          <w:t xml:space="preserve">fMRI Data</w:t>
        </w:r>
        <w:r>
          <w:rPr>
            <w:rStyle w:val="InternetLink"/>
          </w:rPr>
          <w:t xml:space="preserve">:</w:t>
        </w:r>
        <w:r>
          <w:rPr>
            <w:rStyle w:val="InternetLink"/>
          </w:rPr>
          <w:t xml:space="preserve"> </w:t>
        </w:r>
        <w:r>
          <w:rPr>
            <w:rStyle w:val="InternetLink"/>
          </w:rPr>
          <w:t xml:space="preserve">Algorithm</w:t>
        </w:r>
        <w:r>
          <w:rPr>
            <w:rStyle w:val="InternetLink"/>
          </w:rPr>
          <w:t xml:space="preserve">,</w:t>
        </w:r>
        <w:r>
          <w:rPr>
            <w:rStyle w:val="InternetLink"/>
          </w:rPr>
          <w:t xml:space="preserve"> </w:t>
        </w:r>
        <w:r>
          <w:rPr>
            <w:rStyle w:val="InternetLink"/>
          </w:rPr>
          <w:t xml:space="preserve">Artifact</w:t>
        </w:r>
        <w:r>
          <w:rPr>
            <w:rStyle w:val="InternetLink"/>
          </w:rPr>
          <w:t xml:space="preserve">, and</w:t>
        </w:r>
        <w:r>
          <w:rPr>
            <w:rStyle w:val="InternetLink"/>
          </w:rPr>
          <w:t xml:space="preserve"> </w:t>
        </w:r>
        <w:r>
          <w:rPr>
            <w:rStyle w:val="InternetLink"/>
          </w:rPr>
          <w:t xml:space="preserve">Sensitivity</w:t>
        </w:r>
      </w:hyperlink>
      <w:r>
        <w:t xml:space="preserve">.</w:t>
      </w:r>
      <w:r>
        <w:t xml:space="preserve"> </w:t>
      </w:r>
      <w:r>
        <w:rPr>
          <w:i/>
          <w:iCs/>
        </w:rPr>
        <w:t xml:space="preserve">PLoS ONE</w:t>
      </w:r>
      <w:r>
        <w:t xml:space="preserve"> </w:t>
      </w:r>
      <w:r>
        <w:rPr>
          <w:b/>
          <w:bCs/>
        </w:rPr>
        <w:t xml:space="preserve">8</w:t>
      </w:r>
      <w:r>
        <w:t xml:space="preserve">, e63448 (2013).</w:t>
      </w:r>
    </w:p>
    <w:bookmarkEnd w:id="299"/>
    <w:bookmarkStart w:id="301" w:name="X777c331d415e605c70ef5f00469b3557f0cea50"/>
    <w:p>
      <w:pPr>
        <w:pStyle w:val="Bibliography"/>
      </w:pPr>
      <w:r>
        <w:t xml:space="preserve">116.</w:t>
      </w:r>
      <w:r>
        <w:t xml:space="preserve"> </w:t>
      </w:r>
      <w:r>
        <w:t xml:space="preserve">	</w:t>
      </w:r>
      <w:r>
        <w:t xml:space="preserve">Schaefer, A., Brach, J. S., Perera, S. &amp; Sejdić, E.</w:t>
      </w:r>
      <w:r>
        <w:t xml:space="preserve"> </w:t>
      </w:r>
      <w:hyperlink r:id="rId300">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301"/>
    <w:bookmarkStart w:id="303" w:name="ref-hartmannRealtimeFractalSignal2013"/>
    <w:p>
      <w:pPr>
        <w:pStyle w:val="Bibliography"/>
      </w:pPr>
      <w:r>
        <w:t xml:space="preserve">117.</w:t>
      </w:r>
      <w:r>
        <w:t xml:space="preserve"> </w:t>
      </w:r>
      <w:r>
        <w:t xml:space="preserve">	</w:t>
      </w:r>
      <w:r>
        <w:t xml:space="preserve">Hartmann, A.</w:t>
      </w:r>
      <w:r>
        <w:t xml:space="preserve"> </w:t>
      </w:r>
      <w:r>
        <w:rPr>
          <w:i/>
          <w:iCs/>
        </w:rPr>
        <w:t xml:space="preserve">et al.</w:t>
      </w:r>
      <w:r>
        <w:t xml:space="preserve"> </w:t>
      </w:r>
      <w:hyperlink r:id="rId302">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303"/>
    <w:bookmarkStart w:id="305" w:name="ref-ekePhysiologicalTimeSeries2000"/>
    <w:p>
      <w:pPr>
        <w:pStyle w:val="Bibliography"/>
      </w:pPr>
      <w:r>
        <w:t xml:space="preserve">118.</w:t>
      </w:r>
      <w:r>
        <w:t xml:space="preserve"> </w:t>
      </w:r>
      <w:r>
        <w:t xml:space="preserve">	</w:t>
      </w:r>
      <w:r>
        <w:t xml:space="preserve">Eke, A.</w:t>
      </w:r>
      <w:r>
        <w:t xml:space="preserve"> </w:t>
      </w:r>
      <w:r>
        <w:rPr>
          <w:i/>
          <w:iCs/>
        </w:rPr>
        <w:t xml:space="preserve">et al.</w:t>
      </w:r>
      <w:r>
        <w:t xml:space="preserve"> </w:t>
      </w:r>
      <w:hyperlink r:id="rId304">
        <w:r>
          <w:rPr>
            <w:rStyle w:val="InternetLink"/>
          </w:rPr>
          <w:t xml:space="preserve">Physiological time series: Distinguishing fractal noises from motions</w:t>
        </w:r>
      </w:hyperlink>
      <w:r>
        <w:t xml:space="preserve">.</w:t>
      </w:r>
      <w:r>
        <w:t xml:space="preserve"> </w:t>
      </w:r>
      <w:r>
        <w:rPr>
          <w:i/>
          <w:iCs/>
        </w:rPr>
        <w:t xml:space="preserve">Pflügers Archiv - European Journal of Physiology</w:t>
      </w:r>
      <w:r>
        <w:t xml:space="preserve"> </w:t>
      </w:r>
      <w:r>
        <w:rPr>
          <w:b/>
          <w:bCs/>
        </w:rPr>
        <w:t xml:space="preserve">439</w:t>
      </w:r>
      <w:r>
        <w:t xml:space="preserve">, 403–415 (2000).</w:t>
      </w:r>
    </w:p>
    <w:bookmarkEnd w:id="305"/>
    <w:bookmarkStart w:id="306" w:name="X7d7144c0a52ec3594cffc5fec0f425498533505"/>
    <w:p>
      <w:pPr>
        <w:pStyle w:val="Bibliography"/>
      </w:pPr>
      <w:r>
        <w:t xml:space="preserve">119.</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306"/>
    <w:bookmarkStart w:id="308" w:name="ref-studentProbableErrorMean1908"/>
    <w:p>
      <w:pPr>
        <w:pStyle w:val="Bibliography"/>
      </w:pPr>
      <w:r>
        <w:t xml:space="preserve">120.</w:t>
      </w:r>
      <w:r>
        <w:t xml:space="preserve"> </w:t>
      </w:r>
      <w:r>
        <w:t xml:space="preserve">	</w:t>
      </w:r>
      <w:r>
        <w:t xml:space="preserve">Student.</w:t>
      </w:r>
      <w:r>
        <w:t xml:space="preserve"> </w:t>
      </w:r>
      <w:hyperlink r:id="rId307">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308"/>
    <w:bookmarkStart w:id="309" w:name="ref-freedmanStatistics2007"/>
    <w:p>
      <w:pPr>
        <w:pStyle w:val="Bibliography"/>
      </w:pPr>
      <w:r>
        <w:t xml:space="preserve">121.</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309"/>
    <w:bookmarkStart w:id="311" w:name="X6ae0be824696d7d721165c200683fdc329ea166"/>
    <w:p>
      <w:pPr>
        <w:pStyle w:val="Bibliography"/>
      </w:pPr>
      <w:r>
        <w:t xml:space="preserve">122.</w:t>
      </w:r>
      <w:r>
        <w:t xml:space="preserve"> </w:t>
      </w:r>
      <w:r>
        <w:t xml:space="preserve">	</w:t>
      </w:r>
      <w:r>
        <w:t xml:space="preserve">Thomas Yeo, B. T.</w:t>
      </w:r>
      <w:r>
        <w:t xml:space="preserve"> </w:t>
      </w:r>
      <w:r>
        <w:rPr>
          <w:i/>
          <w:iCs/>
        </w:rPr>
        <w:t xml:space="preserve">et al.</w:t>
      </w:r>
      <w:r>
        <w:t xml:space="preserve"> </w:t>
      </w:r>
      <w:hyperlink r:id="rId310">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311"/>
    <w:bookmarkStart w:id="313" w:name="ref-vanessenHumanConnectomeProject2012"/>
    <w:p>
      <w:pPr>
        <w:pStyle w:val="Bibliography"/>
      </w:pPr>
      <w:r>
        <w:t xml:space="preserve">123.</w:t>
      </w:r>
      <w:r>
        <w:t xml:space="preserve"> </w:t>
      </w:r>
      <w:r>
        <w:t xml:space="preserve">	</w:t>
      </w:r>
      <w:r>
        <w:t xml:space="preserve">Van Essen, D. C.</w:t>
      </w:r>
      <w:r>
        <w:t xml:space="preserve"> </w:t>
      </w:r>
      <w:r>
        <w:rPr>
          <w:i/>
          <w:iCs/>
        </w:rPr>
        <w:t xml:space="preserve">et al.</w:t>
      </w:r>
      <w:r>
        <w:t xml:space="preserve"> </w:t>
      </w:r>
      <w:hyperlink r:id="rId312">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313"/>
    <w:bookmarkStart w:id="315" w:name="ref-barnesEndogenousHumanBrain2009"/>
    <w:p>
      <w:pPr>
        <w:pStyle w:val="Bibliography"/>
      </w:pPr>
      <w:r>
        <w:t xml:space="preserve">124.</w:t>
      </w:r>
      <w:r>
        <w:t xml:space="preserve"> </w:t>
      </w:r>
      <w:r>
        <w:t xml:space="preserve">	</w:t>
      </w:r>
      <w:r>
        <w:t xml:space="preserve">Barnes, A., Bullmore, E. T. &amp; Suckling, J.</w:t>
      </w:r>
      <w:r>
        <w:t xml:space="preserve"> </w:t>
      </w:r>
      <w:hyperlink r:id="rId314">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315"/>
    <w:bookmarkStart w:id="317" w:name="Xdd0f9bdb5d2d0acdde6c08413118c35b45ae4cd"/>
    <w:p>
      <w:pPr>
        <w:pStyle w:val="Bibliography"/>
      </w:pPr>
      <w:r>
        <w:t xml:space="preserve">125.</w:t>
      </w:r>
      <w:r>
        <w:t xml:space="preserve"> </w:t>
      </w:r>
      <w:r>
        <w:t xml:space="preserve">	</w:t>
      </w:r>
      <w:r>
        <w:t xml:space="preserve">Hasson, U., Malach, R. &amp; Heeger, D. J.</w:t>
      </w:r>
      <w:r>
        <w:t xml:space="preserve"> </w:t>
      </w:r>
      <w:hyperlink r:id="rId316">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17"/>
    <w:bookmarkStart w:id="319" w:name="Xd7bbbfdf199e4fdf58c437612e12147a1ffae11"/>
    <w:p>
      <w:pPr>
        <w:pStyle w:val="Bibliography"/>
      </w:pPr>
      <w:r>
        <w:t xml:space="preserve">126.</w:t>
      </w:r>
      <w:r>
        <w:t xml:space="preserve"> </w:t>
      </w:r>
      <w:r>
        <w:t xml:space="preserve">	</w:t>
      </w:r>
      <w:r>
        <w:t xml:space="preserve">Gutzeit, A.</w:t>
      </w:r>
      <w:r>
        <w:t xml:space="preserve"> </w:t>
      </w:r>
      <w:r>
        <w:rPr>
          <w:i/>
          <w:iCs/>
        </w:rPr>
        <w:t xml:space="preserve">et al.</w:t>
      </w:r>
      <w:r>
        <w:t xml:space="preserve"> </w:t>
      </w:r>
      <w:hyperlink r:id="rId318">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19"/>
    <w:bookmarkStart w:id="321" w:name="Xc031393e1e23d215e5a249602114cefaa154497"/>
    <w:p>
      <w:pPr>
        <w:pStyle w:val="Bibliography"/>
      </w:pPr>
      <w:r>
        <w:t xml:space="preserve">127.</w:t>
      </w:r>
      <w:r>
        <w:t xml:space="preserve"> </w:t>
      </w:r>
      <w:r>
        <w:t xml:space="preserve">	</w:t>
      </w:r>
      <w:r>
        <w:t xml:space="preserve">Cleve, M., Gussew, A., Wagner, G., Bär, K.-J. &amp; Reichenbach, J. R.</w:t>
      </w:r>
      <w:r>
        <w:t xml:space="preserve"> </w:t>
      </w:r>
      <w:hyperlink r:id="rId320">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21"/>
    <w:bookmarkStart w:id="323" w:name="X70d4e54e9083b8b511ad1a83fb645f92f8c48a0"/>
    <w:p>
      <w:pPr>
        <w:pStyle w:val="Bibliography"/>
      </w:pPr>
      <w:r>
        <w:t xml:space="preserve">128.</w:t>
      </w:r>
      <w:r>
        <w:t xml:space="preserve"> </w:t>
      </w:r>
      <w:r>
        <w:t xml:space="preserve">	</w:t>
      </w:r>
      <w:r>
        <w:t xml:space="preserve">Apšvalka, D., Gadie, A., Clemence, M. &amp; Mullins, P. G.</w:t>
      </w:r>
      <w:r>
        <w:t xml:space="preserve"> </w:t>
      </w:r>
      <w:hyperlink r:id="rId322">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23"/>
    <w:bookmarkStart w:id="325" w:name="ref-floyer-leaRapidModulationGABA2006"/>
    <w:p>
      <w:pPr>
        <w:pStyle w:val="Bibliography"/>
      </w:pPr>
      <w:r>
        <w:t xml:space="preserve">129.</w:t>
      </w:r>
      <w:r>
        <w:t xml:space="preserve"> </w:t>
      </w:r>
      <w:r>
        <w:t xml:space="preserve">	</w:t>
      </w:r>
      <w:r>
        <w:t xml:space="preserve">Floyer-Lea, A., Wylezinska, M., Kincses, T. &amp; Matthews, P. M.</w:t>
      </w:r>
      <w:r>
        <w:t xml:space="preserve"> </w:t>
      </w:r>
      <w:hyperlink r:id="rId324">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25"/>
    <w:bookmarkStart w:id="327" w:name="Xfd39a03a46266e9206661c98743a7164bea427c"/>
    <w:p>
      <w:pPr>
        <w:pStyle w:val="Bibliography"/>
      </w:pPr>
      <w:r>
        <w:t xml:space="preserve">130.</w:t>
      </w:r>
      <w:r>
        <w:t xml:space="preserve"> </w:t>
      </w:r>
      <w:r>
        <w:t xml:space="preserve">	</w:t>
      </w:r>
      <w:r>
        <w:t xml:space="preserve">Sampaio-Baptista, C.</w:t>
      </w:r>
      <w:r>
        <w:t xml:space="preserve"> </w:t>
      </w:r>
      <w:r>
        <w:rPr>
          <w:i/>
          <w:iCs/>
        </w:rPr>
        <w:t xml:space="preserve">et al.</w:t>
      </w:r>
      <w:r>
        <w:t xml:space="preserve"> </w:t>
      </w:r>
      <w:hyperlink r:id="rId326">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27"/>
    <w:bookmarkStart w:id="329" w:name="ref-staggRoleGABAHuman2011"/>
    <w:p>
      <w:pPr>
        <w:pStyle w:val="Bibliography"/>
      </w:pPr>
      <w:r>
        <w:t xml:space="preserve">131.</w:t>
      </w:r>
      <w:r>
        <w:t xml:space="preserve"> </w:t>
      </w:r>
      <w:r>
        <w:t xml:space="preserve">	</w:t>
      </w:r>
      <w:r>
        <w:t xml:space="preserve">Stagg, C. J., Bachtiar, V. &amp; Johansen-Berg, H.</w:t>
      </w:r>
      <w:r>
        <w:t xml:space="preserve"> </w:t>
      </w:r>
      <w:hyperlink r:id="rId328">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29"/>
    <w:bookmarkStart w:id="331" w:name="Xc23bd815f845e5380371f8632e8bf49cbd2c5fa"/>
    <w:p>
      <w:pPr>
        <w:pStyle w:val="Bibliography"/>
      </w:pPr>
      <w:r>
        <w:t xml:space="preserve">132.</w:t>
      </w:r>
      <w:r>
        <w:t xml:space="preserve"> </w:t>
      </w:r>
      <w:r>
        <w:t xml:space="preserve">	</w:t>
      </w:r>
      <w:r>
        <w:t xml:space="preserve">Mangia, S., Giove, F. &amp; Dinuzzo, M.</w:t>
      </w:r>
      <w:r>
        <w:t xml:space="preserve"> </w:t>
      </w:r>
      <w:hyperlink r:id="rId330">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31"/>
    <w:bookmarkStart w:id="333" w:name="X5469f64f3bb30d988fbeeb1cf3ab3d2dc0d2483"/>
    <w:p>
      <w:pPr>
        <w:pStyle w:val="Bibliography"/>
      </w:pPr>
      <w:r>
        <w:t xml:space="preserve">133.</w:t>
      </w:r>
      <w:r>
        <w:t xml:space="preserve"> </w:t>
      </w:r>
      <w:r>
        <w:t xml:space="preserve">	</w:t>
      </w:r>
      <w:r>
        <w:t xml:space="preserve">Archibald, J.</w:t>
      </w:r>
      <w:r>
        <w:t xml:space="preserve"> </w:t>
      </w:r>
      <w:r>
        <w:rPr>
          <w:i/>
          <w:iCs/>
        </w:rPr>
        <w:t xml:space="preserve">et al.</w:t>
      </w:r>
      <w:r>
        <w:t xml:space="preserve"> </w:t>
      </w:r>
      <w:hyperlink r:id="rId332">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33"/>
    <w:bookmarkStart w:id="335" w:name="ref-huiFrequencyDriftMR2021"/>
    <w:p>
      <w:pPr>
        <w:pStyle w:val="Bibliography"/>
      </w:pPr>
      <w:r>
        <w:t xml:space="preserve">134.</w:t>
      </w:r>
      <w:r>
        <w:t xml:space="preserve"> </w:t>
      </w:r>
      <w:r>
        <w:t xml:space="preserve">	</w:t>
      </w:r>
      <w:r>
        <w:t xml:space="preserve">Hui, S. C. N.</w:t>
      </w:r>
      <w:r>
        <w:t xml:space="preserve"> </w:t>
      </w:r>
      <w:r>
        <w:rPr>
          <w:i/>
          <w:iCs/>
        </w:rPr>
        <w:t xml:space="preserve">et al.</w:t>
      </w:r>
      <w:r>
        <w:t xml:space="preserve"> </w:t>
      </w:r>
      <w:hyperlink r:id="rId334">
        <w:r>
          <w:rPr>
            <w:rStyle w:val="InternetLink"/>
          </w:rPr>
          <w:t xml:space="preserve">Frequency drift in</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hyperlink>
      <w:r>
        <w:t xml:space="preserve">.</w:t>
      </w:r>
      <w:r>
        <w:t xml:space="preserve"> </w:t>
      </w:r>
      <w:r>
        <w:rPr>
          <w:i/>
          <w:iCs/>
        </w:rPr>
        <w:t xml:space="preserve">NeuroImage</w:t>
      </w:r>
      <w:r>
        <w:t xml:space="preserve"> </w:t>
      </w:r>
      <w:r>
        <w:rPr>
          <w:b/>
          <w:bCs/>
        </w:rPr>
        <w:t xml:space="preserve">241</w:t>
      </w:r>
      <w:r>
        <w:t xml:space="preserve">, 118430 (2021).</w:t>
      </w:r>
    </w:p>
    <w:bookmarkEnd w:id="335"/>
    <w:bookmarkStart w:id="337" w:name="ref-peekBrainGABAGlutamate2020"/>
    <w:p>
      <w:pPr>
        <w:pStyle w:val="Bibliography"/>
      </w:pPr>
      <w:r>
        <w:t xml:space="preserve">135.</w:t>
      </w:r>
      <w:r>
        <w:t xml:space="preserve"> </w:t>
      </w:r>
      <w:r>
        <w:t xml:space="preserve">	</w:t>
      </w:r>
      <w:r>
        <w:t xml:space="preserve">Peek, A. L.</w:t>
      </w:r>
      <w:r>
        <w:t xml:space="preserve"> </w:t>
      </w:r>
      <w:r>
        <w:rPr>
          <w:i/>
          <w:iCs/>
        </w:rPr>
        <w:t xml:space="preserve">et al.</w:t>
      </w:r>
      <w:r>
        <w:t xml:space="preserve"> </w:t>
      </w:r>
      <w:hyperlink r:id="rId336">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37"/>
    <w:bookmarkStart w:id="339" w:name="ref-choiSpectralEditing1H2021"/>
    <w:p>
      <w:pPr>
        <w:pStyle w:val="Bibliography"/>
      </w:pPr>
      <w:r>
        <w:t xml:space="preserve">136.</w:t>
      </w:r>
      <w:r>
        <w:t xml:space="preserve"> </w:t>
      </w:r>
      <w:r>
        <w:t xml:space="preserve">	</w:t>
      </w:r>
      <w:r>
        <w:t xml:space="preserve">Choi, I.-Y.</w:t>
      </w:r>
      <w:r>
        <w:t xml:space="preserve"> </w:t>
      </w:r>
      <w:r>
        <w:rPr>
          <w:i/>
          <w:iCs/>
        </w:rPr>
        <w:t xml:space="preserve">et al.</w:t>
      </w:r>
      <w:r>
        <w:t xml:space="preserve"> </w:t>
      </w:r>
      <w:hyperlink r:id="rId338">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39"/>
    <w:bookmarkStart w:id="341" w:name="ref-linMinimumReportingStandards2021"/>
    <w:p>
      <w:pPr>
        <w:pStyle w:val="Bibliography"/>
      </w:pPr>
      <w:r>
        <w:t xml:space="preserve">137.</w:t>
      </w:r>
      <w:r>
        <w:t xml:space="preserve"> </w:t>
      </w:r>
      <w:r>
        <w:t xml:space="preserve">	</w:t>
      </w:r>
      <w:r>
        <w:t xml:space="preserve">Lin, A.</w:t>
      </w:r>
      <w:r>
        <w:t xml:space="preserve"> </w:t>
      </w:r>
      <w:r>
        <w:rPr>
          <w:i/>
          <w:iCs/>
        </w:rPr>
        <w:t xml:space="preserve">et al.</w:t>
      </w:r>
      <w:r>
        <w:t xml:space="preserve"> </w:t>
      </w:r>
      <w:hyperlink r:id="rId340">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41"/>
    <w:bookmarkStart w:id="343" w:name="ref-kunduMultiechoFMRIReview2017"/>
    <w:p>
      <w:pPr>
        <w:pStyle w:val="Bibliography"/>
      </w:pPr>
      <w:r>
        <w:t xml:space="preserve">138.</w:t>
      </w:r>
      <w:r>
        <w:t xml:space="preserve"> </w:t>
      </w:r>
      <w:r>
        <w:t xml:space="preserve">	</w:t>
      </w:r>
      <w:r>
        <w:t xml:space="preserve">Kundu, P.</w:t>
      </w:r>
      <w:r>
        <w:t xml:space="preserve"> </w:t>
      </w:r>
      <w:r>
        <w:rPr>
          <w:i/>
          <w:iCs/>
        </w:rPr>
        <w:t xml:space="preserve">et al.</w:t>
      </w:r>
      <w:r>
        <w:t xml:space="preserve"> </w:t>
      </w:r>
      <w:hyperlink r:id="rId342">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43"/>
    <w:bookmarkStart w:id="345" w:name="Xf89f147656cca7b375c337c7265920cd56ec00d"/>
    <w:p>
      <w:pPr>
        <w:pStyle w:val="Bibliography"/>
      </w:pPr>
      <w:r>
        <w:t xml:space="preserve">139.</w:t>
      </w:r>
      <w:r>
        <w:t xml:space="preserve"> </w:t>
      </w:r>
      <w:r>
        <w:t xml:space="preserve">	</w:t>
      </w:r>
      <w:r>
        <w:t xml:space="preserve">Terpstra, M.</w:t>
      </w:r>
      <w:r>
        <w:t xml:space="preserve"> </w:t>
      </w:r>
      <w:r>
        <w:rPr>
          <w:i/>
          <w:iCs/>
        </w:rPr>
        <w:t xml:space="preserve">et al.</w:t>
      </w:r>
      <w:r>
        <w:t xml:space="preserve"> </w:t>
      </w:r>
      <w:hyperlink r:id="rId344">
        <w:r>
          <w:rPr>
            <w:rStyle w:val="InternetLink"/>
          </w:rPr>
          <w:t xml:space="preserve">Test-retest reproducibility of neurochemical profiles with short-echo, single-voxel</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r>
          <w:rPr>
            <w:rStyle w:val="InternetLink"/>
          </w:rPr>
          <w:t xml:space="preserve"> </w:t>
        </w:r>
        <w:r>
          <w:rPr>
            <w:rStyle w:val="InternetLink"/>
          </w:rPr>
          <w:t xml:space="preserve">and</w:t>
        </w:r>
        <w:r>
          <w:rPr>
            <w:rStyle w:val="InternetLink"/>
          </w:rPr>
          <w:t xml:space="preserve"> </w:t>
        </w:r>
        <w:r>
          <w:rPr>
            <w:rStyle w:val="InternetLink"/>
          </w:rPr>
          <w:t xml:space="preserve">7T</w:t>
        </w:r>
      </w:hyperlink>
      <w:r>
        <w:t xml:space="preserve">.</w:t>
      </w:r>
      <w:r>
        <w:t xml:space="preserve"> </w:t>
      </w:r>
      <w:r>
        <w:rPr>
          <w:i/>
          <w:iCs/>
        </w:rPr>
        <w:t xml:space="preserve">Magnetic Resonance in Medicine</w:t>
      </w:r>
      <w:r>
        <w:t xml:space="preserve"> </w:t>
      </w:r>
      <w:r>
        <w:rPr>
          <w:b/>
          <w:bCs/>
        </w:rPr>
        <w:t xml:space="preserve">76</w:t>
      </w:r>
      <w:r>
        <w:t xml:space="preserve">, 1083–1091 (2016).</w:t>
      </w:r>
    </w:p>
    <w:bookmarkEnd w:id="345"/>
    <w:bookmarkStart w:id="347" w:name="ref-mullinsNovelTechniqueStudy2005"/>
    <w:p>
      <w:pPr>
        <w:pStyle w:val="Bibliography"/>
      </w:pPr>
      <w:r>
        <w:t xml:space="preserve">140.</w:t>
      </w:r>
      <w:r>
        <w:t xml:space="preserve"> </w:t>
      </w:r>
      <w:r>
        <w:t xml:space="preserve">	</w:t>
      </w:r>
      <w:r>
        <w:t xml:space="preserve">Mullins, P. G., Rowland, L. M., Jung, R. E. &amp; Sibbitt, W. L.</w:t>
      </w:r>
      <w:r>
        <w:t xml:space="preserve"> </w:t>
      </w:r>
      <w:hyperlink r:id="rId346">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47"/>
    <w:bookmarkStart w:id="349" w:name="ref-gussewTimeresolvedFunctional1H2010"/>
    <w:p>
      <w:pPr>
        <w:pStyle w:val="Bibliography"/>
      </w:pPr>
      <w:r>
        <w:t xml:space="preserve">141.</w:t>
      </w:r>
      <w:r>
        <w:t xml:space="preserve"> </w:t>
      </w:r>
      <w:r>
        <w:t xml:space="preserve">	</w:t>
      </w:r>
      <w:r>
        <w:t xml:space="preserve">Gussew, A.</w:t>
      </w:r>
      <w:r>
        <w:t xml:space="preserve"> </w:t>
      </w:r>
      <w:r>
        <w:rPr>
          <w:i/>
          <w:iCs/>
        </w:rPr>
        <w:t xml:space="preserve">et al.</w:t>
      </w:r>
      <w:r>
        <w:t xml:space="preserve"> </w:t>
      </w:r>
      <w:hyperlink r:id="rId348">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49"/>
    <w:bookmarkStart w:id="351" w:name="X80e31e083a8695b6c4a3f9174931ee68430de4b"/>
    <w:p>
      <w:pPr>
        <w:pStyle w:val="Bibliography"/>
      </w:pPr>
      <w:r>
        <w:t xml:space="preserve">142.</w:t>
      </w:r>
      <w:r>
        <w:t xml:space="preserve"> </w:t>
      </w:r>
      <w:r>
        <w:t xml:space="preserve">	</w:t>
      </w:r>
      <w:r>
        <w:t xml:space="preserve">Gutzeit, A.</w:t>
      </w:r>
      <w:r>
        <w:t xml:space="preserve"> </w:t>
      </w:r>
      <w:r>
        <w:rPr>
          <w:i/>
          <w:iCs/>
        </w:rPr>
        <w:t xml:space="preserve">et al.</w:t>
      </w:r>
      <w:r>
        <w:t xml:space="preserve"> </w:t>
      </w:r>
      <w:hyperlink r:id="rId350">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51"/>
    <w:bookmarkStart w:id="353" w:name="ref-mullinsTheoryFunctionalMagnetic2018"/>
    <w:p>
      <w:pPr>
        <w:pStyle w:val="Bibliography"/>
      </w:pPr>
      <w:r>
        <w:t xml:space="preserve">143.</w:t>
      </w:r>
      <w:r>
        <w:t xml:space="preserve"> </w:t>
      </w:r>
      <w:r>
        <w:t xml:space="preserve">	</w:t>
      </w:r>
      <w:r>
        <w:t xml:space="preserve">Mullins, P. G.</w:t>
      </w:r>
      <w:r>
        <w:t xml:space="preserve"> </w:t>
      </w:r>
      <w:hyperlink r:id="rId352">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53"/>
    <w:bookmarkStart w:id="355" w:name="ref-dwyerSimultaneousMeasurementBOLD2021"/>
    <w:p>
      <w:pPr>
        <w:pStyle w:val="Bibliography"/>
      </w:pPr>
      <w:r>
        <w:t xml:space="preserve">144.</w:t>
      </w:r>
      <w:r>
        <w:t xml:space="preserve"> </w:t>
      </w:r>
      <w:r>
        <w:t xml:space="preserve">	</w:t>
      </w:r>
      <w:r>
        <w:t xml:space="preserve">Dwyer, G. E.</w:t>
      </w:r>
      <w:r>
        <w:t xml:space="preserve"> </w:t>
      </w:r>
      <w:r>
        <w:rPr>
          <w:i/>
          <w:iCs/>
        </w:rPr>
        <w:t xml:space="preserve">et al.</w:t>
      </w:r>
      <w:r>
        <w:t xml:space="preserve"> </w:t>
      </w:r>
      <w:hyperlink r:id="rId354">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355"/>
    <w:bookmarkStart w:id="357" w:name="ref-bellVivoGlxGlu2021"/>
    <w:p>
      <w:pPr>
        <w:pStyle w:val="Bibliography"/>
      </w:pPr>
      <w:r>
        <w:t xml:space="preserve">145.</w:t>
      </w:r>
      <w:r>
        <w:t xml:space="preserve"> </w:t>
      </w:r>
      <w:r>
        <w:t xml:space="preserve">	</w:t>
      </w:r>
      <w:r>
        <w:t xml:space="preserve">Bell, T.</w:t>
      </w:r>
      <w:r>
        <w:t xml:space="preserve"> </w:t>
      </w:r>
      <w:r>
        <w:rPr>
          <w:i/>
          <w:iCs/>
        </w:rPr>
        <w:t xml:space="preserve">et al.</w:t>
      </w:r>
      <w:r>
        <w:t xml:space="preserve"> </w:t>
      </w:r>
      <w:hyperlink r:id="rId356">
        <w:r>
          <w:rPr>
            <w:rStyle w:val="InternetLink"/>
          </w:rPr>
          <w:t xml:space="preserve">In vivo</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Glu</w:t>
        </w:r>
        <w:r>
          <w:rPr>
            <w:rStyle w:val="InternetLink"/>
          </w:rPr>
          <w:t xml:space="preserve"> </w:t>
        </w:r>
        <w:r>
          <w:rPr>
            <w:rStyle w:val="InternetLink"/>
          </w:rPr>
          <w:t xml:space="preserve">measurements from</w:t>
        </w:r>
        <w:r>
          <w:rPr>
            <w:rStyle w:val="InternetLink"/>
          </w:rPr>
          <w:t xml:space="preserve"> </w:t>
        </w:r>
        <w:r>
          <w:rPr>
            <w:rStyle w:val="InternetLink"/>
          </w:rPr>
          <w:t xml:space="preserve">GABA-edited MRS</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34</w:t>
      </w:r>
      <w:r>
        <w:t xml:space="preserve">, e4245 (2021).</w:t>
      </w:r>
    </w:p>
    <w:bookmarkEnd w:id="357"/>
    <w:bookmarkStart w:id="359" w:name="ref-thomsonVivoGlxMeasurements2026"/>
    <w:p>
      <w:pPr>
        <w:pStyle w:val="Bibliography"/>
      </w:pPr>
      <w:r>
        <w:t xml:space="preserve">146.</w:t>
      </w:r>
      <w:r>
        <w:t xml:space="preserve"> </w:t>
      </w:r>
      <w:r>
        <w:t xml:space="preserve">	</w:t>
      </w:r>
      <w:r>
        <w:t xml:space="preserve">Thomson, A. R.</w:t>
      </w:r>
      <w:r>
        <w:t xml:space="preserve"> </w:t>
      </w:r>
      <w:r>
        <w:rPr>
          <w:i/>
          <w:iCs/>
        </w:rPr>
        <w:t xml:space="preserve">et al.</w:t>
      </w:r>
      <w:r>
        <w:t xml:space="preserve"> </w:t>
      </w:r>
      <w:hyperlink r:id="rId358">
        <w:r>
          <w:rPr>
            <w:rStyle w:val="InternetLink"/>
          </w:rPr>
          <w:t xml:space="preserve">In</w:t>
        </w:r>
        <w:r>
          <w:rPr>
            <w:rStyle w:val="InternetLink"/>
          </w:rPr>
          <w:t xml:space="preserve"> </w:t>
        </w:r>
        <w:r>
          <w:rPr>
            <w:rStyle w:val="InternetLink"/>
          </w:rPr>
          <w:t xml:space="preserve">Vivo Glx Measurements From GABA</w:t>
        </w:r>
        <w:r>
          <w:rPr>
            <w:rStyle w:val="InternetLink"/>
          </w:rPr>
          <w:t xml:space="preserve">-</w:t>
        </w:r>
        <w:r>
          <w:rPr>
            <w:rStyle w:val="InternetLink"/>
          </w:rPr>
          <w:t xml:space="preserve">Edited HERMES</w:t>
        </w:r>
        <w:r>
          <w:rPr>
            <w:rStyle w:val="InternetLink"/>
          </w:rPr>
          <w:t xml:space="preserve"> </w:t>
        </w:r>
        <w:r>
          <w:rPr>
            <w:rStyle w:val="InternetLink"/>
          </w:rPr>
          <w:t xml:space="preserve">at 3</w:t>
        </w:r>
        <w:r>
          <w:rPr>
            <w:rStyle w:val="InternetLink"/>
          </w:rPr>
          <w:t xml:space="preserve"> </w:t>
        </w:r>
        <w:r>
          <w:rPr>
            <w:rStyle w:val="InternetLink"/>
          </w:rPr>
          <w:t xml:space="preserve">T Are Not Consistent With Those From Short</w:t>
        </w:r>
        <w:r>
          <w:rPr>
            <w:rStyle w:val="InternetLink"/>
          </w:rPr>
          <w:t xml:space="preserve">-</w:t>
        </w:r>
        <w:r>
          <w:rPr>
            <w:rStyle w:val="InternetLink"/>
          </w:rPr>
          <w:t xml:space="preserve">TE PRESS Across Scanners</w:t>
        </w:r>
        <w:r>
          <w:rPr>
            <w:rStyle w:val="InternetLink"/>
          </w:rPr>
          <w:t xml:space="preserve">,</w:t>
        </w:r>
        <w:r>
          <w:rPr>
            <w:rStyle w:val="InternetLink"/>
          </w:rPr>
          <w:t xml:space="preserve"> </w:t>
        </w:r>
        <w:r>
          <w:rPr>
            <w:rStyle w:val="InternetLink"/>
          </w:rPr>
          <w:t xml:space="preserve">Brain Regions</w:t>
        </w:r>
        <w:r>
          <w:rPr>
            <w:rStyle w:val="InternetLink"/>
          </w:rPr>
          <w:t xml:space="preserve">,</w:t>
        </w:r>
        <w:r>
          <w:rPr>
            <w:rStyle w:val="InternetLink"/>
          </w:rPr>
          <w:t xml:space="preserve"> </w:t>
        </w:r>
        <w:r>
          <w:rPr>
            <w:rStyle w:val="InternetLink"/>
          </w:rPr>
          <w:t xml:space="preserve">Diagnostic</w:t>
        </w:r>
        <w:r>
          <w:rPr>
            <w:rStyle w:val="InternetLink"/>
          </w:rPr>
          <w:t xml:space="preserve"> </w:t>
        </w:r>
        <w:r>
          <w:rPr>
            <w:rStyle w:val="InternetLink"/>
          </w:rPr>
          <w:t xml:space="preserve">and</w:t>
        </w:r>
        <w:r>
          <w:rPr>
            <w:rStyle w:val="InternetLink"/>
          </w:rPr>
          <w:t xml:space="preserve"> </w:t>
        </w:r>
        <w:r>
          <w:rPr>
            <w:rStyle w:val="InternetLink"/>
          </w:rPr>
          <w:t xml:space="preserve">Age Groups</w:t>
        </w:r>
      </w:hyperlink>
      <w:r>
        <w:t xml:space="preserve">.</w:t>
      </w:r>
      <w:r>
        <w:t xml:space="preserve"> </w:t>
      </w:r>
      <w:r>
        <w:rPr>
          <w:i/>
          <w:iCs/>
        </w:rPr>
        <w:t xml:space="preserve">NMR in Biomedicine</w:t>
      </w:r>
      <w:r>
        <w:t xml:space="preserve"> </w:t>
      </w:r>
      <w:r>
        <w:rPr>
          <w:b/>
          <w:bCs/>
        </w:rPr>
        <w:t xml:space="preserve">39</w:t>
      </w:r>
      <w:r>
        <w:t xml:space="preserve">, e70171 (2026).</w:t>
      </w:r>
    </w:p>
    <w:bookmarkEnd w:id="359"/>
    <w:bookmarkStart w:id="361" w:name="ref-maddockEstimatingGlutamateGlx2018"/>
    <w:p>
      <w:pPr>
        <w:pStyle w:val="Bibliography"/>
      </w:pPr>
      <w:r>
        <w:t xml:space="preserve">147.</w:t>
      </w:r>
      <w:r>
        <w:t xml:space="preserve"> </w:t>
      </w:r>
      <w:r>
        <w:t xml:space="preserve">	</w:t>
      </w:r>
      <w:r>
        <w:t xml:space="preserve">Maddock, R. J., Caton, M. D. &amp; Ragland, J. D.</w:t>
      </w:r>
      <w:r>
        <w:t xml:space="preserve"> </w:t>
      </w:r>
      <w:hyperlink r:id="rId360">
        <w:r>
          <w:rPr>
            <w:rStyle w:val="InternetLink"/>
          </w:rPr>
          <w:t xml:space="preserve">Estimating glutamate and</w:t>
        </w:r>
        <w:r>
          <w:rPr>
            <w:rStyle w:val="InternetLink"/>
          </w:rPr>
          <w:t xml:space="preserve"> </w:t>
        </w:r>
        <w:r>
          <w:rPr>
            <w:rStyle w:val="InternetLink"/>
          </w:rPr>
          <w:t xml:space="preserve">Glx</w:t>
        </w:r>
        <w:r>
          <w:rPr>
            <w:rStyle w:val="InternetLink"/>
          </w:rPr>
          <w:t xml:space="preserve"> </w:t>
        </w:r>
        <w:r>
          <w:rPr>
            <w:rStyle w:val="InternetLink"/>
          </w:rPr>
          <w:t xml:space="preserve">from</w:t>
        </w:r>
        <w:r>
          <w:rPr>
            <w:rStyle w:val="InternetLink"/>
          </w:rPr>
          <w:t xml:space="preserve"> </w:t>
        </w:r>
        <w:r>
          <w:rPr>
            <w:rStyle w:val="InternetLink"/>
          </w:rPr>
          <w:t xml:space="preserve">GABA-optimized MEGA-PRESS</w:t>
        </w:r>
        <w:r>
          <w:rPr>
            <w:rStyle w:val="InternetLink"/>
          </w:rPr>
          <w:t xml:space="preserve">:</w:t>
        </w:r>
        <w:r>
          <w:rPr>
            <w:rStyle w:val="InternetLink"/>
          </w:rPr>
          <w:t xml:space="preserve"> </w:t>
        </w:r>
        <w:r>
          <w:rPr>
            <w:rStyle w:val="InternetLink"/>
          </w:rPr>
          <w:t xml:space="preserve">Off-resonance</w:t>
        </w:r>
        <w:r>
          <w:rPr>
            <w:rStyle w:val="InternetLink"/>
          </w:rPr>
          <w:t xml:space="preserve"> </w:t>
        </w:r>
        <w:r>
          <w:rPr>
            <w:rStyle w:val="InternetLink"/>
          </w:rPr>
          <w:t xml:space="preserve">but not difference spectra values correspond to</w:t>
        </w:r>
        <w:r>
          <w:rPr>
            <w:rStyle w:val="InternetLink"/>
          </w:rPr>
          <w:t xml:space="preserve"> </w:t>
        </w:r>
        <w:r>
          <w:rPr>
            <w:rStyle w:val="InternetLink"/>
          </w:rPr>
          <w:t xml:space="preserve">PRESS</w:t>
        </w:r>
        <w:r>
          <w:rPr>
            <w:rStyle w:val="InternetLink"/>
          </w:rPr>
          <w:t xml:space="preserve"> </w:t>
        </w:r>
        <w:r>
          <w:rPr>
            <w:rStyle w:val="InternetLink"/>
          </w:rPr>
          <w:t xml:space="preserve">values</w:t>
        </w:r>
      </w:hyperlink>
      <w:r>
        <w:t xml:space="preserve">.</w:t>
      </w:r>
      <w:r>
        <w:t xml:space="preserve"> </w:t>
      </w:r>
      <w:r>
        <w:rPr>
          <w:i/>
          <w:iCs/>
        </w:rPr>
        <w:t xml:space="preserve">Psychiatry Research. Neuroimaging</w:t>
      </w:r>
      <w:r>
        <w:t xml:space="preserve"> </w:t>
      </w:r>
      <w:r>
        <w:rPr>
          <w:b/>
          <w:bCs/>
        </w:rPr>
        <w:t xml:space="preserve">279</w:t>
      </w:r>
      <w:r>
        <w:t xml:space="preserve">, 22–30 (2018).</w:t>
      </w:r>
    </w:p>
    <w:bookmarkEnd w:id="361"/>
    <w:bookmarkStart w:id="363" w:name="Xfbc86cb94387a9f8ee717baa5946394f14f40d9"/>
    <w:p>
      <w:pPr>
        <w:pStyle w:val="Bibliography"/>
      </w:pPr>
      <w:r>
        <w:t xml:space="preserve">148.</w:t>
      </w:r>
      <w:r>
        <w:t xml:space="preserve"> </w:t>
      </w:r>
      <w:r>
        <w:t xml:space="preserve">	</w:t>
      </w:r>
      <w:r>
        <w:t xml:space="preserve">Archibald, J., Bouchard, A. E., Noeske, R., Shungu, D. C. &amp; Mikkelsen, M. Test-retest reliability of multi-metabolite edited</w:t>
      </w:r>
      <w:r>
        <w:t xml:space="preserve"> </w:t>
      </w:r>
      <w:r>
        <w:t xml:space="preserve">MRS</w:t>
      </w:r>
      <w:r>
        <w:t xml:space="preserve"> </w:t>
      </w:r>
      <w:r>
        <w:t xml:space="preserve">at</w:t>
      </w:r>
      <w:r>
        <w:t xml:space="preserve"> </w:t>
      </w:r>
      <w:r>
        <w:t xml:space="preserve">3T</w:t>
      </w:r>
      <w:r>
        <w:t xml:space="preserve"> </w:t>
      </w:r>
      <w:r>
        <w:t xml:space="preserve">using</w:t>
      </w:r>
      <w:r>
        <w:t xml:space="preserve"> </w:t>
      </w:r>
      <w:r>
        <w:t xml:space="preserve">PRESS</w:t>
      </w:r>
      <w:r>
        <w:t xml:space="preserve"> </w:t>
      </w:r>
      <w:r>
        <w:t xml:space="preserve">and</w:t>
      </w:r>
      <w:r>
        <w:t xml:space="preserve"> </w:t>
      </w:r>
      <w:r>
        <w:t xml:space="preserve">sLASER</w:t>
      </w:r>
      <w:r>
        <w:t xml:space="preserve">.</w:t>
      </w:r>
      <w:r>
        <w:t xml:space="preserve"> </w:t>
      </w:r>
      <w:r>
        <w:rPr>
          <w:i/>
          <w:iCs/>
        </w:rPr>
        <w:t xml:space="preserve">bioRxiv: The Preprint Server for Biology</w:t>
      </w:r>
      <w:r>
        <w:t xml:space="preserve"> </w:t>
      </w:r>
      <w:r>
        <w:t xml:space="preserve">2025.06.07.657685 (2025) doi:</w:t>
      </w:r>
      <w:hyperlink r:id="rId362">
        <w:r>
          <w:rPr>
            <w:rStyle w:val="InternetLink"/>
          </w:rPr>
          <w:t xml:space="preserve">10.1101/2025.06.07.657685</w:t>
        </w:r>
      </w:hyperlink>
      <w:r>
        <w:t xml:space="preserve">.</w:t>
      </w:r>
    </w:p>
    <w:bookmarkEnd w:id="363"/>
    <w:bookmarkEnd w:id="364"/>
    <w:bookmarkEnd w:id="365"/>
    <w:bookmarkStart w:id="416" w:name="supplementary-material"/>
    <w:p>
      <w:pPr>
        <w:pStyle w:val="Heading1"/>
      </w:pPr>
      <w:r>
        <w:t xml:space="preserve">Supplementary Material</w:t>
      </w:r>
    </w:p>
    <w:bookmarkStart w:id="368" w:name="mrs-quality"/>
    <w:p>
      <w:pPr>
        <w:pStyle w:val="Heading2"/>
      </w:pPr>
      <w:r>
        <w:t xml:space="preserve">MRS quality</w:t>
      </w:r>
    </w:p>
    <w:p>
      <w:pPr>
        <w:pStyle w:val="FirstParagraph"/>
      </w:pPr>
      <w:r>
        <w:t xml:space="preserve">A summary of MRS quality, such as water FWHM, Cr SNR, and frequency shift are provided in</w:t>
      </w:r>
      <w:r>
        <w:t xml:space="preserve"> </w:t>
      </w:r>
      <w:hyperlink w:anchor="supptbl-quality">
        <w:r>
          <w:rPr>
            <w:rStyle w:val="InternetLink"/>
          </w:rPr>
          <w:t xml:space="preserve">Table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6" w:name="supptbl-qualit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Measure</w:t>
                  </w:r>
                </w:p>
              </w:tc>
              <w:tc>
                <w:tcPr/>
                <w:p>
                  <w:pPr>
                    <w:pStyle w:val="Compact"/>
                    <w:jc w:val="center"/>
                  </w:pPr>
                  <w:r>
                    <w:t xml:space="preserve">Rest sLASER</w:t>
                  </w:r>
                </w:p>
              </w:tc>
              <w:tc>
                <w:tcPr/>
                <w:p>
                  <w:pPr>
                    <w:pStyle w:val="Compact"/>
                    <w:jc w:val="center"/>
                  </w:pPr>
                  <w:r>
                    <w:t xml:space="preserve">Rest MEGA-PRESS</w:t>
                  </w:r>
                </w:p>
              </w:tc>
              <w:tc>
                <w:tcPr/>
                <w:p>
                  <w:pPr>
                    <w:pStyle w:val="Compact"/>
                    <w:jc w:val="center"/>
                  </w:pPr>
                  <w:r>
                    <w:t xml:space="preserve">Movie sLASER</w:t>
                  </w:r>
                </w:p>
              </w:tc>
              <w:tc>
                <w:tcPr/>
                <w:p>
                  <w:pPr>
                    <w:pStyle w:val="Compact"/>
                    <w:jc w:val="center"/>
                  </w:pPr>
                  <w:r>
                    <w:t xml:space="preserve">Movie MEGA-PRESS</w:t>
                  </w:r>
                </w:p>
              </w:tc>
            </w:tr>
            <w:tr>
              <w:tc>
                <w:tcPr/>
                <w:p>
                  <w:pPr>
                    <w:pStyle w:val="Compact"/>
                    <w:jc w:val="center"/>
                  </w:pPr>
                  <w:r>
                    <w:t xml:space="preserve">water FWHM (Hz)</w:t>
                  </w:r>
                </w:p>
              </w:tc>
              <w:tc>
                <w:tcPr/>
                <w:p>
                  <w:pPr>
                    <w:pStyle w:val="Compact"/>
                    <w:jc w:val="center"/>
                  </w:pPr>
                  <w:r>
                    <w:t xml:space="preserve">8.47 ± 0.66</w:t>
                  </w:r>
                </w:p>
              </w:tc>
              <w:tc>
                <w:tcPr/>
                <w:p>
                  <w:pPr>
                    <w:pStyle w:val="Compact"/>
                    <w:jc w:val="center"/>
                  </w:pPr>
                  <w:r>
                    <w:t xml:space="preserve">7.86 ± 0.8</w:t>
                  </w:r>
                </w:p>
              </w:tc>
              <w:tc>
                <w:tcPr/>
                <w:p>
                  <w:pPr>
                    <w:pStyle w:val="Compact"/>
                    <w:jc w:val="center"/>
                  </w:pPr>
                  <w:r>
                    <w:t xml:space="preserve">8.32 ± 0.72</w:t>
                  </w:r>
                </w:p>
              </w:tc>
              <w:tc>
                <w:tcPr/>
                <w:p>
                  <w:pPr>
                    <w:pStyle w:val="Compact"/>
                    <w:jc w:val="center"/>
                  </w:pPr>
                  <w:r>
                    <w:t xml:space="preserve">7.95 ± 0.82</w:t>
                  </w:r>
                </w:p>
              </w:tc>
            </w:tr>
            <w:tr>
              <w:tc>
                <w:tcPr/>
                <w:p>
                  <w:pPr>
                    <w:pStyle w:val="Compact"/>
                    <w:jc w:val="center"/>
                  </w:pPr>
                  <w:r>
                    <w:t xml:space="preserve">Cr SNR</w:t>
                  </w:r>
                </w:p>
              </w:tc>
              <w:tc>
                <w:tcPr/>
                <w:p>
                  <w:pPr>
                    <w:pStyle w:val="Compact"/>
                    <w:jc w:val="center"/>
                  </w:pPr>
                  <w:r>
                    <w:t xml:space="preserve">147.61 ± 20.46</w:t>
                  </w:r>
                </w:p>
              </w:tc>
              <w:tc>
                <w:tcPr/>
                <w:p>
                  <w:pPr>
                    <w:pStyle w:val="Compact"/>
                    <w:jc w:val="center"/>
                  </w:pPr>
                  <w:r>
                    <w:t xml:space="preserve">101.05 ± 21.42</w:t>
                  </w:r>
                </w:p>
              </w:tc>
              <w:tc>
                <w:tcPr/>
                <w:p>
                  <w:pPr>
                    <w:pStyle w:val="Compact"/>
                    <w:jc w:val="center"/>
                  </w:pPr>
                  <w:r>
                    <w:t xml:space="preserve">140.6 ± 26</w:t>
                  </w:r>
                </w:p>
              </w:tc>
              <w:tc>
                <w:tcPr/>
                <w:p>
                  <w:pPr>
                    <w:pStyle w:val="Compact"/>
                    <w:jc w:val="center"/>
                  </w:pPr>
                  <w:r>
                    <w:t xml:space="preserve">98.75 ± 20.01</w:t>
                  </w:r>
                </w:p>
              </w:tc>
            </w:tr>
            <w:tr>
              <w:tc>
                <w:tcPr/>
                <w:p>
                  <w:pPr>
                    <w:pStyle w:val="Compact"/>
                    <w:jc w:val="center"/>
                  </w:pPr>
                  <w:r>
                    <w:t xml:space="preserve">Frequency Shift (ppm)</w:t>
                  </w:r>
                </w:p>
              </w:tc>
              <w:tc>
                <w:tcPr/>
                <w:p>
                  <w:pPr>
                    <w:pStyle w:val="Compact"/>
                    <w:jc w:val="center"/>
                  </w:pPr>
                  <w:r>
                    <w:t xml:space="preserve">-3.08 ± 0.81</w:t>
                  </w:r>
                </w:p>
              </w:tc>
              <w:tc>
                <w:tcPr/>
                <w:p>
                  <w:pPr>
                    <w:pStyle w:val="Compact"/>
                    <w:jc w:val="center"/>
                  </w:pPr>
                  <w:r>
                    <w:t xml:space="preserve">-3.98 ± 0.94</w:t>
                  </w:r>
                </w:p>
              </w:tc>
              <w:tc>
                <w:tcPr/>
                <w:p>
                  <w:pPr>
                    <w:pStyle w:val="Compact"/>
                    <w:jc w:val="center"/>
                  </w:pPr>
                  <w:r>
                    <w:t xml:space="preserve">-3.12 ± 0.76</w:t>
                  </w:r>
                </w:p>
              </w:tc>
              <w:tc>
                <w:tcPr/>
                <w:p>
                  <w:pPr>
                    <w:pStyle w:val="Compact"/>
                    <w:jc w:val="center"/>
                  </w:pPr>
                  <w:r>
                    <w:t xml:space="preserve">-3.85 ± 1.05</w:t>
                  </w:r>
                </w:p>
              </w:tc>
            </w:tr>
          </w:tbl>
          <w:p>
            <w:pPr>
              <w:jc w:val="center"/>
            </w:pPr>
            <w:pPr>
              <w:jc w:val="left"/>
              <w:spacing w:before="200"/>
              <w:pStyle w:val="ImageCaption"/>
            </w:pPr>
            <w:r>
              <w:t xml:space="preserve">Table S1</w:t>
            </w:r>
            <w:r>
              <w:rPr>
                <w:b/>
                <w:bCs/>
              </w:rPr>
              <w:t xml:space="preserve">.</w:t>
            </w:r>
            <w:r>
              <w:t xml:space="preserve"> </w:t>
            </w:r>
            <w:r>
              <w:rPr>
                <w:b/>
                <w:bCs/>
              </w:rPr>
              <w:t xml:space="preserve">Summary of spectroscopy quality measures.</w:t>
            </w:r>
            <w:r>
              <w:t xml:space="preserve"> </w:t>
            </w:r>
            <w:r>
              <w:t xml:space="preserve">FWHM = full-width half-maximum; Cr = creatine; SNR = signal-to-noise ratio.</w:t>
            </w:r>
          </w:p>
          <w:bookmarkEnd w:id="366"/>
        </w:tc>
      </w:tr>
    </w:tbl>
    <w:p>
      <w:pPr>
        <w:pStyle w:val="TextBody"/>
      </w:pPr>
      <w:r>
        <w:t xml:space="preserve">A summary of voxel placement statistics are provided in</w:t>
      </w:r>
      <w:r>
        <w:t xml:space="preserve"> </w:t>
      </w:r>
      <w:hyperlink w:anchor="supptbl-singlevoxel">
        <w:r>
          <w:rPr>
            <w:rStyle w:val="InternetLink"/>
          </w:rPr>
          <w:t xml:space="preserve">Table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7" w:name="supptbl-singlevoxel"/>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Measure</w:t>
                  </w:r>
                </w:p>
              </w:tc>
              <w:tc>
                <w:tcPr/>
                <w:p>
                  <w:pPr>
                    <w:pStyle w:val="Compact"/>
                    <w:jc w:val="center"/>
                  </w:pPr>
                  <w:r>
                    <w:t xml:space="preserve">Amount</w:t>
                  </w:r>
                </w:p>
              </w:tc>
            </w:tr>
            <w:tr>
              <w:tc>
                <w:tcPr/>
                <w:p>
                  <w:pPr>
                    <w:pStyle w:val="Compact"/>
                    <w:jc w:val="center"/>
                  </w:pPr>
                  <w:r>
                    <w:t xml:space="preserve">Voxel Rotation (degrees)</w:t>
                  </w:r>
                </w:p>
              </w:tc>
              <w:tc>
                <w:tcPr/>
                <w:p>
                  <w:pPr>
                    <w:pStyle w:val="Compact"/>
                    <w:jc w:val="center"/>
                  </w:pPr>
                  <w:r>
                    <w:t xml:space="preserve">-39 ± 8.13</w:t>
                  </w:r>
                </w:p>
              </w:tc>
            </w:tr>
            <w:tr>
              <w:tc>
                <w:tcPr/>
                <w:p>
                  <w:pPr>
                    <w:pStyle w:val="Compact"/>
                    <w:jc w:val="center"/>
                  </w:pPr>
                  <w:r>
                    <w:t xml:space="preserve">GM Tissue Fraction</w:t>
                  </w:r>
                </w:p>
              </w:tc>
              <w:tc>
                <w:tcPr/>
                <w:p>
                  <w:pPr>
                    <w:pStyle w:val="Compact"/>
                    <w:jc w:val="center"/>
                  </w:pPr>
                  <w:r>
                    <w:t xml:space="preserve">0.64 ± 0.04</w:t>
                  </w:r>
                </w:p>
              </w:tc>
            </w:tr>
            <w:tr>
              <w:tc>
                <w:tcPr/>
                <w:p>
                  <w:pPr>
                    <w:pStyle w:val="Compact"/>
                    <w:jc w:val="center"/>
                  </w:pPr>
                  <w:r>
                    <w:t xml:space="preserve">WM Tissue Fraction</w:t>
                  </w:r>
                </w:p>
              </w:tc>
              <w:tc>
                <w:tcPr/>
                <w:p>
                  <w:pPr>
                    <w:pStyle w:val="Compact"/>
                    <w:jc w:val="center"/>
                  </w:pPr>
                  <w:r>
                    <w:t xml:space="preserve">0.24 ± 0.04</w:t>
                  </w:r>
                </w:p>
              </w:tc>
            </w:tr>
            <w:tr>
              <w:tc>
                <w:tcPr/>
                <w:p>
                  <w:pPr>
                    <w:pStyle w:val="Compact"/>
                    <w:jc w:val="center"/>
                  </w:pPr>
                  <w:r>
                    <w:t xml:space="preserve">CSF Tissue Fraction</w:t>
                  </w:r>
                </w:p>
              </w:tc>
              <w:tc>
                <w:tcPr/>
                <w:p>
                  <w:pPr>
                    <w:pStyle w:val="Compact"/>
                    <w:jc w:val="center"/>
                  </w:pPr>
                  <w:r>
                    <w:t xml:space="preserve">0.12 ± 0.03</w:t>
                  </w:r>
                </w:p>
              </w:tc>
            </w:tr>
          </w:tbl>
          <w:p>
            <w:pPr>
              <w:jc w:val="center"/>
            </w:pPr>
            <w:pPr>
              <w:jc w:val="left"/>
              <w:spacing w:before="200"/>
              <w:pStyle w:val="ImageCaption"/>
            </w:pPr>
            <w:r>
              <w:t xml:space="preserve">Table S2</w:t>
            </w:r>
            <w:r>
              <w:rPr>
                <w:b/>
                <w:bCs/>
              </w:rPr>
              <w:t xml:space="preserve">.</w:t>
            </w:r>
            <w:r>
              <w:t xml:space="preserve"> </w:t>
            </w:r>
            <w:r>
              <w:rPr>
                <w:b/>
                <w:bCs/>
              </w:rPr>
              <w:t xml:space="preserve">Summary of spectroscopy voxel placement values</w:t>
            </w:r>
            <w:r>
              <w:t xml:space="preserve"> </w:t>
            </w:r>
            <w:r>
              <w:t xml:space="preserve">GM = grey matter; WM = white matter; CSF = cerebrospinal fluid.</w:t>
            </w:r>
          </w:p>
          <w:bookmarkEnd w:id="367"/>
        </w:tc>
      </w:tr>
    </w:tbl>
    <w:bookmarkEnd w:id="368"/>
    <w:bookmarkStart w:id="375" w:name="linear-mixed-effects-model-diagnostics"/>
    <w:p>
      <w:pPr>
        <w:pStyle w:val="Heading2"/>
      </w:pPr>
      <w:r>
        <w:t xml:space="preserve">Linear-mixed effects model diagnostics</w:t>
      </w:r>
    </w:p>
    <w:p>
      <w:pPr>
        <w:pStyle w:val="FirstParagraph"/>
      </w:pPr>
      <w:r>
        <w:t xml:space="preserve">Linear-mixed effects model diagnostics are provided in</w:t>
      </w:r>
      <w:r>
        <w:t xml:space="preserve"> </w:t>
      </w:r>
      <w:hyperlink w:anchor="suppfig-lmemdiag">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2" w:name="suppfig-lmemdiag"/>
          <w:p>
            <w:pPr>
              <w:jc w:val="center"/>
            </w:pPr>
            <w:r>
              <w:drawing>
                <wp:inline>
                  <wp:extent cx="4620126" cy="4620126"/>
                  <wp:effectExtent b="0" l="0" r="0" t="0"/>
                  <wp:docPr descr="" title="" id="370" name="Picture"/>
                  <a:graphic>
                    <a:graphicData uri="http://schemas.openxmlformats.org/drawingml/2006/picture">
                      <pic:pic>
                        <pic:nvPicPr>
                          <pic:cNvPr descr="index_files/figure-docx/unnamed-chunk-10-1.png" id="371" name="Picture"/>
                          <pic:cNvPicPr>
                            <a:picLocks noChangeArrowheads="1" noChangeAspect="1"/>
                          </pic:cNvPicPr>
                        </pic:nvPicPr>
                        <pic:blipFill>
                          <a:blip r:embed="rId36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S1</w:t>
            </w:r>
            <w:r>
              <w:rPr>
                <w:b/>
                <w:bCs/>
              </w:rPr>
              <w:t xml:space="preserve">.</w:t>
            </w:r>
            <w:r>
              <w:t xml:space="preserve"> </w:t>
            </w:r>
            <w:r>
              <w:rPr>
                <w:b/>
                <w:bCs/>
              </w:rPr>
              <w:t xml:space="preserve">Linear-mixed effects model tests for normality.</w:t>
            </w:r>
            <w:r>
              <w:t xml:space="preserve"> </w:t>
            </w:r>
            <w:r>
              <w:t xml:space="preserve">Model diagnostics for the linear mixed effects model predicting Hurst exponent from the EI ratio. A) Residuals vs. fitted values showing homoscedasticity. B) Histogram of residuals. C) Q-Q plot indicating normally distributed residuals.</w:t>
            </w:r>
          </w:p>
          <w:bookmarkEnd w:id="372"/>
        </w:tc>
      </w:tr>
    </w:tbl>
    <w:p>
      <w:pPr>
        <w:pStyle w:val="TextBody"/>
      </w:pPr>
      <w:r>
        <w:t xml:space="preserve">We report Spearman correlations between E:I and H within each condition (</w:t>
      </w:r>
      <w:hyperlink w:anchor="supptbl-spearmanresults">
        <w:r>
          <w:rPr>
            <w:rStyle w:val="InternetLink"/>
          </w:rPr>
          <w:t xml:space="preserve">Table S3</w:t>
        </w:r>
      </w:hyperlink>
      <w:r>
        <w:t xml:space="preserve">). Spearman rho values were modest and negative (Movie:</w:t>
      </w:r>
      <w:r>
        <w:t xml:space="preserve"> </w:t>
      </w:r>
      <m:oMath>
        <m:r>
          <m:t>ρ</m:t>
        </m:r>
      </m:oMath>
      <w:r>
        <w:t xml:space="preserve"> </w:t>
      </w:r>
      <w:r>
        <w:t xml:space="preserve">= -0.3, p = 0.23; Rest:</w:t>
      </w:r>
      <w:r>
        <w:t xml:space="preserve"> </w:t>
      </w:r>
      <m:oMath>
        <m:r>
          <m:t>ρ</m:t>
        </m:r>
      </m:oMath>
      <w:r>
        <w:t xml:space="preserve"> </w:t>
      </w:r>
      <w:r>
        <w:t xml:space="preserve">= -0.12, p = 0.62), and consistent with the primary analyses in direction but not statistically significant.</w:t>
      </w:r>
    </w:p>
    <w:tbl>
      <w:tblPr>
        <w:tblStyle w:val="Table"/>
        <w:tblW w:type="pct" w:w="5000"/>
        <w:tblLayout w:type="fixed"/>
        <w:tblLook w:firstRow="0" w:lastRow="0" w:firstColumn="0" w:lastColumn="0" w:noHBand="0" w:noVBand="0" w:val="0000"/>
      </w:tblPr>
      <w:tblGrid>
        <w:gridCol w:w="7920"/>
      </w:tblGrid>
      <w:tr>
        <w:tc>
          <w:tcPr/>
          <w:bookmarkStart w:id="373" w:name="supptbl-spearmanresult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spearman_ei_hurst</w:t>
                  </w:r>
                </w:p>
              </w:tc>
              <w:tc>
                <w:tcPr/>
                <w:p>
                  <w:pPr>
                    <w:pStyle w:val="Compact"/>
                    <w:jc w:val="right"/>
                    <w:jc w:val="center"/>
                  </w:pPr>
                  <w:r>
                    <w:t xml:space="preserve">p_value</w:t>
                  </w:r>
                </w:p>
              </w:tc>
            </w:tr>
            <w:tr>
              <w:tc>
                <w:tcPr/>
                <w:p>
                  <w:pPr>
                    <w:pStyle w:val="Compact"/>
                    <w:jc w:val="left"/>
                    <w:jc w:val="center"/>
                  </w:pPr>
                  <w:r>
                    <w:t xml:space="preserve">Movie</w:t>
                  </w:r>
                </w:p>
              </w:tc>
              <w:tc>
                <w:tcPr/>
                <w:p>
                  <w:pPr>
                    <w:pStyle w:val="Compact"/>
                    <w:jc w:val="right"/>
                    <w:jc w:val="center"/>
                  </w:pPr>
                  <w:r>
                    <w:t xml:space="preserve">-0.300</w:t>
                  </w:r>
                </w:p>
              </w:tc>
              <w:tc>
                <w:tcPr/>
                <w:p>
                  <w:pPr>
                    <w:pStyle w:val="Compact"/>
                    <w:jc w:val="right"/>
                    <w:jc w:val="center"/>
                  </w:pPr>
                  <w:r>
                    <w:t xml:space="preserve">0.225</w:t>
                  </w:r>
                </w:p>
              </w:tc>
            </w:tr>
            <w:tr>
              <w:tc>
                <w:tcPr/>
                <w:p>
                  <w:pPr>
                    <w:pStyle w:val="Compact"/>
                    <w:jc w:val="left"/>
                    <w:jc w:val="center"/>
                  </w:pPr>
                  <w:r>
                    <w:t xml:space="preserve">Rest</w:t>
                  </w:r>
                </w:p>
              </w:tc>
              <w:tc>
                <w:tcPr/>
                <w:p>
                  <w:pPr>
                    <w:pStyle w:val="Compact"/>
                    <w:jc w:val="right"/>
                    <w:jc w:val="center"/>
                  </w:pPr>
                  <w:r>
                    <w:t xml:space="preserve">-0.125</w:t>
                  </w:r>
                </w:p>
              </w:tc>
              <w:tc>
                <w:tcPr/>
                <w:p>
                  <w:pPr>
                    <w:pStyle w:val="Compact"/>
                    <w:jc w:val="right"/>
                    <w:jc w:val="center"/>
                  </w:pPr>
                  <w:r>
                    <w:t xml:space="preserve">0.621</w:t>
                  </w:r>
                </w:p>
              </w:tc>
            </w:tr>
          </w:tbl>
          <w:p>
            <w:pPr>
              <w:jc w:val="center"/>
            </w:pPr>
            <w:pPr>
              <w:jc w:val="left"/>
              <w:spacing w:before="200"/>
              <w:pStyle w:val="ImageCaption"/>
            </w:pPr>
            <w:r>
              <w:t xml:space="preserve">Table S3</w:t>
            </w:r>
            <w:r>
              <w:rPr>
                <w:b/>
                <w:bCs/>
              </w:rPr>
              <w:t xml:space="preserve">.</w:t>
            </w:r>
            <w:r>
              <w:t xml:space="preserve"> </w:t>
            </w:r>
            <w:r>
              <w:t xml:space="preserve">Spearman correlation between EI and Hurst by condition.</w:t>
            </w:r>
          </w:p>
          <w:bookmarkEnd w:id="373"/>
        </w:tc>
      </w:tr>
    </w:tbl>
    <w:p>
      <w:pPr>
        <w:pStyle w:val="TextBody"/>
      </w:pPr>
      <w:r>
        <w:t xml:space="preserve">We also refit the linear mixed-effects model after removing the top/bottom 10% of observations in E:I, in H, and in the intersection of both (</w:t>
      </w:r>
      <w:hyperlink w:anchor="supptbl-robusteffects">
        <w:r>
          <w:rPr>
            <w:rStyle w:val="InternetLink"/>
          </w:rPr>
          <w:t xml:space="preserve">Table S4</w:t>
        </w:r>
      </w:hyperlink>
      <w:r>
        <w:t xml:space="preserve">). Across these trimmed datasets, the E:I fixed-effect estimate remained small and its 95% confidence interval continued to include zero, indicating that the primary conclusion is not driven by extreme values in either E:I or H. Trimming was performed on the pooled long-format dataset (rest and movie rows) to match the model specification.</w:t>
      </w:r>
    </w:p>
    <w:p>
      <w:pPr>
        <w:pStyle w:val="TextBody"/>
      </w:pPr>
      <w:r>
        <w:t xml:space="preserve">Taken together with the non-parametric Spearman correlations (</w:t>
      </w:r>
      <w:hyperlink w:anchor="supptbl-spearmanresults">
        <w:r>
          <w:rPr>
            <w:rStyle w:val="InternetLink"/>
          </w:rPr>
          <w:t xml:space="preserve">Table S3</w:t>
        </w:r>
      </w:hyperlink>
      <w:r>
        <w:t xml:space="preserve">), these analyses indicate that the E:I–H association is weak in this pilot dataset and that our primary inference (a small effect with confidence intervals spanning zero) is unchanged under non-parametric estimation and reasonable exclusion of potential outliers.</w:t>
      </w:r>
    </w:p>
    <w:tbl>
      <w:tblPr>
        <w:tblStyle w:val="Table"/>
        <w:tblW w:type="pct" w:w="5000"/>
        <w:tblLayout w:type="fixed"/>
        <w:tblLook w:firstRow="0" w:lastRow="0" w:firstColumn="0" w:lastColumn="0" w:noHBand="0" w:noVBand="0" w:val="0000"/>
      </w:tblPr>
      <w:tblGrid>
        <w:gridCol w:w="7920"/>
      </w:tblGrid>
      <w:tr>
        <w:tc>
          <w:tcPr/>
          <w:bookmarkStart w:id="374" w:name="supptbl-robusteffect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Full sample</w:t>
                  </w:r>
                </w:p>
              </w:tc>
              <w:tc>
                <w:tcPr/>
                <w:p>
                  <w:pPr>
                    <w:pStyle w:val="Compact"/>
                    <w:jc w:val="right"/>
                    <w:jc w:val="center"/>
                  </w:pPr>
                  <w:r>
                    <w:t xml:space="preserve">0.068</w:t>
                  </w:r>
                </w:p>
              </w:tc>
              <w:tc>
                <w:tcPr/>
                <w:p>
                  <w:pPr>
                    <w:pStyle w:val="Compact"/>
                    <w:jc w:val="right"/>
                    <w:jc w:val="center"/>
                  </w:pPr>
                  <w:r>
                    <w:t xml:space="preserve">0.061</w:t>
                  </w:r>
                </w:p>
              </w:tc>
              <w:tc>
                <w:tcPr/>
                <w:p>
                  <w:pPr>
                    <w:pStyle w:val="Compact"/>
                    <w:jc w:val="right"/>
                    <w:jc w:val="center"/>
                  </w:pPr>
                  <w:r>
                    <w:t xml:space="preserve">-0.052</w:t>
                  </w:r>
                </w:p>
              </w:tc>
              <w:tc>
                <w:tcPr/>
                <w:p>
                  <w:pPr>
                    <w:pStyle w:val="Compact"/>
                    <w:jc w:val="right"/>
                    <w:jc w:val="center"/>
                  </w:pPr>
                  <w:r>
                    <w:t xml:space="preserve">0.188</w:t>
                  </w:r>
                </w:p>
              </w:tc>
            </w:tr>
            <w:tr>
              <w:tc>
                <w:tcPr/>
                <w:p>
                  <w:pPr>
                    <w:pStyle w:val="Compact"/>
                    <w:jc w:val="left"/>
                    <w:jc w:val="center"/>
                  </w:pPr>
                  <w:r>
                    <w:t xml:space="preserve">Trimmed EI (10–90%)</w:t>
                  </w:r>
                </w:p>
              </w:tc>
              <w:tc>
                <w:tcPr/>
                <w:p>
                  <w:pPr>
                    <w:pStyle w:val="Compact"/>
                    <w:jc w:val="right"/>
                    <w:jc w:val="center"/>
                  </w:pPr>
                  <w:r>
                    <w:t xml:space="preserve">0.010</w:t>
                  </w:r>
                </w:p>
              </w:tc>
              <w:tc>
                <w:tcPr/>
                <w:p>
                  <w:pPr>
                    <w:pStyle w:val="Compact"/>
                    <w:jc w:val="right"/>
                    <w:jc w:val="center"/>
                  </w:pPr>
                  <w:r>
                    <w:t xml:space="preserve">0.125</w:t>
                  </w:r>
                </w:p>
              </w:tc>
              <w:tc>
                <w:tcPr/>
                <w:p>
                  <w:pPr>
                    <w:pStyle w:val="Compact"/>
                    <w:jc w:val="right"/>
                    <w:jc w:val="center"/>
                  </w:pPr>
                  <w:r>
                    <w:t xml:space="preserve">-0.236</w:t>
                  </w:r>
                </w:p>
              </w:tc>
              <w:tc>
                <w:tcPr/>
                <w:p>
                  <w:pPr>
                    <w:pStyle w:val="Compact"/>
                    <w:jc w:val="right"/>
                    <w:jc w:val="center"/>
                  </w:pPr>
                  <w:r>
                    <w:t xml:space="preserve">0.256</w:t>
                  </w:r>
                </w:p>
              </w:tc>
            </w:tr>
            <w:tr>
              <w:tc>
                <w:tcPr/>
                <w:p>
                  <w:pPr>
                    <w:pStyle w:val="Compact"/>
                    <w:jc w:val="left"/>
                    <w:jc w:val="center"/>
                  </w:pPr>
                  <w:r>
                    <w:t xml:space="preserve">Trimmed Hurst (10–90%)</w:t>
                  </w:r>
                </w:p>
              </w:tc>
              <w:tc>
                <w:tcPr/>
                <w:p>
                  <w:pPr>
                    <w:pStyle w:val="Compact"/>
                    <w:jc w:val="right"/>
                    <w:jc w:val="center"/>
                  </w:pPr>
                  <w:r>
                    <w:t xml:space="preserve">0.018</w:t>
                  </w:r>
                </w:p>
              </w:tc>
              <w:tc>
                <w:tcPr/>
                <w:p>
                  <w:pPr>
                    <w:pStyle w:val="Compact"/>
                    <w:jc w:val="right"/>
                    <w:jc w:val="center"/>
                  </w:pPr>
                  <w:r>
                    <w:t xml:space="preserve">0.045</w:t>
                  </w:r>
                </w:p>
              </w:tc>
              <w:tc>
                <w:tcPr/>
                <w:p>
                  <w:pPr>
                    <w:pStyle w:val="Compact"/>
                    <w:jc w:val="right"/>
                    <w:jc w:val="center"/>
                  </w:pPr>
                  <w:r>
                    <w:t xml:space="preserve">-0.070</w:t>
                  </w:r>
                </w:p>
              </w:tc>
              <w:tc>
                <w:tcPr/>
                <w:p>
                  <w:pPr>
                    <w:pStyle w:val="Compact"/>
                    <w:jc w:val="right"/>
                    <w:jc w:val="center"/>
                  </w:pPr>
                  <w:r>
                    <w:t xml:space="preserve">0.107</w:t>
                  </w:r>
                </w:p>
              </w:tc>
            </w:tr>
            <w:tr>
              <w:tc>
                <w:tcPr/>
                <w:p>
                  <w:pPr>
                    <w:pStyle w:val="Compact"/>
                    <w:jc w:val="left"/>
                    <w:jc w:val="center"/>
                  </w:pPr>
                  <w:r>
                    <w:t xml:space="preserve">Trimmed EI &amp; Hurst (intersection)</w:t>
                  </w:r>
                </w:p>
              </w:tc>
              <w:tc>
                <w:tcPr/>
                <w:p>
                  <w:pPr>
                    <w:pStyle w:val="Compact"/>
                    <w:jc w:val="right"/>
                    <w:jc w:val="center"/>
                  </w:pPr>
                  <w:r>
                    <w:t xml:space="preserve">0.081</w:t>
                  </w:r>
                </w:p>
              </w:tc>
              <w:tc>
                <w:tcPr/>
                <w:p>
                  <w:pPr>
                    <w:pStyle w:val="Compact"/>
                    <w:jc w:val="right"/>
                    <w:jc w:val="center"/>
                  </w:pPr>
                  <w:r>
                    <w:t xml:space="preserve">0.112</w:t>
                  </w:r>
                </w:p>
              </w:tc>
              <w:tc>
                <w:tcPr/>
                <w:p>
                  <w:pPr>
                    <w:pStyle w:val="Compact"/>
                    <w:jc w:val="right"/>
                    <w:jc w:val="center"/>
                  </w:pPr>
                  <w:r>
                    <w:t xml:space="preserve">-0.139</w:t>
                  </w:r>
                </w:p>
              </w:tc>
              <w:tc>
                <w:tcPr/>
                <w:p>
                  <w:pPr>
                    <w:pStyle w:val="Compact"/>
                    <w:jc w:val="right"/>
                    <w:jc w:val="center"/>
                  </w:pPr>
                  <w:r>
                    <w:t xml:space="preserve">0.300</w:t>
                  </w:r>
                </w:p>
              </w:tc>
            </w:tr>
          </w:tbl>
          <w:p>
            <w:pPr>
              <w:jc w:val="center"/>
            </w:pPr>
            <w:pPr>
              <w:jc w:val="left"/>
              <w:spacing w:before="200"/>
              <w:pStyle w:val="ImageCaption"/>
            </w:pPr>
            <w:r>
              <w:t xml:space="preserve">Table S4</w:t>
            </w:r>
            <w:r>
              <w:rPr>
                <w:b/>
                <w:bCs/>
              </w:rPr>
              <w:t xml:space="preserve">.</w:t>
            </w:r>
            <w:r>
              <w:t xml:space="preserve"> </w:t>
            </w:r>
            <w:r>
              <w:t xml:space="preserve">EI fixed-effect estimates (Estimate ± 95% CI) for the full sample and each trimmed sample.</w:t>
            </w:r>
          </w:p>
          <w:bookmarkEnd w:id="374"/>
        </w:tc>
      </w:tr>
    </w:tbl>
    <w:bookmarkEnd w:id="375"/>
    <w:bookmarkStart w:id="380" w:name="metabolites"/>
    <w:p>
      <w:pPr>
        <w:pStyle w:val="Heading2"/>
      </w:pPr>
      <w:r>
        <w:t xml:space="preserve">Metabolites</w:t>
      </w:r>
    </w:p>
    <w:bookmarkStart w:id="377" w:name="slaser"/>
    <w:p>
      <w:pPr>
        <w:pStyle w:val="Heading3"/>
      </w:pPr>
      <w:r>
        <w:t xml:space="preserve">sLASER</w:t>
      </w:r>
    </w:p>
    <w:p>
      <w:pPr>
        <w:pStyle w:val="FirstParagraph"/>
      </w:pPr>
      <w:r>
        <w:t xml:space="preserve">All metabolite concentrations and Cramer-Rao lower bounds from semi-LASER are reported in</w:t>
      </w:r>
      <w:r>
        <w:t xml:space="preserve"> </w:t>
      </w:r>
      <w:hyperlink w:anchor="supptbl-metabolites">
        <w:r>
          <w:rPr>
            <w:rStyle w:val="Internet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6" w:name="supptbl-metabolit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Asc</w:t>
                  </w:r>
                </w:p>
              </w:tc>
              <w:tc>
                <w:tcPr/>
                <w:p>
                  <w:pPr>
                    <w:pStyle w:val="Compact"/>
                    <w:jc w:val="left"/>
                    <w:jc w:val="center"/>
                  </w:pPr>
                  <w:r>
                    <w:t xml:space="preserve">0.34 ± 0.29</w:t>
                  </w:r>
                </w:p>
              </w:tc>
              <w:tc>
                <w:tcPr/>
                <w:p>
                  <w:pPr>
                    <w:pStyle w:val="Compact"/>
                    <w:jc w:val="left"/>
                    <w:jc w:val="center"/>
                  </w:pPr>
                  <w:r>
                    <w:t xml:space="preserve">239.72 ± 364.52</w:t>
                  </w:r>
                </w:p>
              </w:tc>
              <w:tc>
                <w:tcPr/>
                <w:p>
                  <w:pPr>
                    <w:pStyle w:val="Compact"/>
                    <w:jc w:val="left"/>
                    <w:jc w:val="center"/>
                  </w:pPr>
                  <w:r>
                    <w:t xml:space="preserve">0.34 ± 0.24</w:t>
                  </w:r>
                </w:p>
              </w:tc>
              <w:tc>
                <w:tcPr/>
                <w:p>
                  <w:pPr>
                    <w:pStyle w:val="Compact"/>
                    <w:jc w:val="left"/>
                    <w:jc w:val="center"/>
                  </w:pPr>
                  <w:r>
                    <w:t xml:space="preserve">194.39 ± 307.8</w:t>
                  </w:r>
                </w:p>
              </w:tc>
            </w:tr>
            <w:tr>
              <w:tc>
                <w:tcPr/>
                <w:p>
                  <w:pPr>
                    <w:pStyle w:val="Compact"/>
                    <w:jc w:val="left"/>
                    <w:jc w:val="center"/>
                  </w:pPr>
                  <w:r>
                    <w:t xml:space="preserve">Asp</w:t>
                  </w:r>
                </w:p>
              </w:tc>
              <w:tc>
                <w:tcPr/>
                <w:p>
                  <w:pPr>
                    <w:pStyle w:val="Compact"/>
                    <w:jc w:val="left"/>
                    <w:jc w:val="center"/>
                  </w:pPr>
                  <w:r>
                    <w:t xml:space="preserve">3.49 ± 0.44</w:t>
                  </w:r>
                </w:p>
              </w:tc>
              <w:tc>
                <w:tcPr/>
                <w:p>
                  <w:pPr>
                    <w:pStyle w:val="Compact"/>
                    <w:jc w:val="left"/>
                    <w:jc w:val="center"/>
                  </w:pPr>
                  <w:r>
                    <w:t xml:space="preserve">9.56 ± 1.34</w:t>
                  </w:r>
                </w:p>
              </w:tc>
              <w:tc>
                <w:tcPr/>
                <w:p>
                  <w:pPr>
                    <w:pStyle w:val="Compact"/>
                    <w:jc w:val="left"/>
                    <w:jc w:val="center"/>
                  </w:pPr>
                  <w:r>
                    <w:t xml:space="preserve">3.39 ± 0.43</w:t>
                  </w:r>
                </w:p>
              </w:tc>
              <w:tc>
                <w:tcPr/>
                <w:p>
                  <w:pPr>
                    <w:pStyle w:val="Compact"/>
                    <w:jc w:val="left"/>
                    <w:jc w:val="center"/>
                  </w:pPr>
                  <w:r>
                    <w:t xml:space="preserve">9.72 ± 1.81</w:t>
                  </w:r>
                </w:p>
              </w:tc>
            </w:tr>
            <w:tr>
              <w:tc>
                <w:tcPr/>
                <w:p>
                  <w:pPr>
                    <w:pStyle w:val="Compact"/>
                    <w:jc w:val="left"/>
                    <w:jc w:val="center"/>
                  </w:pPr>
                  <w:r>
                    <w:t xml:space="preserve">Cr</w:t>
                  </w:r>
                </w:p>
              </w:tc>
              <w:tc>
                <w:tcPr/>
                <w:p>
                  <w:pPr>
                    <w:pStyle w:val="Compact"/>
                    <w:jc w:val="left"/>
                    <w:jc w:val="center"/>
                  </w:pPr>
                  <w:r>
                    <w:t xml:space="preserve">2.04 ± 0.62</w:t>
                  </w:r>
                </w:p>
              </w:tc>
              <w:tc>
                <w:tcPr/>
                <w:p>
                  <w:pPr>
                    <w:pStyle w:val="Compact"/>
                    <w:jc w:val="left"/>
                    <w:jc w:val="center"/>
                  </w:pPr>
                  <w:r>
                    <w:t xml:space="preserve">16.33 ± 7.65</w:t>
                  </w:r>
                </w:p>
              </w:tc>
              <w:tc>
                <w:tcPr/>
                <w:p>
                  <w:pPr>
                    <w:pStyle w:val="Compact"/>
                    <w:jc w:val="left"/>
                    <w:jc w:val="center"/>
                  </w:pPr>
                  <w:r>
                    <w:t xml:space="preserve">2.1 ± 0.49</w:t>
                  </w:r>
                </w:p>
              </w:tc>
              <w:tc>
                <w:tcPr/>
                <w:p>
                  <w:pPr>
                    <w:pStyle w:val="Compact"/>
                    <w:jc w:val="left"/>
                    <w:jc w:val="center"/>
                  </w:pPr>
                  <w:r>
                    <w:t xml:space="preserve">15.22 ± 5.25</w:t>
                  </w:r>
                </w:p>
              </w:tc>
            </w:tr>
            <w:tr>
              <w:tc>
                <w:tcPr/>
                <w:p>
                  <w:pPr>
                    <w:pStyle w:val="Compact"/>
                    <w:jc w:val="left"/>
                    <w:jc w:val="center"/>
                  </w:pPr>
                  <w:r>
                    <w:t xml:space="preserve">GABA</w:t>
                  </w:r>
                </w:p>
              </w:tc>
              <w:tc>
                <w:tcPr/>
                <w:p>
                  <w:pPr>
                    <w:pStyle w:val="Compact"/>
                    <w:jc w:val="left"/>
                    <w:jc w:val="center"/>
                  </w:pPr>
                  <w:r>
                    <w:t xml:space="preserve">0.69 ± 0.41</w:t>
                  </w:r>
                </w:p>
              </w:tc>
              <w:tc>
                <w:tcPr/>
                <w:p>
                  <w:pPr>
                    <w:pStyle w:val="Compact"/>
                    <w:jc w:val="left"/>
                    <w:jc w:val="center"/>
                  </w:pPr>
                  <w:r>
                    <w:t xml:space="preserve">52.78 ± 30.69</w:t>
                  </w:r>
                </w:p>
              </w:tc>
              <w:tc>
                <w:tcPr/>
                <w:p>
                  <w:pPr>
                    <w:pStyle w:val="Compact"/>
                    <w:jc w:val="left"/>
                    <w:jc w:val="center"/>
                  </w:pPr>
                  <w:r>
                    <w:t xml:space="preserve">0.67 ± 0.32</w:t>
                  </w:r>
                </w:p>
              </w:tc>
              <w:tc>
                <w:tcPr/>
                <w:p>
                  <w:pPr>
                    <w:pStyle w:val="Compact"/>
                    <w:jc w:val="left"/>
                    <w:jc w:val="center"/>
                  </w:pPr>
                  <w:r>
                    <w:t xml:space="preserve">49.06 ± 28.51</w:t>
                  </w:r>
                </w:p>
              </w:tc>
            </w:tr>
            <w:tr>
              <w:tc>
                <w:tcPr/>
                <w:p>
                  <w:pPr>
                    <w:pStyle w:val="Compact"/>
                    <w:jc w:val="left"/>
                    <w:jc w:val="center"/>
                  </w:pPr>
                  <w:r>
                    <w:t xml:space="preserve">GPC</w:t>
                  </w:r>
                </w:p>
              </w:tc>
              <w:tc>
                <w:tcPr/>
                <w:p>
                  <w:pPr>
                    <w:pStyle w:val="Compact"/>
                    <w:jc w:val="left"/>
                    <w:jc w:val="center"/>
                  </w:pPr>
                  <w:r>
                    <w:t xml:space="preserve">0.92 ± 0.11</w:t>
                  </w:r>
                </w:p>
              </w:tc>
              <w:tc>
                <w:tcPr/>
                <w:p>
                  <w:pPr>
                    <w:pStyle w:val="Compact"/>
                    <w:jc w:val="left"/>
                    <w:jc w:val="center"/>
                  </w:pPr>
                  <w:r>
                    <w:t xml:space="preserve">12.11 ± 4.83</w:t>
                  </w:r>
                </w:p>
              </w:tc>
              <w:tc>
                <w:tcPr/>
                <w:p>
                  <w:pPr>
                    <w:pStyle w:val="Compact"/>
                    <w:jc w:val="left"/>
                    <w:jc w:val="center"/>
                  </w:pPr>
                  <w:r>
                    <w:t xml:space="preserve">0.9 ± 0.11</w:t>
                  </w:r>
                </w:p>
              </w:tc>
              <w:tc>
                <w:tcPr/>
                <w:p>
                  <w:pPr>
                    <w:pStyle w:val="Compact"/>
                    <w:jc w:val="left"/>
                    <w:jc w:val="center"/>
                  </w:pPr>
                  <w:r>
                    <w:t xml:space="preserve">13.56 ± 4.23</w:t>
                  </w:r>
                </w:p>
              </w:tc>
            </w:tr>
            <w:tr>
              <w:tc>
                <w:tcPr/>
                <w:p>
                  <w:pPr>
                    <w:pStyle w:val="Compact"/>
                    <w:jc w:val="left"/>
                    <w:jc w:val="center"/>
                  </w:pPr>
                  <w:r>
                    <w:t xml:space="preserve">GSH</w:t>
                  </w:r>
                </w:p>
              </w:tc>
              <w:tc>
                <w:tcPr/>
                <w:p>
                  <w:pPr>
                    <w:pStyle w:val="Compact"/>
                    <w:jc w:val="left"/>
                    <w:jc w:val="center"/>
                  </w:pPr>
                  <w:r>
                    <w:t xml:space="preserve">1.3 ± 0.18</w:t>
                  </w:r>
                </w:p>
              </w:tc>
              <w:tc>
                <w:tcPr/>
                <w:p>
                  <w:pPr>
                    <w:pStyle w:val="Compact"/>
                    <w:jc w:val="left"/>
                    <w:jc w:val="center"/>
                  </w:pPr>
                  <w:r>
                    <w:t xml:space="preserve">7.61 ± 1.38</w:t>
                  </w:r>
                </w:p>
              </w:tc>
              <w:tc>
                <w:tcPr/>
                <w:p>
                  <w:pPr>
                    <w:pStyle w:val="Compact"/>
                    <w:jc w:val="left"/>
                    <w:jc w:val="center"/>
                  </w:pPr>
                  <w:r>
                    <w:t xml:space="preserve">1.32 ± 0.13</w:t>
                  </w:r>
                </w:p>
              </w:tc>
              <w:tc>
                <w:tcPr/>
                <w:p>
                  <w:pPr>
                    <w:pStyle w:val="Compact"/>
                    <w:jc w:val="left"/>
                    <w:jc w:val="center"/>
                  </w:pPr>
                  <w:r>
                    <w:t xml:space="preserve">7.44 ± 1.04</w:t>
                  </w:r>
                </w:p>
              </w:tc>
            </w:tr>
            <w:tr>
              <w:tc>
                <w:tcPr/>
                <w:p>
                  <w:pPr>
                    <w:pStyle w:val="Compact"/>
                    <w:jc w:val="left"/>
                    <w:jc w:val="center"/>
                  </w:pPr>
                  <w:r>
                    <w:t xml:space="preserve">Gln</w:t>
                  </w:r>
                </w:p>
              </w:tc>
              <w:tc>
                <w:tcPr/>
                <w:p>
                  <w:pPr>
                    <w:pStyle w:val="Compact"/>
                    <w:jc w:val="left"/>
                    <w:jc w:val="center"/>
                  </w:pPr>
                  <w:r>
                    <w:t xml:space="preserve">2.82 ± 0.58</w:t>
                  </w:r>
                </w:p>
              </w:tc>
              <w:tc>
                <w:tcPr/>
                <w:p>
                  <w:pPr>
                    <w:pStyle w:val="Compact"/>
                    <w:jc w:val="left"/>
                    <w:jc w:val="center"/>
                  </w:pPr>
                  <w:r>
                    <w:t xml:space="preserve">10.11 ± 1.78</w:t>
                  </w:r>
                </w:p>
              </w:tc>
              <w:tc>
                <w:tcPr/>
                <w:p>
                  <w:pPr>
                    <w:pStyle w:val="Compact"/>
                    <w:jc w:val="left"/>
                    <w:jc w:val="center"/>
                  </w:pPr>
                  <w:r>
                    <w:t xml:space="preserve">2.93 ± 0.47</w:t>
                  </w:r>
                </w:p>
              </w:tc>
              <w:tc>
                <w:tcPr/>
                <w:p>
                  <w:pPr>
                    <w:pStyle w:val="Compact"/>
                    <w:jc w:val="left"/>
                    <w:jc w:val="center"/>
                  </w:pPr>
                  <w:r>
                    <w:t xml:space="preserve">9.72 ± 1.02</w:t>
                  </w:r>
                </w:p>
              </w:tc>
            </w:tr>
            <w:tr>
              <w:tc>
                <w:tcPr/>
                <w:p>
                  <w:pPr>
                    <w:pStyle w:val="Compact"/>
                    <w:jc w:val="left"/>
                    <w:jc w:val="center"/>
                  </w:pPr>
                  <w:r>
                    <w:t xml:space="preserve">Glu</w:t>
                  </w:r>
                </w:p>
              </w:tc>
              <w:tc>
                <w:tcPr/>
                <w:p>
                  <w:pPr>
                    <w:pStyle w:val="Compact"/>
                    <w:jc w:val="left"/>
                    <w:jc w:val="center"/>
                  </w:pPr>
                  <w:r>
                    <w:t xml:space="preserve">7.02 ± 0.71</w:t>
                  </w:r>
                </w:p>
              </w:tc>
              <w:tc>
                <w:tcPr/>
                <w:p>
                  <w:pPr>
                    <w:pStyle w:val="Compact"/>
                    <w:jc w:val="left"/>
                    <w:jc w:val="center"/>
                  </w:pPr>
                  <w:r>
                    <w:t xml:space="preserve">4.33 ± 0.49</w:t>
                  </w:r>
                </w:p>
              </w:tc>
              <w:tc>
                <w:tcPr/>
                <w:p>
                  <w:pPr>
                    <w:pStyle w:val="Compact"/>
                    <w:jc w:val="left"/>
                    <w:jc w:val="center"/>
                  </w:pPr>
                  <w:r>
                    <w:t xml:space="preserve">7.11 ± 0.62</w:t>
                  </w:r>
                </w:p>
              </w:tc>
              <w:tc>
                <w:tcPr/>
                <w:p>
                  <w:pPr>
                    <w:pStyle w:val="Compact"/>
                    <w:jc w:val="left"/>
                    <w:jc w:val="center"/>
                  </w:pPr>
                  <w:r>
                    <w:t xml:space="preserve">4.17 ± 0.51</w:t>
                  </w:r>
                </w:p>
              </w:tc>
            </w:tr>
            <w:tr>
              <w:tc>
                <w:tcPr/>
                <w:p>
                  <w:pPr>
                    <w:pStyle w:val="Compact"/>
                    <w:jc w:val="left"/>
                    <w:jc w:val="center"/>
                  </w:pPr>
                  <w:r>
                    <w:t xml:space="preserve">mI</w:t>
                  </w:r>
                </w:p>
              </w:tc>
              <w:tc>
                <w:tcPr/>
                <w:p>
                  <w:pPr>
                    <w:pStyle w:val="Compact"/>
                    <w:jc w:val="left"/>
                    <w:jc w:val="center"/>
                  </w:pPr>
                  <w:r>
                    <w:t xml:space="preserve">4.77 ± 0.34</w:t>
                  </w:r>
                </w:p>
              </w:tc>
              <w:tc>
                <w:tcPr/>
                <w:p>
                  <w:pPr>
                    <w:pStyle w:val="Compact"/>
                    <w:jc w:val="left"/>
                    <w:jc w:val="center"/>
                  </w:pPr>
                  <w:r>
                    <w:t xml:space="preserve">3 ± 0</w:t>
                  </w:r>
                </w:p>
              </w:tc>
              <w:tc>
                <w:tcPr/>
                <w:p>
                  <w:pPr>
                    <w:pStyle w:val="Compact"/>
                    <w:jc w:val="left"/>
                    <w:jc w:val="center"/>
                  </w:pPr>
                  <w:r>
                    <w:t xml:space="preserve">4.8 ± 0.29</w:t>
                  </w:r>
                </w:p>
              </w:tc>
              <w:tc>
                <w:tcPr/>
                <w:p>
                  <w:pPr>
                    <w:pStyle w:val="Compact"/>
                    <w:jc w:val="left"/>
                    <w:jc w:val="center"/>
                  </w:pPr>
                  <w:r>
                    <w:t xml:space="preserve">3 ± 0</w:t>
                  </w:r>
                </w:p>
              </w:tc>
            </w:tr>
            <w:tr>
              <w:tc>
                <w:tcPr/>
                <w:p>
                  <w:pPr>
                    <w:pStyle w:val="Compact"/>
                    <w:jc w:val="left"/>
                    <w:jc w:val="center"/>
                  </w:pPr>
                  <w:r>
                    <w:t xml:space="preserve">Lac</w:t>
                  </w:r>
                </w:p>
              </w:tc>
              <w:tc>
                <w:tcPr/>
                <w:p>
                  <w:pPr>
                    <w:pStyle w:val="Compact"/>
                    <w:jc w:val="left"/>
                    <w:jc w:val="center"/>
                  </w:pPr>
                  <w:r>
                    <w:t xml:space="preserve">0.32 ± 0.13</w:t>
                  </w:r>
                </w:p>
              </w:tc>
              <w:tc>
                <w:tcPr/>
                <w:p>
                  <w:pPr>
                    <w:pStyle w:val="Compact"/>
                    <w:jc w:val="left"/>
                    <w:jc w:val="center"/>
                  </w:pPr>
                  <w:r>
                    <w:t xml:space="preserve">62.78 ± 38.94</w:t>
                  </w:r>
                </w:p>
              </w:tc>
              <w:tc>
                <w:tcPr/>
                <w:p>
                  <w:pPr>
                    <w:pStyle w:val="Compact"/>
                    <w:jc w:val="left"/>
                    <w:jc w:val="center"/>
                  </w:pPr>
                  <w:r>
                    <w:t xml:space="preserve">0.28 ± 0.16</w:t>
                  </w:r>
                </w:p>
              </w:tc>
              <w:tc>
                <w:tcPr/>
                <w:p>
                  <w:pPr>
                    <w:pStyle w:val="Compact"/>
                    <w:jc w:val="left"/>
                    <w:jc w:val="center"/>
                  </w:pPr>
                  <w:r>
                    <w:t xml:space="preserve">182.33 ± 311.77</w:t>
                  </w:r>
                </w:p>
              </w:tc>
            </w:tr>
            <w:tr>
              <w:tc>
                <w:tcPr/>
                <w:p>
                  <w:pPr>
                    <w:pStyle w:val="Compact"/>
                    <w:jc w:val="left"/>
                    <w:jc w:val="center"/>
                  </w:pPr>
                  <w:r>
                    <w:t xml:space="preserve">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11.83 ± 1.03</w:t>
                  </w:r>
                </w:p>
              </w:tc>
              <w:tc>
                <w:tcPr/>
                <w:p>
                  <w:pPr>
                    <w:pStyle w:val="Compact"/>
                    <w:jc w:val="left"/>
                    <w:jc w:val="center"/>
                  </w:pPr>
                  <w:r>
                    <w:t xml:space="preserve">1.83 ± 0.38</w:t>
                  </w:r>
                </w:p>
              </w:tc>
            </w:tr>
            <w:tr>
              <w:tc>
                <w:tcPr/>
                <w:p>
                  <w:pPr>
                    <w:pStyle w:val="Compact"/>
                    <w:jc w:val="left"/>
                    <w:jc w:val="center"/>
                  </w:pPr>
                  <w:r>
                    <w:t xml:space="preserve">NAAG</w:t>
                  </w:r>
                </w:p>
              </w:tc>
              <w:tc>
                <w:tcPr/>
                <w:p>
                  <w:pPr>
                    <w:pStyle w:val="Compact"/>
                    <w:jc w:val="left"/>
                    <w:jc w:val="center"/>
                  </w:pPr>
                  <w:r>
                    <w:t xml:space="preserve">0 ± 0</w:t>
                  </w:r>
                </w:p>
              </w:tc>
              <w:tc>
                <w:tcPr/>
                <w:p>
                  <w:pPr>
                    <w:pStyle w:val="Compact"/>
                    <w:jc w:val="left"/>
                    <w:jc w:val="center"/>
                  </w:pPr>
                  <w:r>
                    <w:t xml:space="preserve">999 ± 0</w:t>
                  </w:r>
                </w:p>
              </w:tc>
              <w:tc>
                <w:tcPr/>
                <w:p>
                  <w:pPr>
                    <w:pStyle w:val="Compact"/>
                    <w:jc w:val="left"/>
                    <w:jc w:val="center"/>
                  </w:pPr>
                  <w:r>
                    <w:t xml:space="preserve">0.07 ± 0.22</w:t>
                  </w:r>
                </w:p>
              </w:tc>
              <w:tc>
                <w:tcPr/>
                <w:p>
                  <w:pPr>
                    <w:pStyle w:val="Compact"/>
                    <w:jc w:val="left"/>
                    <w:jc w:val="center"/>
                  </w:pPr>
                  <w:r>
                    <w:t xml:space="preserve">890.78 ± 314.99</w:t>
                  </w:r>
                </w:p>
              </w:tc>
            </w:tr>
            <w:tr>
              <w:tc>
                <w:tcPr/>
                <w:p>
                  <w:pPr>
                    <w:pStyle w:val="Compact"/>
                    <w:jc w:val="left"/>
                    <w:jc w:val="center"/>
                  </w:pPr>
                  <w:r>
                    <w:t xml:space="preserve">PCh</w:t>
                  </w:r>
                </w:p>
              </w:tc>
              <w:tc>
                <w:tcPr/>
                <w:p>
                  <w:pPr>
                    <w:pStyle w:val="Compact"/>
                    <w:jc w:val="left"/>
                    <w:jc w:val="center"/>
                  </w:pPr>
                  <w:r>
                    <w:t xml:space="preserve">0.16 ± 0.12</w:t>
                  </w:r>
                </w:p>
              </w:tc>
              <w:tc>
                <w:tcPr/>
                <w:p>
                  <w:pPr>
                    <w:pStyle w:val="Compact"/>
                    <w:jc w:val="left"/>
                    <w:jc w:val="center"/>
                  </w:pPr>
                  <w:r>
                    <w:t xml:space="preserve">292.5 ± 394.55</w:t>
                  </w:r>
                </w:p>
              </w:tc>
              <w:tc>
                <w:tcPr/>
                <w:p>
                  <w:pPr>
                    <w:pStyle w:val="Compact"/>
                    <w:jc w:val="left"/>
                    <w:jc w:val="center"/>
                  </w:pPr>
                  <w:r>
                    <w:t xml:space="preserve">0.18 ± 0.1</w:t>
                  </w:r>
                </w:p>
              </w:tc>
              <w:tc>
                <w:tcPr/>
                <w:p>
                  <w:pPr>
                    <w:pStyle w:val="Compact"/>
                    <w:jc w:val="left"/>
                    <w:jc w:val="center"/>
                  </w:pPr>
                  <w:r>
                    <w:t xml:space="preserve">179.89 ± 299.51</w:t>
                  </w:r>
                </w:p>
              </w:tc>
            </w:tr>
            <w:tr>
              <w:tc>
                <w:tcPr/>
                <w:p>
                  <w:pPr>
                    <w:pStyle w:val="Compact"/>
                    <w:jc w:val="left"/>
                    <w:jc w:val="center"/>
                  </w:pPr>
                  <w:r>
                    <w:t xml:space="preserve">PCr</w:t>
                  </w:r>
                </w:p>
              </w:tc>
              <w:tc>
                <w:tcPr/>
                <w:p>
                  <w:pPr>
                    <w:pStyle w:val="Compact"/>
                    <w:jc w:val="left"/>
                    <w:jc w:val="center"/>
                  </w:pPr>
                  <w:r>
                    <w:t xml:space="preserve">5.68 ± 0.84</w:t>
                  </w:r>
                </w:p>
              </w:tc>
              <w:tc>
                <w:tcPr/>
                <w:p>
                  <w:pPr>
                    <w:pStyle w:val="Compact"/>
                    <w:jc w:val="left"/>
                    <w:jc w:val="center"/>
                  </w:pPr>
                  <w:r>
                    <w:t xml:space="preserve">5.83 ± 1.04</w:t>
                  </w:r>
                </w:p>
              </w:tc>
              <w:tc>
                <w:tcPr/>
                <w:p>
                  <w:pPr>
                    <w:pStyle w:val="Compact"/>
                    <w:jc w:val="left"/>
                    <w:jc w:val="center"/>
                  </w:pPr>
                  <w:r>
                    <w:t xml:space="preserve">5.7 ± 0.69</w:t>
                  </w:r>
                </w:p>
              </w:tc>
              <w:tc>
                <w:tcPr/>
                <w:p>
                  <w:pPr>
                    <w:pStyle w:val="Compact"/>
                    <w:jc w:val="left"/>
                    <w:jc w:val="center"/>
                  </w:pPr>
                  <w:r>
                    <w:t xml:space="preserve">6.11 ± 1.23</w:t>
                  </w:r>
                </w:p>
              </w:tc>
            </w:tr>
            <w:tr>
              <w:tc>
                <w:tcPr/>
                <w:p>
                  <w:pPr>
                    <w:pStyle w:val="Compact"/>
                    <w:jc w:val="left"/>
                    <w:jc w:val="center"/>
                  </w:pPr>
                  <w:r>
                    <w:t xml:space="preserve">PE</w:t>
                  </w:r>
                </w:p>
              </w:tc>
              <w:tc>
                <w:tcPr/>
                <w:p>
                  <w:pPr>
                    <w:pStyle w:val="Compact"/>
                    <w:jc w:val="left"/>
                    <w:jc w:val="center"/>
                  </w:pPr>
                  <w:r>
                    <w:t xml:space="preserve">1.67 ± 0.49</w:t>
                  </w:r>
                </w:p>
              </w:tc>
              <w:tc>
                <w:tcPr/>
                <w:p>
                  <w:pPr>
                    <w:pStyle w:val="Compact"/>
                    <w:jc w:val="left"/>
                    <w:jc w:val="center"/>
                  </w:pPr>
                  <w:r>
                    <w:t xml:space="preserve">31.28 ± 11.85</w:t>
                  </w:r>
                </w:p>
              </w:tc>
              <w:tc>
                <w:tcPr/>
                <w:p>
                  <w:pPr>
                    <w:pStyle w:val="Compact"/>
                    <w:jc w:val="left"/>
                    <w:jc w:val="center"/>
                  </w:pPr>
                  <w:r>
                    <w:t xml:space="preserve">1.71 ± 0.53</w:t>
                  </w:r>
                </w:p>
              </w:tc>
              <w:tc>
                <w:tcPr/>
                <w:p>
                  <w:pPr>
                    <w:pStyle w:val="Compact"/>
                    <w:jc w:val="left"/>
                    <w:jc w:val="center"/>
                  </w:pPr>
                  <w:r>
                    <w:t xml:space="preserve">29.5 ± 8.58</w:t>
                  </w:r>
                </w:p>
              </w:tc>
            </w:tr>
            <w:tr>
              <w:tc>
                <w:tcPr/>
                <w:p>
                  <w:pPr>
                    <w:pStyle w:val="Compact"/>
                    <w:jc w:val="left"/>
                    <w:jc w:val="center"/>
                  </w:pPr>
                  <w:r>
                    <w:t xml:space="preserve">sI</w:t>
                  </w:r>
                </w:p>
              </w:tc>
              <w:tc>
                <w:tcPr/>
                <w:p>
                  <w:pPr>
                    <w:pStyle w:val="Compact"/>
                    <w:jc w:val="left"/>
                    <w:jc w:val="center"/>
                  </w:pPr>
                  <w:r>
                    <w:t xml:space="preserve">0.13 ± 0.12</w:t>
                  </w:r>
                </w:p>
              </w:tc>
              <w:tc>
                <w:tcPr/>
                <w:p>
                  <w:pPr>
                    <w:pStyle w:val="Compact"/>
                    <w:jc w:val="left"/>
                    <w:jc w:val="center"/>
                  </w:pPr>
                  <w:r>
                    <w:t xml:space="preserve">198.61 ± 369.4</w:t>
                  </w:r>
                </w:p>
              </w:tc>
              <w:tc>
                <w:tcPr/>
                <w:p>
                  <w:pPr>
                    <w:pStyle w:val="Compact"/>
                    <w:jc w:val="left"/>
                    <w:jc w:val="center"/>
                  </w:pPr>
                  <w:r>
                    <w:t xml:space="preserve">0.13 ± 0.11</w:t>
                  </w:r>
                </w:p>
              </w:tc>
              <w:tc>
                <w:tcPr/>
                <w:p>
                  <w:pPr>
                    <w:pStyle w:val="Compact"/>
                    <w:jc w:val="left"/>
                    <w:jc w:val="center"/>
                  </w:pPr>
                  <w:r>
                    <w:t xml:space="preserve">127.56 ± 244.45</w:t>
                  </w:r>
                </w:p>
              </w:tc>
            </w:tr>
            <w:tr>
              <w:tc>
                <w:tcPr/>
                <w:p>
                  <w:pPr>
                    <w:pStyle w:val="Compact"/>
                    <w:jc w:val="left"/>
                    <w:jc w:val="center"/>
                  </w:pPr>
                  <w:r>
                    <w:t xml:space="preserve">Tau</w:t>
                  </w:r>
                </w:p>
              </w:tc>
              <w:tc>
                <w:tcPr/>
                <w:p>
                  <w:pPr>
                    <w:pStyle w:val="Compact"/>
                    <w:jc w:val="left"/>
                    <w:jc w:val="center"/>
                  </w:pPr>
                  <w:r>
                    <w:t xml:space="preserve">1.63 ± 0.35</w:t>
                  </w:r>
                </w:p>
              </w:tc>
              <w:tc>
                <w:tcPr/>
                <w:p>
                  <w:pPr>
                    <w:pStyle w:val="Compact"/>
                    <w:jc w:val="left"/>
                    <w:jc w:val="center"/>
                  </w:pPr>
                  <w:r>
                    <w:t xml:space="preserve">15.44 ± 3.2</w:t>
                  </w:r>
                </w:p>
              </w:tc>
              <w:tc>
                <w:tcPr/>
                <w:p>
                  <w:pPr>
                    <w:pStyle w:val="Compact"/>
                    <w:jc w:val="left"/>
                    <w:jc w:val="center"/>
                  </w:pPr>
                  <w:r>
                    <w:t xml:space="preserve">1.65 ± 0.3</w:t>
                  </w:r>
                </w:p>
              </w:tc>
              <w:tc>
                <w:tcPr/>
                <w:p>
                  <w:pPr>
                    <w:pStyle w:val="Compact"/>
                    <w:jc w:val="left"/>
                    <w:jc w:val="center"/>
                  </w:pPr>
                  <w:r>
                    <w:t xml:space="preserve">15.06 ± 3.23</w:t>
                  </w:r>
                </w:p>
              </w:tc>
            </w:tr>
            <w:tr>
              <w:tc>
                <w:tcPr/>
                <w:p>
                  <w:pPr>
                    <w:pStyle w:val="Compact"/>
                    <w:jc w:val="left"/>
                    <w:jc w:val="center"/>
                  </w:pPr>
                  <w:r>
                    <w:t xml:space="preserve">CrCH2</w:t>
                  </w:r>
                </w:p>
              </w:tc>
              <w:tc>
                <w:tcPr/>
                <w:p>
                  <w:pPr>
                    <w:pStyle w:val="Compact"/>
                    <w:jc w:val="left"/>
                    <w:jc w:val="center"/>
                  </w:pPr>
                  <w:r>
                    <w:t xml:space="preserve">0.26 ± 0.28</w:t>
                  </w:r>
                </w:p>
              </w:tc>
              <w:tc>
                <w:tcPr/>
                <w:p>
                  <w:pPr>
                    <w:pStyle w:val="Compact"/>
                    <w:jc w:val="left"/>
                    <w:jc w:val="center"/>
                  </w:pPr>
                  <w:r>
                    <w:t xml:space="preserve">433.94 ± 469.27</w:t>
                  </w:r>
                </w:p>
              </w:tc>
              <w:tc>
                <w:tcPr/>
                <w:p>
                  <w:pPr>
                    <w:pStyle w:val="Compact"/>
                    <w:jc w:val="left"/>
                    <w:jc w:val="center"/>
                  </w:pPr>
                  <w:r>
                    <w:t xml:space="preserve">0.24 ± 0.2</w:t>
                  </w:r>
                </w:p>
              </w:tc>
              <w:tc>
                <w:tcPr/>
                <w:p>
                  <w:pPr>
                    <w:pStyle w:val="Compact"/>
                    <w:jc w:val="left"/>
                    <w:jc w:val="center"/>
                  </w:pPr>
                  <w:r>
                    <w:t xml:space="preserve">285.11 ± 397.57</w:t>
                  </w:r>
                </w:p>
              </w:tc>
            </w:tr>
            <w:tr>
              <w:tc>
                <w:tcPr/>
                <w:p>
                  <w:pPr>
                    <w:pStyle w:val="Compact"/>
                    <w:jc w:val="left"/>
                    <w:jc w:val="center"/>
                  </w:pPr>
                  <w:r>
                    <w:t xml:space="preserve">tCho</w:t>
                  </w:r>
                </w:p>
              </w:tc>
              <w:tc>
                <w:tcPr/>
                <w:p>
                  <w:pPr>
                    <w:pStyle w:val="Compact"/>
                    <w:jc w:val="left"/>
                    <w:jc w:val="center"/>
                  </w:pPr>
                  <w:r>
                    <w:t xml:space="preserve">1.07 ± 0.09</w:t>
                  </w:r>
                </w:p>
              </w:tc>
              <w:tc>
                <w:tcPr/>
                <w:p>
                  <w:pPr>
                    <w:pStyle w:val="Compact"/>
                    <w:jc w:val="left"/>
                    <w:jc w:val="center"/>
                  </w:pPr>
                  <w:r>
                    <w:t xml:space="preserve">3.72 ± 0.46</w:t>
                  </w:r>
                </w:p>
              </w:tc>
              <w:tc>
                <w:tcPr/>
                <w:p>
                  <w:pPr>
                    <w:pStyle w:val="Compact"/>
                    <w:jc w:val="left"/>
                    <w:jc w:val="center"/>
                  </w:pPr>
                  <w:r>
                    <w:t xml:space="preserve">1.07 ± 0.09</w:t>
                  </w:r>
                </w:p>
              </w:tc>
              <w:tc>
                <w:tcPr/>
                <w:p>
                  <w:pPr>
                    <w:pStyle w:val="Compact"/>
                    <w:jc w:val="left"/>
                    <w:jc w:val="center"/>
                  </w:pPr>
                  <w:r>
                    <w:t xml:space="preserve">3.56 ± 0.62</w:t>
                  </w:r>
                </w:p>
              </w:tc>
            </w:tr>
            <w:tr>
              <w:tc>
                <w:tcPr/>
                <w:p>
                  <w:pPr>
                    <w:pStyle w:val="Compact"/>
                    <w:jc w:val="left"/>
                    <w:jc w:val="center"/>
                  </w:pPr>
                  <w:r>
                    <w:t xml:space="preserve">tCr</w:t>
                  </w:r>
                </w:p>
              </w:tc>
              <w:tc>
                <w:tcPr/>
                <w:p>
                  <w:pPr>
                    <w:pStyle w:val="Compact"/>
                    <w:jc w:val="left"/>
                    <w:jc w:val="center"/>
                  </w:pPr>
                  <w:r>
                    <w:t xml:space="preserve">7.72 ± 0.41</w:t>
                  </w:r>
                </w:p>
              </w:tc>
              <w:tc>
                <w:tcPr/>
                <w:p>
                  <w:pPr>
                    <w:pStyle w:val="Compact"/>
                    <w:jc w:val="left"/>
                    <w:jc w:val="center"/>
                  </w:pPr>
                  <w:r>
                    <w:t xml:space="preserve">1.44 ± 0.51</w:t>
                  </w:r>
                </w:p>
              </w:tc>
              <w:tc>
                <w:tcPr/>
                <w:p>
                  <w:pPr>
                    <w:pStyle w:val="Compact"/>
                    <w:jc w:val="left"/>
                    <w:jc w:val="center"/>
                  </w:pPr>
                  <w:r>
                    <w:t xml:space="preserve">7.8 ± 0.37</w:t>
                  </w:r>
                </w:p>
              </w:tc>
              <w:tc>
                <w:tcPr/>
                <w:p>
                  <w:pPr>
                    <w:pStyle w:val="Compact"/>
                    <w:jc w:val="left"/>
                    <w:jc w:val="center"/>
                  </w:pPr>
                  <w:r>
                    <w:t xml:space="preserve">1.39 ± 0.5</w:t>
                  </w:r>
                </w:p>
              </w:tc>
            </w:tr>
            <w:tr>
              <w:tc>
                <w:tcPr/>
                <w:p>
                  <w:pPr>
                    <w:pStyle w:val="Compact"/>
                    <w:jc w:val="left"/>
                    <w:jc w:val="center"/>
                  </w:pPr>
                  <w:r>
                    <w:t xml:space="preserve">tNAA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11.91 ± 1.04</w:t>
                  </w:r>
                </w:p>
              </w:tc>
              <w:tc>
                <w:tcPr/>
                <w:p>
                  <w:pPr>
                    <w:pStyle w:val="Compact"/>
                    <w:jc w:val="left"/>
                    <w:jc w:val="center"/>
                  </w:pPr>
                  <w:r>
                    <w:t xml:space="preserve">1.83 ± 0.38</w:t>
                  </w:r>
                </w:p>
              </w:tc>
            </w:tr>
            <w:tr>
              <w:tc>
                <w:tcPr/>
                <w:p>
                  <w:pPr>
                    <w:pStyle w:val="Compact"/>
                    <w:jc w:val="left"/>
                    <w:jc w:val="center"/>
                  </w:pPr>
                  <w:r>
                    <w:t xml:space="preserve">Glx</w:t>
                  </w:r>
                </w:p>
              </w:tc>
              <w:tc>
                <w:tcPr/>
                <w:p>
                  <w:pPr>
                    <w:pStyle w:val="Compact"/>
                    <w:jc w:val="left"/>
                    <w:jc w:val="center"/>
                  </w:pPr>
                  <w:r>
                    <w:t xml:space="preserve">9.84 ± 1.06</w:t>
                  </w:r>
                </w:p>
              </w:tc>
              <w:tc>
                <w:tcPr/>
                <w:p>
                  <w:pPr>
                    <w:pStyle w:val="Compact"/>
                    <w:jc w:val="left"/>
                    <w:jc w:val="center"/>
                  </w:pPr>
                  <w:r>
                    <w:t xml:space="preserve">4.39 ± 0.5</w:t>
                  </w:r>
                </w:p>
              </w:tc>
              <w:tc>
                <w:tcPr/>
                <w:p>
                  <w:pPr>
                    <w:pStyle w:val="Compact"/>
                    <w:jc w:val="left"/>
                    <w:jc w:val="center"/>
                  </w:pPr>
                  <w:r>
                    <w:t xml:space="preserve">10.04 ± 0.79</w:t>
                  </w:r>
                </w:p>
              </w:tc>
              <w:tc>
                <w:tcPr/>
                <w:p>
                  <w:pPr>
                    <w:pStyle w:val="Compact"/>
                    <w:jc w:val="left"/>
                    <w:jc w:val="center"/>
                  </w:pPr>
                  <w:r>
                    <w:t xml:space="preserve">4.17 ± 0.51</w:t>
                  </w:r>
                </w:p>
              </w:tc>
            </w:tr>
            <w:tr>
              <w:tc>
                <w:tcPr/>
                <w:p>
                  <w:pPr>
                    <w:pStyle w:val="Compact"/>
                    <w:jc w:val="left"/>
                    <w:jc w:val="center"/>
                  </w:pPr>
                  <w:r>
                    <w:t xml:space="preserve">Lip13a</w:t>
                  </w:r>
                </w:p>
              </w:tc>
              <w:tc>
                <w:tcPr/>
                <w:p>
                  <w:pPr>
                    <w:pStyle w:val="Compact"/>
                    <w:jc w:val="left"/>
                    <w:jc w:val="center"/>
                  </w:pPr>
                  <w:r>
                    <w:t xml:space="preserve">18.63 ± 7.85</w:t>
                  </w:r>
                </w:p>
              </w:tc>
              <w:tc>
                <w:tcPr/>
                <w:p>
                  <w:pPr>
                    <w:pStyle w:val="Compact"/>
                    <w:jc w:val="left"/>
                    <w:jc w:val="center"/>
                  </w:pPr>
                  <w:r>
                    <w:t xml:space="preserve">76.06 ± 230.43</w:t>
                  </w:r>
                </w:p>
              </w:tc>
              <w:tc>
                <w:tcPr/>
                <w:p>
                  <w:pPr>
                    <w:pStyle w:val="Compact"/>
                    <w:jc w:val="left"/>
                    <w:jc w:val="center"/>
                  </w:pPr>
                  <w:r>
                    <w:t xml:space="preserve">20 ± 7.47</w:t>
                  </w:r>
                </w:p>
              </w:tc>
              <w:tc>
                <w:tcPr/>
                <w:p>
                  <w:pPr>
                    <w:pStyle w:val="Compact"/>
                    <w:jc w:val="left"/>
                    <w:jc w:val="center"/>
                  </w:pPr>
                  <w:r>
                    <w:t xml:space="preserve">21.78 ± 6.48</w:t>
                  </w:r>
                </w:p>
              </w:tc>
            </w:tr>
            <w:tr>
              <w:tc>
                <w:tcPr/>
                <w:p>
                  <w:pPr>
                    <w:pStyle w:val="Compact"/>
                    <w:jc w:val="left"/>
                    <w:jc w:val="center"/>
                  </w:pPr>
                  <w:r>
                    <w:t xml:space="preserve">Lip13b</w:t>
                  </w:r>
                </w:p>
              </w:tc>
              <w:tc>
                <w:tcPr/>
                <w:p>
                  <w:pPr>
                    <w:pStyle w:val="Compact"/>
                    <w:jc w:val="left"/>
                    <w:jc w:val="center"/>
                  </w:pPr>
                  <w:r>
                    <w:t xml:space="preserve">0.07 ± 0.3</w:t>
                  </w:r>
                </w:p>
              </w:tc>
              <w:tc>
                <w:tcPr/>
                <w:p>
                  <w:pPr>
                    <w:pStyle w:val="Compact"/>
                    <w:jc w:val="left"/>
                    <w:jc w:val="center"/>
                  </w:pPr>
                  <w:r>
                    <w:t xml:space="preserve">944.39 ± 231.7</w:t>
                  </w:r>
                </w:p>
              </w:tc>
              <w:tc>
                <w:tcPr/>
                <w:p>
                  <w:pPr>
                    <w:pStyle w:val="Compact"/>
                    <w:jc w:val="left"/>
                    <w:jc w:val="center"/>
                  </w:pPr>
                  <w:r>
                    <w:t xml:space="preserve">0 ± 0</w:t>
                  </w:r>
                </w:p>
              </w:tc>
              <w:tc>
                <w:tcPr/>
                <w:p>
                  <w:pPr>
                    <w:pStyle w:val="Compact"/>
                    <w:jc w:val="left"/>
                    <w:jc w:val="center"/>
                  </w:pPr>
                  <w:r>
                    <w:t xml:space="preserve">999 ± 0</w:t>
                  </w:r>
                </w:p>
              </w:tc>
            </w:tr>
            <w:tr>
              <w:tc>
                <w:tcPr/>
                <w:p>
                  <w:pPr>
                    <w:pStyle w:val="Compact"/>
                    <w:jc w:val="left"/>
                    <w:jc w:val="center"/>
                  </w:pPr>
                  <w:r>
                    <w:t xml:space="preserve">Lip09</w:t>
                  </w:r>
                </w:p>
              </w:tc>
              <w:tc>
                <w:tcPr/>
                <w:p>
                  <w:pPr>
                    <w:pStyle w:val="Compact"/>
                    <w:jc w:val="left"/>
                    <w:jc w:val="center"/>
                  </w:pPr>
                  <w:r>
                    <w:t xml:space="preserve">4.91 ± 2.05</w:t>
                  </w:r>
                </w:p>
              </w:tc>
              <w:tc>
                <w:tcPr/>
                <w:p>
                  <w:pPr>
                    <w:pStyle w:val="Compact"/>
                    <w:jc w:val="left"/>
                    <w:jc w:val="center"/>
                  </w:pPr>
                  <w:r>
                    <w:t xml:space="preserve">25 ± 9.44</w:t>
                  </w:r>
                </w:p>
              </w:tc>
              <w:tc>
                <w:tcPr/>
                <w:p>
                  <w:pPr>
                    <w:pStyle w:val="Compact"/>
                    <w:jc w:val="left"/>
                    <w:jc w:val="center"/>
                  </w:pPr>
                  <w:r>
                    <w:t xml:space="preserve">5.22 ± 2.04</w:t>
                  </w:r>
                </w:p>
              </w:tc>
              <w:tc>
                <w:tcPr/>
                <w:p>
                  <w:pPr>
                    <w:pStyle w:val="Compact"/>
                    <w:jc w:val="left"/>
                    <w:jc w:val="center"/>
                  </w:pPr>
                  <w:r>
                    <w:t xml:space="preserve">27 ± 10.96</w:t>
                  </w:r>
                </w:p>
              </w:tc>
            </w:tr>
            <w:tr>
              <w:tc>
                <w:tcPr/>
                <w:p>
                  <w:pPr>
                    <w:pStyle w:val="Compact"/>
                    <w:jc w:val="left"/>
                    <w:jc w:val="center"/>
                  </w:pPr>
                  <w:r>
                    <w:t xml:space="preserve">MM09</w:t>
                  </w:r>
                </w:p>
              </w:tc>
              <w:tc>
                <w:tcPr/>
                <w:p>
                  <w:pPr>
                    <w:pStyle w:val="Compact"/>
                    <w:jc w:val="left"/>
                    <w:jc w:val="center"/>
                  </w:pPr>
                  <w:r>
                    <w:t xml:space="preserve">3.1 ± 2.15</w:t>
                  </w:r>
                </w:p>
              </w:tc>
              <w:tc>
                <w:tcPr/>
                <w:p>
                  <w:pPr>
                    <w:pStyle w:val="Compact"/>
                    <w:jc w:val="left"/>
                    <w:jc w:val="center"/>
                  </w:pPr>
                  <w:r>
                    <w:t xml:space="preserve">112.67 ± 226.41</w:t>
                  </w:r>
                </w:p>
              </w:tc>
              <w:tc>
                <w:tcPr/>
                <w:p>
                  <w:pPr>
                    <w:pStyle w:val="Compact"/>
                    <w:jc w:val="left"/>
                    <w:jc w:val="center"/>
                  </w:pPr>
                  <w:r>
                    <w:t xml:space="preserve">3.03 ± 1.5</w:t>
                  </w:r>
                </w:p>
              </w:tc>
              <w:tc>
                <w:tcPr/>
                <w:p>
                  <w:pPr>
                    <w:pStyle w:val="Compact"/>
                    <w:jc w:val="left"/>
                    <w:jc w:val="center"/>
                  </w:pPr>
                  <w:r>
                    <w:t xml:space="preserve">103.56 ± 227.35</w:t>
                  </w:r>
                </w:p>
              </w:tc>
            </w:tr>
            <w:tr>
              <w:tc>
                <w:tcPr/>
                <w:p>
                  <w:pPr>
                    <w:pStyle w:val="Compact"/>
                    <w:jc w:val="left"/>
                    <w:jc w:val="center"/>
                  </w:pPr>
                  <w:r>
                    <w:t xml:space="preserve">Lip20</w:t>
                  </w:r>
                </w:p>
              </w:tc>
              <w:tc>
                <w:tcPr/>
                <w:p>
                  <w:pPr>
                    <w:pStyle w:val="Compact"/>
                    <w:jc w:val="left"/>
                    <w:jc w:val="center"/>
                  </w:pPr>
                  <w:r>
                    <w:t xml:space="preserve">3.64 ± 1.34</w:t>
                  </w:r>
                </w:p>
              </w:tc>
              <w:tc>
                <w:tcPr/>
                <w:p>
                  <w:pPr>
                    <w:pStyle w:val="Compact"/>
                    <w:jc w:val="left"/>
                    <w:jc w:val="center"/>
                  </w:pPr>
                  <w:r>
                    <w:t xml:space="preserve">15.5 ± 4.26</w:t>
                  </w:r>
                </w:p>
              </w:tc>
              <w:tc>
                <w:tcPr/>
                <w:p>
                  <w:pPr>
                    <w:pStyle w:val="Compact"/>
                    <w:jc w:val="left"/>
                    <w:jc w:val="center"/>
                  </w:pPr>
                  <w:r>
                    <w:t xml:space="preserve">4.05 ± 1</w:t>
                  </w:r>
                </w:p>
              </w:tc>
              <w:tc>
                <w:tcPr/>
                <w:p>
                  <w:pPr>
                    <w:pStyle w:val="Compact"/>
                    <w:jc w:val="left"/>
                    <w:jc w:val="center"/>
                  </w:pPr>
                  <w:r>
                    <w:t xml:space="preserve">14.44 ± 3.07</w:t>
                  </w:r>
                </w:p>
              </w:tc>
            </w:tr>
            <w:tr>
              <w:tc>
                <w:tcPr/>
                <w:p>
                  <w:pPr>
                    <w:pStyle w:val="Compact"/>
                    <w:jc w:val="left"/>
                    <w:jc w:val="center"/>
                  </w:pPr>
                  <w:r>
                    <w:t xml:space="preserve">MM20</w:t>
                  </w:r>
                </w:p>
              </w:tc>
              <w:tc>
                <w:tcPr/>
                <w:p>
                  <w:pPr>
                    <w:pStyle w:val="Compact"/>
                    <w:jc w:val="left"/>
                    <w:jc w:val="center"/>
                  </w:pPr>
                  <w:r>
                    <w:t xml:space="preserve">3.88 ± 3.43</w:t>
                  </w:r>
                </w:p>
              </w:tc>
              <w:tc>
                <w:tcPr/>
                <w:p>
                  <w:pPr>
                    <w:pStyle w:val="Compact"/>
                    <w:jc w:val="left"/>
                    <w:jc w:val="center"/>
                  </w:pPr>
                  <w:r>
                    <w:t xml:space="preserve">242.11 ± 383.63</w:t>
                  </w:r>
                </w:p>
              </w:tc>
              <w:tc>
                <w:tcPr/>
                <w:p>
                  <w:pPr>
                    <w:pStyle w:val="Compact"/>
                    <w:jc w:val="left"/>
                    <w:jc w:val="center"/>
                  </w:pPr>
                  <w:r>
                    <w:t xml:space="preserve">3.41 ± 2.16</w:t>
                  </w:r>
                </w:p>
              </w:tc>
              <w:tc>
                <w:tcPr/>
                <w:p>
                  <w:pPr>
                    <w:pStyle w:val="Compact"/>
                    <w:jc w:val="left"/>
                    <w:jc w:val="center"/>
                  </w:pPr>
                  <w:r>
                    <w:t xml:space="preserve">143 ± 262.51</w:t>
                  </w:r>
                </w:p>
              </w:tc>
            </w:tr>
            <w:tr>
              <w:tc>
                <w:tcPr/>
                <w:p>
                  <w:pPr>
                    <w:pStyle w:val="Compact"/>
                    <w:jc w:val="left"/>
                    <w:jc w:val="center"/>
                  </w:pPr>
                  <w:r>
                    <w:t xml:space="preserve">MM12</w:t>
                  </w:r>
                </w:p>
              </w:tc>
              <w:tc>
                <w:tcPr/>
                <w:p>
                  <w:pPr>
                    <w:pStyle w:val="Compact"/>
                    <w:jc w:val="left"/>
                    <w:jc w:val="center"/>
                  </w:pPr>
                  <w:r>
                    <w:t xml:space="preserve">0.95 ± 0.93</w:t>
                  </w:r>
                </w:p>
              </w:tc>
              <w:tc>
                <w:tcPr/>
                <w:p>
                  <w:pPr>
                    <w:pStyle w:val="Compact"/>
                    <w:jc w:val="left"/>
                    <w:jc w:val="center"/>
                  </w:pPr>
                  <w:r>
                    <w:t xml:space="preserve">316.28 ± 389.01</w:t>
                  </w:r>
                </w:p>
              </w:tc>
              <w:tc>
                <w:tcPr/>
                <w:p>
                  <w:pPr>
                    <w:pStyle w:val="Compact"/>
                    <w:jc w:val="left"/>
                    <w:jc w:val="center"/>
                  </w:pPr>
                  <w:r>
                    <w:t xml:space="preserve">0.99 ± 0.97</w:t>
                  </w:r>
                </w:p>
              </w:tc>
              <w:tc>
                <w:tcPr/>
                <w:p>
                  <w:pPr>
                    <w:pStyle w:val="Compact"/>
                    <w:jc w:val="left"/>
                    <w:jc w:val="center"/>
                  </w:pPr>
                  <w:r>
                    <w:t xml:space="preserve">333.78 ± 425.72</w:t>
                  </w:r>
                </w:p>
              </w:tc>
            </w:tr>
            <w:tr>
              <w:tc>
                <w:tcPr/>
                <w:p>
                  <w:pPr>
                    <w:pStyle w:val="Compact"/>
                    <w:jc w:val="left"/>
                    <w:jc w:val="center"/>
                  </w:pPr>
                  <w:r>
                    <w:t xml:space="preserve">MM14</w:t>
                  </w:r>
                </w:p>
              </w:tc>
              <w:tc>
                <w:tcPr/>
                <w:p>
                  <w:pPr>
                    <w:pStyle w:val="Compact"/>
                    <w:jc w:val="left"/>
                    <w:jc w:val="center"/>
                  </w:pPr>
                  <w:r>
                    <w:t xml:space="preserve">4.45 ± 2.14</w:t>
                  </w:r>
                </w:p>
              </w:tc>
              <w:tc>
                <w:tcPr/>
                <w:p>
                  <w:pPr>
                    <w:pStyle w:val="Compact"/>
                    <w:jc w:val="left"/>
                    <w:jc w:val="center"/>
                  </w:pPr>
                  <w:r>
                    <w:t xml:space="preserve">34.39 ± 21.5</w:t>
                  </w:r>
                </w:p>
              </w:tc>
              <w:tc>
                <w:tcPr/>
                <w:p>
                  <w:pPr>
                    <w:pStyle w:val="Compact"/>
                    <w:jc w:val="left"/>
                    <w:jc w:val="center"/>
                  </w:pPr>
                  <w:r>
                    <w:t xml:space="preserve">5.11 ± 2.63</w:t>
                  </w:r>
                </w:p>
              </w:tc>
              <w:tc>
                <w:tcPr/>
                <w:p>
                  <w:pPr>
                    <w:pStyle w:val="Compact"/>
                    <w:jc w:val="left"/>
                    <w:jc w:val="center"/>
                  </w:pPr>
                  <w:r>
                    <w:t xml:space="preserve">35.67 ± 25.59</w:t>
                  </w:r>
                </w:p>
              </w:tc>
            </w:tr>
            <w:tr>
              <w:tc>
                <w:tcPr/>
                <w:p>
                  <w:pPr>
                    <w:pStyle w:val="Compact"/>
                    <w:jc w:val="left"/>
                    <w:jc w:val="center"/>
                  </w:pPr>
                  <w:r>
                    <w:t xml:space="preserve">MM17</w:t>
                  </w:r>
                </w:p>
              </w:tc>
              <w:tc>
                <w:tcPr/>
                <w:p>
                  <w:pPr>
                    <w:pStyle w:val="Compact"/>
                    <w:jc w:val="left"/>
                    <w:jc w:val="center"/>
                  </w:pPr>
                  <w:r>
                    <w:t xml:space="preserve">2.56 ± 1.84</w:t>
                  </w:r>
                </w:p>
              </w:tc>
              <w:tc>
                <w:tcPr/>
                <w:p>
                  <w:pPr>
                    <w:pStyle w:val="Compact"/>
                    <w:jc w:val="left"/>
                    <w:jc w:val="center"/>
                  </w:pPr>
                  <w:r>
                    <w:t xml:space="preserve">246.39 ± 414.02</w:t>
                  </w:r>
                </w:p>
              </w:tc>
              <w:tc>
                <w:tcPr/>
                <w:p>
                  <w:pPr>
                    <w:pStyle w:val="Compact"/>
                    <w:jc w:val="left"/>
                    <w:jc w:val="center"/>
                  </w:pPr>
                  <w:r>
                    <w:t xml:space="preserve">2.69 ± 1.1</w:t>
                  </w:r>
                </w:p>
              </w:tc>
              <w:tc>
                <w:tcPr/>
                <w:p>
                  <w:pPr>
                    <w:pStyle w:val="Compact"/>
                    <w:jc w:val="left"/>
                    <w:jc w:val="center"/>
                  </w:pPr>
                  <w:r>
                    <w:t xml:space="preserve">39.89 ± 31.22</w:t>
                  </w:r>
                </w:p>
              </w:tc>
            </w:tr>
          </w:tbl>
          <w:p>
            <w:pPr>
              <w:jc w:val="center"/>
            </w:pPr>
            <w:pPr>
              <w:jc w:val="left"/>
              <w:spacing w:before="200"/>
              <w:pStyle w:val="ImageCaption"/>
            </w:pPr>
            <w:r>
              <w:t xml:space="preserve">Table S5</w:t>
            </w:r>
            <w:r>
              <w:rPr>
                <w:b/>
                <w:bCs/>
              </w:rPr>
              <w:t xml:space="preserve">.</w:t>
            </w:r>
            <w:r>
              <w:t xml:space="preserve"> </w:t>
            </w:r>
            <w:r>
              <w:rPr>
                <w:b/>
                <w:bCs/>
              </w:rPr>
              <w:t xml:space="preserve">All metabolite concentrations and Cramer-Rao lower bounds from semi-LASER.</w:t>
            </w:r>
            <w:r>
              <w:t xml:space="preserve"> </w:t>
            </w:r>
            <w:r>
              <w:t xml:space="preserve">Concentration values are in millimoles; Cramer-Rao lower bounds are in percentages. Conc = concentration; CRLB = Cramer-Rao lower bounds.</w:t>
            </w:r>
          </w:p>
          <w:bookmarkEnd w:id="376"/>
        </w:tc>
      </w:tr>
    </w:tbl>
    <w:bookmarkEnd w:id="377"/>
    <w:bookmarkStart w:id="379" w:name="mega-press"/>
    <w:p>
      <w:pPr>
        <w:pStyle w:val="Heading3"/>
      </w:pPr>
      <w:r>
        <w:t xml:space="preserve">MEGA-PRESS</w:t>
      </w:r>
    </w:p>
    <w:p>
      <w:pPr>
        <w:pStyle w:val="FirstParagraph"/>
      </w:pPr>
      <w:r>
        <w:t xml:space="preserve">All metabolite concentrations and Cramer-Rao lower bounds from J-edited MEGA-PRESS are reported in</w:t>
      </w:r>
      <w:r>
        <w:t xml:space="preserve"> </w:t>
      </w:r>
      <w:hyperlink w:anchor="supptbl-megapressmetabs">
        <w:r>
          <w:rPr>
            <w:rStyle w:val="Internet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supptbl-megapressmetab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GABA</w:t>
                  </w:r>
                </w:p>
              </w:tc>
              <w:tc>
                <w:tcPr/>
                <w:p>
                  <w:pPr>
                    <w:pStyle w:val="Compact"/>
                    <w:jc w:val="left"/>
                    <w:jc w:val="center"/>
                  </w:pPr>
                  <w:r>
                    <w:t xml:space="preserve">1.64 ± 0.36</w:t>
                  </w:r>
                </w:p>
              </w:tc>
              <w:tc>
                <w:tcPr/>
                <w:p>
                  <w:pPr>
                    <w:pStyle w:val="Compact"/>
                    <w:jc w:val="left"/>
                    <w:jc w:val="center"/>
                  </w:pPr>
                  <w:r>
                    <w:t xml:space="preserve">16.61 ± 5.51</w:t>
                  </w:r>
                </w:p>
              </w:tc>
              <w:tc>
                <w:tcPr/>
                <w:p>
                  <w:pPr>
                    <w:pStyle w:val="Compact"/>
                    <w:jc w:val="left"/>
                    <w:jc w:val="center"/>
                  </w:pPr>
                  <w:r>
                    <w:t xml:space="preserve">1.55 ± 0.43</w:t>
                  </w:r>
                </w:p>
              </w:tc>
              <w:tc>
                <w:tcPr/>
                <w:p>
                  <w:pPr>
                    <w:pStyle w:val="Compact"/>
                    <w:jc w:val="left"/>
                    <w:jc w:val="center"/>
                  </w:pPr>
                  <w:r>
                    <w:t xml:space="preserve">18.5 ± 5.86</w:t>
                  </w:r>
                </w:p>
              </w:tc>
            </w:tr>
            <w:tr>
              <w:tc>
                <w:tcPr/>
                <w:p>
                  <w:pPr>
                    <w:pStyle w:val="Compact"/>
                    <w:jc w:val="left"/>
                    <w:jc w:val="center"/>
                  </w:pPr>
                  <w:r>
                    <w:t xml:space="preserve">GSH</w:t>
                  </w:r>
                </w:p>
              </w:tc>
              <w:tc>
                <w:tcPr/>
                <w:p>
                  <w:pPr>
                    <w:pStyle w:val="Compact"/>
                    <w:jc w:val="left"/>
                    <w:jc w:val="center"/>
                  </w:pPr>
                  <w:r>
                    <w:t xml:space="preserve">2.41 ± 0.6</w:t>
                  </w:r>
                </w:p>
              </w:tc>
              <w:tc>
                <w:tcPr/>
                <w:p>
                  <w:pPr>
                    <w:pStyle w:val="Compact"/>
                    <w:jc w:val="left"/>
                    <w:jc w:val="center"/>
                  </w:pPr>
                  <w:r>
                    <w:t xml:space="preserve">4.72 ± 0.57</w:t>
                  </w:r>
                </w:p>
              </w:tc>
              <w:tc>
                <w:tcPr/>
                <w:p>
                  <w:pPr>
                    <w:pStyle w:val="Compact"/>
                    <w:jc w:val="left"/>
                    <w:jc w:val="center"/>
                  </w:pPr>
                  <w:r>
                    <w:t xml:space="preserve">2.17 ± 0.62</w:t>
                  </w:r>
                </w:p>
              </w:tc>
              <w:tc>
                <w:tcPr/>
                <w:p>
                  <w:pPr>
                    <w:pStyle w:val="Compact"/>
                    <w:jc w:val="left"/>
                    <w:jc w:val="center"/>
                  </w:pPr>
                  <w:r>
                    <w:t xml:space="preserve">5.06 ± 0.94</w:t>
                  </w:r>
                </w:p>
              </w:tc>
            </w:tr>
            <w:tr>
              <w:tc>
                <w:tcPr/>
                <w:p>
                  <w:pPr>
                    <w:pStyle w:val="Compact"/>
                    <w:jc w:val="left"/>
                    <w:jc w:val="center"/>
                  </w:pPr>
                  <w:r>
                    <w:t xml:space="preserve">Gln</w:t>
                  </w:r>
                </w:p>
              </w:tc>
              <w:tc>
                <w:tcPr/>
                <w:p>
                  <w:pPr>
                    <w:pStyle w:val="Compact"/>
                    <w:jc w:val="left"/>
                    <w:jc w:val="center"/>
                  </w:pPr>
                  <w:r>
                    <w:t xml:space="preserve">2.59 ± 0.95</w:t>
                  </w:r>
                </w:p>
              </w:tc>
              <w:tc>
                <w:tcPr/>
                <w:p>
                  <w:pPr>
                    <w:pStyle w:val="Compact"/>
                    <w:jc w:val="left"/>
                    <w:jc w:val="center"/>
                  </w:pPr>
                  <w:r>
                    <w:t xml:space="preserve">74.56 ± 230.78</w:t>
                  </w:r>
                </w:p>
              </w:tc>
              <w:tc>
                <w:tcPr/>
                <w:p>
                  <w:pPr>
                    <w:pStyle w:val="Compact"/>
                    <w:jc w:val="left"/>
                    <w:jc w:val="center"/>
                  </w:pPr>
                  <w:r>
                    <w:t xml:space="preserve">2.4 ± 0.56</w:t>
                  </w:r>
                </w:p>
              </w:tc>
              <w:tc>
                <w:tcPr/>
                <w:p>
                  <w:pPr>
                    <w:pStyle w:val="Compact"/>
                    <w:jc w:val="left"/>
                    <w:jc w:val="center"/>
                  </w:pPr>
                  <w:r>
                    <w:t xml:space="preserve">24.11 ± 9.54</w:t>
                  </w:r>
                </w:p>
              </w:tc>
            </w:tr>
            <w:tr>
              <w:tc>
                <w:tcPr/>
                <w:p>
                  <w:pPr>
                    <w:pStyle w:val="Compact"/>
                    <w:jc w:val="left"/>
                    <w:jc w:val="center"/>
                  </w:pPr>
                  <w:r>
                    <w:t xml:space="preserve">Glu</w:t>
                  </w:r>
                </w:p>
              </w:tc>
              <w:tc>
                <w:tcPr/>
                <w:p>
                  <w:pPr>
                    <w:pStyle w:val="Compact"/>
                    <w:jc w:val="left"/>
                    <w:jc w:val="center"/>
                  </w:pPr>
                  <w:r>
                    <w:t xml:space="preserve">12.41 ± 1.76</w:t>
                  </w:r>
                </w:p>
              </w:tc>
              <w:tc>
                <w:tcPr/>
                <w:p>
                  <w:pPr>
                    <w:pStyle w:val="Compact"/>
                    <w:jc w:val="left"/>
                    <w:jc w:val="center"/>
                  </w:pPr>
                  <w:r>
                    <w:t xml:space="preserve">4.06 ± 0.64</w:t>
                  </w:r>
                </w:p>
              </w:tc>
              <w:tc>
                <w:tcPr/>
                <w:p>
                  <w:pPr>
                    <w:pStyle w:val="Compact"/>
                    <w:jc w:val="left"/>
                    <w:jc w:val="center"/>
                  </w:pPr>
                  <w:r>
                    <w:t xml:space="preserve">12.11 ± 1.65</w:t>
                  </w:r>
                </w:p>
              </w:tc>
              <w:tc>
                <w:tcPr/>
                <w:p>
                  <w:pPr>
                    <w:pStyle w:val="Compact"/>
                    <w:jc w:val="left"/>
                    <w:jc w:val="center"/>
                  </w:pPr>
                  <w:r>
                    <w:t xml:space="preserve">4.33 ± 0.77</w:t>
                  </w:r>
                </w:p>
              </w:tc>
            </w:tr>
            <w:tr>
              <w:tc>
                <w:tcPr/>
                <w:p>
                  <w:pPr>
                    <w:pStyle w:val="Compact"/>
                    <w:jc w:val="left"/>
                    <w:jc w:val="center"/>
                  </w:pPr>
                  <w:r>
                    <w:t xml:space="preserve">NAA</w:t>
                  </w:r>
                </w:p>
              </w:tc>
              <w:tc>
                <w:tcPr/>
                <w:p>
                  <w:pPr>
                    <w:pStyle w:val="Compact"/>
                    <w:jc w:val="left"/>
                    <w:jc w:val="center"/>
                  </w:pPr>
                  <w:r>
                    <w:t xml:space="preserve">16.47 ± 1.49</w:t>
                  </w:r>
                </w:p>
              </w:tc>
              <w:tc>
                <w:tcPr/>
                <w:p>
                  <w:pPr>
                    <w:pStyle w:val="Compact"/>
                    <w:jc w:val="left"/>
                    <w:jc w:val="center"/>
                  </w:pPr>
                  <w:r>
                    <w:t xml:space="preserve">9.94 ± 2.21</w:t>
                  </w:r>
                </w:p>
              </w:tc>
              <w:tc>
                <w:tcPr/>
                <w:p>
                  <w:pPr>
                    <w:pStyle w:val="Compact"/>
                    <w:jc w:val="left"/>
                    <w:jc w:val="center"/>
                  </w:pPr>
                  <w:r>
                    <w:t xml:space="preserve">16.29 ± 2.01</w:t>
                  </w:r>
                </w:p>
              </w:tc>
              <w:tc>
                <w:tcPr/>
                <w:p>
                  <w:pPr>
                    <w:pStyle w:val="Compact"/>
                    <w:jc w:val="left"/>
                    <w:jc w:val="center"/>
                  </w:pPr>
                  <w:r>
                    <w:t xml:space="preserve">10.39 ± 1.5</w:t>
                  </w:r>
                </w:p>
              </w:tc>
            </w:tr>
            <w:tr>
              <w:tc>
                <w:tcPr/>
                <w:p>
                  <w:pPr>
                    <w:pStyle w:val="Compact"/>
                    <w:jc w:val="left"/>
                    <w:jc w:val="center"/>
                  </w:pPr>
                  <w:r>
                    <w:t xml:space="preserve">NAAG</w:t>
                  </w:r>
                </w:p>
              </w:tc>
              <w:tc>
                <w:tcPr/>
                <w:p>
                  <w:pPr>
                    <w:pStyle w:val="Compact"/>
                    <w:jc w:val="left"/>
                    <w:jc w:val="center"/>
                  </w:pPr>
                  <w:r>
                    <w:t xml:space="preserve">1.8 ± 0.57</w:t>
                  </w:r>
                </w:p>
              </w:tc>
              <w:tc>
                <w:tcPr/>
                <w:p>
                  <w:pPr>
                    <w:pStyle w:val="Compact"/>
                    <w:jc w:val="left"/>
                    <w:jc w:val="center"/>
                  </w:pPr>
                  <w:r>
                    <w:t xml:space="preserve">16.61 ± 5.51</w:t>
                  </w:r>
                </w:p>
              </w:tc>
              <w:tc>
                <w:tcPr/>
                <w:p>
                  <w:pPr>
                    <w:pStyle w:val="Compact"/>
                    <w:jc w:val="left"/>
                    <w:jc w:val="center"/>
                  </w:pPr>
                  <w:r>
                    <w:t xml:space="preserve">2.02 ± 1.07</w:t>
                  </w:r>
                </w:p>
              </w:tc>
              <w:tc>
                <w:tcPr/>
                <w:p>
                  <w:pPr>
                    <w:pStyle w:val="Compact"/>
                    <w:jc w:val="left"/>
                    <w:jc w:val="center"/>
                  </w:pPr>
                  <w:r>
                    <w:t xml:space="preserve">18.5 ± 5.86</w:t>
                  </w:r>
                </w:p>
              </w:tc>
            </w:tr>
            <w:tr>
              <w:tc>
                <w:tcPr/>
                <w:p>
                  <w:pPr>
                    <w:pStyle w:val="Compact"/>
                    <w:jc w:val="left"/>
                    <w:jc w:val="center"/>
                  </w:pPr>
                  <w:r>
                    <w:t xml:space="preserve">tNAA</w:t>
                  </w:r>
                </w:p>
              </w:tc>
              <w:tc>
                <w:tcPr/>
                <w:p>
                  <w:pPr>
                    <w:pStyle w:val="Compact"/>
                    <w:jc w:val="left"/>
                    <w:jc w:val="center"/>
                  </w:pPr>
                  <w:r>
                    <w:t xml:space="preserve">18.27 ± 1.41</w:t>
                  </w:r>
                </w:p>
              </w:tc>
              <w:tc>
                <w:tcPr/>
                <w:p>
                  <w:pPr>
                    <w:pStyle w:val="Compact"/>
                    <w:jc w:val="left"/>
                    <w:jc w:val="center"/>
                  </w:pPr>
                  <w:r>
                    <w:t xml:space="preserve">4.72 ± 0.57</w:t>
                  </w:r>
                </w:p>
              </w:tc>
              <w:tc>
                <w:tcPr/>
                <w:p>
                  <w:pPr>
                    <w:pStyle w:val="Compact"/>
                    <w:jc w:val="left"/>
                    <w:jc w:val="center"/>
                  </w:pPr>
                  <w:r>
                    <w:t xml:space="preserve">18.31 ± 1.65</w:t>
                  </w:r>
                </w:p>
              </w:tc>
              <w:tc>
                <w:tcPr/>
                <w:p>
                  <w:pPr>
                    <w:pStyle w:val="Compact"/>
                    <w:jc w:val="left"/>
                    <w:jc w:val="center"/>
                  </w:pPr>
                  <w:r>
                    <w:t xml:space="preserve">5.06 ± 0.94</w:t>
                  </w:r>
                </w:p>
              </w:tc>
            </w:tr>
            <w:tr>
              <w:tc>
                <w:tcPr/>
                <w:p>
                  <w:pPr>
                    <w:pStyle w:val="Compact"/>
                    <w:jc w:val="left"/>
                    <w:jc w:val="center"/>
                  </w:pPr>
                  <w:r>
                    <w:t xml:space="preserve">Glx</w:t>
                  </w:r>
                </w:p>
              </w:tc>
              <w:tc>
                <w:tcPr/>
                <w:p>
                  <w:pPr>
                    <w:pStyle w:val="Compact"/>
                    <w:jc w:val="left"/>
                    <w:jc w:val="center"/>
                  </w:pPr>
                  <w:r>
                    <w:t xml:space="preserve">15 ± 1.51</w:t>
                  </w:r>
                </w:p>
              </w:tc>
              <w:tc>
                <w:tcPr/>
                <w:p>
                  <w:pPr>
                    <w:pStyle w:val="Compact"/>
                    <w:jc w:val="left"/>
                    <w:jc w:val="center"/>
                  </w:pPr>
                  <w:r>
                    <w:t xml:space="preserve">74.56 ± 230.78</w:t>
                  </w:r>
                </w:p>
              </w:tc>
              <w:tc>
                <w:tcPr/>
                <w:p>
                  <w:pPr>
                    <w:pStyle w:val="Compact"/>
                    <w:jc w:val="left"/>
                    <w:jc w:val="center"/>
                  </w:pPr>
                  <w:r>
                    <w:t xml:space="preserve">14.51 ± 1.57</w:t>
                  </w:r>
                </w:p>
              </w:tc>
              <w:tc>
                <w:tcPr/>
                <w:p>
                  <w:pPr>
                    <w:pStyle w:val="Compact"/>
                    <w:jc w:val="left"/>
                    <w:jc w:val="center"/>
                  </w:pPr>
                  <w:r>
                    <w:t xml:space="preserve">24.11 ± 9.54</w:t>
                  </w:r>
                </w:p>
              </w:tc>
            </w:tr>
            <w:tr>
              <w:tc>
                <w:tcPr/>
                <w:p>
                  <w:pPr>
                    <w:pStyle w:val="Compact"/>
                    <w:jc w:val="left"/>
                    <w:jc w:val="center"/>
                  </w:pPr>
                  <w:r>
                    <w:t xml:space="preserve">MM09</w:t>
                  </w:r>
                </w:p>
              </w:tc>
              <w:tc>
                <w:tcPr/>
                <w:p>
                  <w:pPr>
                    <w:pStyle w:val="Compact"/>
                    <w:jc w:val="left"/>
                    <w:jc w:val="center"/>
                  </w:pPr>
                  <w:r>
                    <w:t xml:space="preserve">3.84 ± 0.77</w:t>
                  </w:r>
                </w:p>
              </w:tc>
              <w:tc>
                <w:tcPr/>
                <w:p>
                  <w:pPr>
                    <w:pStyle w:val="Compact"/>
                    <w:jc w:val="left"/>
                    <w:jc w:val="center"/>
                  </w:pPr>
                  <w:r>
                    <w:t xml:space="preserve">4.06 ± 0.64</w:t>
                  </w:r>
                </w:p>
              </w:tc>
              <w:tc>
                <w:tcPr/>
                <w:p>
                  <w:pPr>
                    <w:pStyle w:val="Compact"/>
                    <w:jc w:val="left"/>
                    <w:jc w:val="center"/>
                  </w:pPr>
                  <w:r>
                    <w:t xml:space="preserve">3.69 ± 0.49</w:t>
                  </w:r>
                </w:p>
              </w:tc>
              <w:tc>
                <w:tcPr/>
                <w:p>
                  <w:pPr>
                    <w:pStyle w:val="Compact"/>
                    <w:jc w:val="left"/>
                    <w:jc w:val="center"/>
                  </w:pPr>
                  <w:r>
                    <w:t xml:space="preserve">4.33 ± 0.77</w:t>
                  </w:r>
                </w:p>
              </w:tc>
            </w:tr>
            <w:tr>
              <w:tc>
                <w:tcPr/>
                <w:p>
                  <w:pPr>
                    <w:pStyle w:val="Compact"/>
                    <w:jc w:val="left"/>
                    <w:jc w:val="center"/>
                  </w:pPr>
                  <w:r>
                    <w:t xml:space="preserve">GABAplus</w:t>
                  </w:r>
                </w:p>
              </w:tc>
              <w:tc>
                <w:tcPr/>
                <w:p>
                  <w:pPr>
                    <w:pStyle w:val="Compact"/>
                    <w:jc w:val="left"/>
                    <w:jc w:val="center"/>
                  </w:pPr>
                  <w:r>
                    <w:t xml:space="preserve">5.48 ± 0.77</w:t>
                  </w:r>
                </w:p>
              </w:tc>
              <w:tc>
                <w:tcPr/>
                <w:p>
                  <w:pPr>
                    <w:pStyle w:val="Compact"/>
                    <w:jc w:val="left"/>
                    <w:jc w:val="center"/>
                  </w:pPr>
                  <w:r>
                    <w:t xml:space="preserve">9.94 ± 2.21</w:t>
                  </w:r>
                </w:p>
              </w:tc>
              <w:tc>
                <w:tcPr/>
                <w:p>
                  <w:pPr>
                    <w:pStyle w:val="Compact"/>
                    <w:jc w:val="left"/>
                    <w:jc w:val="center"/>
                  </w:pPr>
                  <w:r>
                    <w:t xml:space="preserve">5.23 ± 0.71</w:t>
                  </w:r>
                </w:p>
              </w:tc>
              <w:tc>
                <w:tcPr/>
                <w:p>
                  <w:pPr>
                    <w:pStyle w:val="Compact"/>
                    <w:jc w:val="left"/>
                    <w:jc w:val="center"/>
                  </w:pPr>
                  <w:r>
                    <w:t xml:space="preserve">10.39 ± 1.5</w:t>
                  </w:r>
                </w:p>
              </w:tc>
            </w:tr>
          </w:tbl>
          <w:p>
            <w:pPr>
              <w:jc w:val="center"/>
            </w:pPr>
            <w:pPr>
              <w:jc w:val="left"/>
              <w:spacing w:before="200"/>
              <w:pStyle w:val="ImageCaption"/>
            </w:pPr>
            <w:r>
              <w:t xml:space="preserve">Table S6</w:t>
            </w:r>
            <w:r>
              <w:rPr>
                <w:b/>
                <w:bCs/>
              </w:rPr>
              <w:t xml:space="preserve">.</w:t>
            </w:r>
            <w:r>
              <w:t xml:space="preserve"> </w:t>
            </w:r>
            <w:r>
              <w:rPr>
                <w:b/>
                <w:bCs/>
              </w:rPr>
              <w:t xml:space="preserve">All metabolite concentrations and Cramer-Rao lower bounds from J-edited MEGA-PRESS.</w:t>
            </w:r>
            <w:r>
              <w:t xml:space="preserve"> </w:t>
            </w:r>
            <w:r>
              <w:t xml:space="preserve">Concentration values are in millimoles; Cramer-Rao lower bounds are in percentages. Conc = concentration; CRLB = Cramer-Rao lower bounds.</w:t>
            </w:r>
          </w:p>
          <w:bookmarkEnd w:id="378"/>
        </w:tc>
      </w:tr>
    </w:tbl>
    <w:bookmarkEnd w:id="379"/>
    <w:bookmarkEnd w:id="380"/>
    <w:bookmarkStart w:id="396" w:name="data-quality-1"/>
    <w:p>
      <w:pPr>
        <w:pStyle w:val="Heading2"/>
      </w:pPr>
      <w:r>
        <w:t xml:space="preserve">Data quality</w:t>
      </w:r>
    </w:p>
    <w:p>
      <w:pPr>
        <w:pStyle w:val="FirstParagraph"/>
      </w:pPr>
      <w:r>
        <w:t xml:space="preserve">Data quality correlations for Hurst with mean framewise displacement, Glx and GABA+ with FWHM, and Glx and GABA+ with frequency shift are shown in</w:t>
      </w:r>
      <w:r>
        <w:t xml:space="preserve"> </w:t>
      </w:r>
      <w:hyperlink w:anchor="suppfig-dataqualit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4" w:name="suppfig-dataquality"/>
          <w:p>
            <w:pPr>
              <w:jc w:val="center"/>
            </w:pPr>
            <w:r>
              <w:drawing>
                <wp:inline>
                  <wp:extent cx="5544151" cy="7392202"/>
                  <wp:effectExtent b="0" l="0" r="0" t="0"/>
                  <wp:docPr descr="" title="" id="382" name="Picture"/>
                  <a:graphic>
                    <a:graphicData uri="http://schemas.openxmlformats.org/drawingml/2006/picture">
                      <pic:pic>
                        <pic:nvPicPr>
                          <pic:cNvPr descr="index_files/figure-docx/unnamed-chunk-15-1.png" id="383" name="Picture"/>
                          <pic:cNvPicPr>
                            <a:picLocks noChangeArrowheads="1" noChangeAspect="1"/>
                          </pic:cNvPicPr>
                        </pic:nvPicPr>
                        <pic:blipFill>
                          <a:blip r:embed="rId381"/>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S2</w:t>
            </w:r>
            <w:r>
              <w:rPr>
                <w:b/>
                <w:bCs/>
              </w:rPr>
              <w:t xml:space="preserve">.</w:t>
            </w:r>
            <w:r>
              <w:t xml:space="preserve"> </w:t>
            </w:r>
            <w:r>
              <w:rPr>
                <w:b/>
                <w:bCs/>
              </w:rPr>
              <w:t xml:space="preserve">Data quality correlations.</w:t>
            </w:r>
            <w:r>
              <w:t xml:space="preserve"> </w:t>
            </w:r>
            <w:r>
              <w:t xml:space="preserve">A) Correlation plots of H vs. mean FD (mm) for rest (green) and movie (orange). B) and C) Correlation plots of Glx (B) and GABA+ (C) vs. water FWHM (Hz) for rest (green) and movie (orange). D) and E) Correlation plots of Glx (B) and GABA+ (C) vs. frequency shift (ppm) for rest (green) and movie (orange).</w:t>
            </w:r>
          </w:p>
          <w:bookmarkEnd w:id="384"/>
        </w:tc>
      </w:tr>
    </w:tbl>
    <w:p>
      <w:pPr>
        <w:pStyle w:val="TextBody"/>
      </w:pPr>
      <w:r>
        <w:t xml:space="preserve">Rest vs movie FWHM comparisons (paired t-tests) are provided in</w:t>
      </w:r>
      <w:r>
        <w:t xml:space="preserve"> </w:t>
      </w:r>
      <w:hyperlink w:anchor="supptbl-FWHMprepost">
        <w:r>
          <w:rPr>
            <w:rStyle w:val="InternetLink"/>
          </w:rPr>
          <w:t xml:space="preserve">Table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5" w:name="supptbl-FWHMprepost"/>
          <w:tbl>
            <w:tblPr>
              <w:tblStyle w:val="Table"/>
              <w:tblW w:type="pct" w:w="5000"/>
              <w:tblLayout w:type="fixed"/>
              <w:tblLook w:firstRow="1" w:lastRow="0" w:firstColumn="0" w:lastColumn="0" w:noHBand="0" w:noVBand="0" w:val="0020"/>
            </w:tblPr>
            <w:tblGrid>
              <w:gridCol w:w="866"/>
              <w:gridCol w:w="990"/>
              <w:gridCol w:w="1113"/>
              <w:gridCol w:w="990"/>
              <w:gridCol w:w="990"/>
              <w:gridCol w:w="742"/>
              <w:gridCol w:w="618"/>
              <w:gridCol w:w="742"/>
              <w:gridCol w:w="866"/>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7.86</w:t>
                  </w:r>
                </w:p>
              </w:tc>
              <w:tc>
                <w:tcPr/>
                <w:p>
                  <w:pPr>
                    <w:pStyle w:val="Compact"/>
                    <w:jc w:val="right"/>
                    <w:jc w:val="center"/>
                  </w:pPr>
                  <w:r>
                    <w:t xml:space="preserve">7.95</w:t>
                  </w:r>
                </w:p>
              </w:tc>
              <w:tc>
                <w:tcPr/>
                <w:p>
                  <w:pPr>
                    <w:pStyle w:val="Compact"/>
                    <w:jc w:val="right"/>
                    <w:jc w:val="center"/>
                  </w:pPr>
                  <w:r>
                    <w:t xml:space="preserve">0.09</w:t>
                  </w:r>
                </w:p>
              </w:tc>
              <w:tc>
                <w:tcPr/>
                <w:p>
                  <w:pPr>
                    <w:pStyle w:val="Compact"/>
                    <w:jc w:val="right"/>
                    <w:jc w:val="center"/>
                  </w:pPr>
                  <w:r>
                    <w:t xml:space="preserve">0.51</w:t>
                  </w:r>
                </w:p>
              </w:tc>
              <w:tc>
                <w:tcPr/>
                <w:p>
                  <w:pPr>
                    <w:pStyle w:val="Compact"/>
                    <w:jc w:val="right"/>
                    <w:jc w:val="center"/>
                  </w:pPr>
                  <w:r>
                    <w:t xml:space="preserve">0.75</w:t>
                  </w:r>
                </w:p>
              </w:tc>
              <w:tc>
                <w:tcPr/>
                <w:p>
                  <w:pPr>
                    <w:pStyle w:val="Compact"/>
                    <w:jc w:val="right"/>
                    <w:jc w:val="center"/>
                  </w:pPr>
                  <w:r>
                    <w:t xml:space="preserve">0.46</w:t>
                  </w:r>
                </w:p>
              </w:tc>
              <w:tc>
                <w:tcPr/>
                <w:p>
                  <w:pPr>
                    <w:pStyle w:val="Compact"/>
                    <w:jc w:val="right"/>
                    <w:jc w:val="center"/>
                  </w:pPr>
                  <w:r>
                    <w:t xml:space="preserve">-0.16</w:t>
                  </w:r>
                </w:p>
              </w:tc>
              <w:tc>
                <w:tcPr/>
                <w:p>
                  <w:pPr>
                    <w:pStyle w:val="Compact"/>
                    <w:jc w:val="right"/>
                    <w:jc w:val="center"/>
                  </w:pPr>
                  <w:r>
                    <w:t xml:space="preserve">0.34</w:t>
                  </w:r>
                </w:p>
              </w:tc>
            </w:tr>
            <w:tr>
              <w:tc>
                <w:tcPr/>
                <w:p>
                  <w:pPr>
                    <w:pStyle w:val="Compact"/>
                    <w:jc w:val="left"/>
                    <w:jc w:val="center"/>
                  </w:pPr>
                  <w:r>
                    <w:t xml:space="preserve">sLASER</w:t>
                  </w:r>
                </w:p>
              </w:tc>
              <w:tc>
                <w:tcPr/>
                <w:p>
                  <w:pPr>
                    <w:pStyle w:val="Compact"/>
                    <w:jc w:val="right"/>
                    <w:jc w:val="center"/>
                  </w:pPr>
                  <w:r>
                    <w:t xml:space="preserve">8.47</w:t>
                  </w:r>
                </w:p>
              </w:tc>
              <w:tc>
                <w:tcPr/>
                <w:p>
                  <w:pPr>
                    <w:pStyle w:val="Compact"/>
                    <w:jc w:val="right"/>
                    <w:jc w:val="center"/>
                  </w:pPr>
                  <w:r>
                    <w:t xml:space="preserve">8.32</w:t>
                  </w:r>
                </w:p>
              </w:tc>
              <w:tc>
                <w:tcPr/>
                <w:p>
                  <w:pPr>
                    <w:pStyle w:val="Compact"/>
                    <w:jc w:val="right"/>
                    <w:jc w:val="center"/>
                  </w:pPr>
                  <w:r>
                    <w:t xml:space="preserve">-0.15</w:t>
                  </w:r>
                </w:p>
              </w:tc>
              <w:tc>
                <w:tcPr/>
                <w:p>
                  <w:pPr>
                    <w:pStyle w:val="Compact"/>
                    <w:jc w:val="right"/>
                    <w:jc w:val="center"/>
                  </w:pPr>
                  <w:r>
                    <w:t xml:space="preserve">0.49</w:t>
                  </w:r>
                </w:p>
              </w:tc>
              <w:tc>
                <w:tcPr/>
                <w:p>
                  <w:pPr>
                    <w:pStyle w:val="Compact"/>
                    <w:jc w:val="right"/>
                    <w:jc w:val="center"/>
                  </w:pPr>
                  <w:r>
                    <w:t xml:space="preserve">-1.28</w:t>
                  </w:r>
                </w:p>
              </w:tc>
              <w:tc>
                <w:tcPr/>
                <w:p>
                  <w:pPr>
                    <w:pStyle w:val="Compact"/>
                    <w:jc w:val="right"/>
                    <w:jc w:val="center"/>
                  </w:pPr>
                  <w:r>
                    <w:t xml:space="preserve">0.22</w:t>
                  </w:r>
                </w:p>
              </w:tc>
              <w:tc>
                <w:tcPr/>
                <w:p>
                  <w:pPr>
                    <w:pStyle w:val="Compact"/>
                    <w:jc w:val="right"/>
                    <w:jc w:val="center"/>
                  </w:pPr>
                  <w:r>
                    <w:t xml:space="preserve">-0.39</w:t>
                  </w:r>
                </w:p>
              </w:tc>
              <w:tc>
                <w:tcPr/>
                <w:p>
                  <w:pPr>
                    <w:pStyle w:val="Compact"/>
                    <w:jc w:val="right"/>
                    <w:jc w:val="center"/>
                  </w:pPr>
                  <w:r>
                    <w:t xml:space="preserve">0.10</w:t>
                  </w:r>
                </w:p>
              </w:tc>
            </w:tr>
          </w:tbl>
          <w:p>
            <w:pPr>
              <w:jc w:val="center"/>
            </w:pPr>
            <w:pPr>
              <w:jc w:val="left"/>
              <w:spacing w:before="200"/>
              <w:pStyle w:val="ImageCaption"/>
            </w:pPr>
            <w:r>
              <w:t xml:space="preserve">Table S7</w:t>
            </w:r>
            <w:r>
              <w:rPr>
                <w:b/>
                <w:bCs/>
              </w:rPr>
              <w:t xml:space="preserve">.</w:t>
            </w:r>
            <w:r>
              <w:t xml:space="preserve"> </w:t>
            </w:r>
            <w:r>
              <w:t xml:space="preserve">Rest vs. movie FWHM comparison (paired t-tests) for each spectroscopy sequence. Seq = sequence; m. = mean; sd = standard deviation; t = t-value; p = p-value; CIlow = lower confidence interval; CIhigh = higher confidence interval.</w:t>
            </w:r>
          </w:p>
          <w:bookmarkEnd w:id="385"/>
        </w:tc>
      </w:tr>
    </w:tbl>
    <w:p>
      <w:pPr>
        <w:pStyle w:val="TextBody"/>
      </w:pPr>
      <w:r>
        <w:t xml:space="preserve">Rest vs movie FWHM comparisons (paired t-tests) are provided in</w:t>
      </w:r>
      <w:r>
        <w:t xml:space="preserve"> </w:t>
      </w:r>
      <w:hyperlink w:anchor="supptbl-CRSNR">
        <w:r>
          <w:rPr>
            <w:rStyle w:val="InternetLink"/>
          </w:rPr>
          <w:t xml:space="preserve">Table S8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6" w:name="supptbl-CRSNR"/>
          <w:tbl>
            <w:tblPr>
              <w:tblStyle w:val="Table"/>
              <w:tblW w:type="pct" w:w="5000"/>
              <w:tblLayout w:type="fixed"/>
              <w:tblLook w:firstRow="1" w:lastRow="0" w:firstColumn="0" w:lastColumn="0" w:noHBand="0" w:noVBand="0" w:val="0020"/>
            </w:tblPr>
            <w:tblGrid>
              <w:gridCol w:w="852"/>
              <w:gridCol w:w="974"/>
              <w:gridCol w:w="1096"/>
              <w:gridCol w:w="974"/>
              <w:gridCol w:w="974"/>
              <w:gridCol w:w="731"/>
              <w:gridCol w:w="609"/>
              <w:gridCol w:w="852"/>
              <w:gridCol w:w="852"/>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101.05</w:t>
                  </w:r>
                </w:p>
              </w:tc>
              <w:tc>
                <w:tcPr/>
                <w:p>
                  <w:pPr>
                    <w:pStyle w:val="Compact"/>
                    <w:jc w:val="right"/>
                    <w:jc w:val="center"/>
                  </w:pPr>
                  <w:r>
                    <w:t xml:space="preserve">98.75</w:t>
                  </w:r>
                </w:p>
              </w:tc>
              <w:tc>
                <w:tcPr/>
                <w:p>
                  <w:pPr>
                    <w:pStyle w:val="Compact"/>
                    <w:jc w:val="right"/>
                    <w:jc w:val="center"/>
                  </w:pPr>
                  <w:r>
                    <w:t xml:space="preserve">-2.30</w:t>
                  </w:r>
                </w:p>
              </w:tc>
              <w:tc>
                <w:tcPr/>
                <w:p>
                  <w:pPr>
                    <w:pStyle w:val="Compact"/>
                    <w:jc w:val="right"/>
                    <w:jc w:val="center"/>
                  </w:pPr>
                  <w:r>
                    <w:t xml:space="preserve">9.39</w:t>
                  </w:r>
                </w:p>
              </w:tc>
              <w:tc>
                <w:tcPr/>
                <w:p>
                  <w:pPr>
                    <w:pStyle w:val="Compact"/>
                    <w:jc w:val="right"/>
                    <w:jc w:val="center"/>
                  </w:pPr>
                  <w:r>
                    <w:t xml:space="preserve">-1.04</w:t>
                  </w:r>
                </w:p>
              </w:tc>
              <w:tc>
                <w:tcPr/>
                <w:p>
                  <w:pPr>
                    <w:pStyle w:val="Compact"/>
                    <w:jc w:val="right"/>
                    <w:jc w:val="center"/>
                  </w:pPr>
                  <w:r>
                    <w:t xml:space="preserve">0.31</w:t>
                  </w:r>
                </w:p>
              </w:tc>
              <w:tc>
                <w:tcPr/>
                <w:p>
                  <w:pPr>
                    <w:pStyle w:val="Compact"/>
                    <w:jc w:val="right"/>
                    <w:jc w:val="center"/>
                  </w:pPr>
                  <w:r>
                    <w:t xml:space="preserve">-6.97</w:t>
                  </w:r>
                </w:p>
              </w:tc>
              <w:tc>
                <w:tcPr/>
                <w:p>
                  <w:pPr>
                    <w:pStyle w:val="Compact"/>
                    <w:jc w:val="right"/>
                    <w:jc w:val="center"/>
                  </w:pPr>
                  <w:r>
                    <w:t xml:space="preserve">2.36</w:t>
                  </w:r>
                </w:p>
              </w:tc>
            </w:tr>
            <w:tr>
              <w:tc>
                <w:tcPr/>
                <w:p>
                  <w:pPr>
                    <w:pStyle w:val="Compact"/>
                    <w:jc w:val="left"/>
                    <w:jc w:val="center"/>
                  </w:pPr>
                  <w:r>
                    <w:t xml:space="preserve">sLASER</w:t>
                  </w:r>
                </w:p>
              </w:tc>
              <w:tc>
                <w:tcPr/>
                <w:p>
                  <w:pPr>
                    <w:pStyle w:val="Compact"/>
                    <w:jc w:val="right"/>
                    <w:jc w:val="center"/>
                  </w:pPr>
                  <w:r>
                    <w:t xml:space="preserve">147.61</w:t>
                  </w:r>
                </w:p>
              </w:tc>
              <w:tc>
                <w:tcPr/>
                <w:p>
                  <w:pPr>
                    <w:pStyle w:val="Compact"/>
                    <w:jc w:val="right"/>
                    <w:jc w:val="center"/>
                  </w:pPr>
                  <w:r>
                    <w:t xml:space="preserve">140.60</w:t>
                  </w:r>
                </w:p>
              </w:tc>
              <w:tc>
                <w:tcPr/>
                <w:p>
                  <w:pPr>
                    <w:pStyle w:val="Compact"/>
                    <w:jc w:val="right"/>
                    <w:jc w:val="center"/>
                  </w:pPr>
                  <w:r>
                    <w:t xml:space="preserve">-7.01</w:t>
                  </w:r>
                </w:p>
              </w:tc>
              <w:tc>
                <w:tcPr/>
                <w:p>
                  <w:pPr>
                    <w:pStyle w:val="Compact"/>
                    <w:jc w:val="right"/>
                    <w:jc w:val="center"/>
                  </w:pPr>
                  <w:r>
                    <w:t xml:space="preserve">22.84</w:t>
                  </w:r>
                </w:p>
              </w:tc>
              <w:tc>
                <w:tcPr/>
                <w:p>
                  <w:pPr>
                    <w:pStyle w:val="Compact"/>
                    <w:jc w:val="right"/>
                    <w:jc w:val="center"/>
                  </w:pPr>
                  <w:r>
                    <w:t xml:space="preserve">-1.30</w:t>
                  </w:r>
                </w:p>
              </w:tc>
              <w:tc>
                <w:tcPr/>
                <w:p>
                  <w:pPr>
                    <w:pStyle w:val="Compact"/>
                    <w:jc w:val="right"/>
                    <w:jc w:val="center"/>
                  </w:pPr>
                  <w:r>
                    <w:t xml:space="preserve">0.21</w:t>
                  </w:r>
                </w:p>
              </w:tc>
              <w:tc>
                <w:tcPr/>
                <w:p>
                  <w:pPr>
                    <w:pStyle w:val="Compact"/>
                    <w:jc w:val="right"/>
                    <w:jc w:val="center"/>
                  </w:pPr>
                  <w:r>
                    <w:t xml:space="preserve">-18.37</w:t>
                  </w:r>
                </w:p>
              </w:tc>
              <w:tc>
                <w:tcPr/>
                <w:p>
                  <w:pPr>
                    <w:pStyle w:val="Compact"/>
                    <w:jc w:val="right"/>
                    <w:jc w:val="center"/>
                  </w:pPr>
                  <w:r>
                    <w:t xml:space="preserve">4.34</w:t>
                  </w:r>
                </w:p>
              </w:tc>
            </w:tr>
          </w:tbl>
          <w:p>
            <w:pPr>
              <w:jc w:val="center"/>
            </w:pPr>
            <w:pPr>
              <w:jc w:val="left"/>
              <w:spacing w:before="200"/>
              <w:pStyle w:val="ImageCaption"/>
            </w:pPr>
            <w:r>
              <w:t xml:space="preserve">Table S8</w:t>
            </w:r>
            <w:r>
              <w:rPr>
                <w:b/>
                <w:bCs/>
              </w:rPr>
              <w:t xml:space="preserve">.</w:t>
            </w:r>
            <w:r>
              <w:t xml:space="preserve"> </w:t>
            </w:r>
            <w:r>
              <w:t xml:space="preserve">Rest vs. movie CR-SNR comparison (paired t-tests) for each spectroscopy sequence. Seq = sequence; m. = mean; sd = standard deviation; t = t-value; p = p-value; CIlow = lower confidence interval; CIhigh = higher confidence interval.</w:t>
            </w:r>
          </w:p>
          <w:bookmarkEnd w:id="386"/>
        </w:tc>
      </w:tr>
    </w:tbl>
    <w:p>
      <w:pPr>
        <w:pStyle w:val="TextBody"/>
      </w:pPr>
      <w:r>
        <w:t xml:space="preserve">Subject-level FWHM and CR-SNR values for each sequence (Rest, Movie, and Movie–Rest difference) are provided in</w:t>
      </w:r>
      <w:r>
        <w:t xml:space="preserve"> </w:t>
      </w:r>
      <w:hyperlink w:anchor="supptbl-FWHMCRSNR">
        <w:r>
          <w:rPr>
            <w:rStyle w:val="InternetLink"/>
          </w:rPr>
          <w:t xml:space="preserve">Table S9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7" w:name="supptbl-FWHMCRSNR"/>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jc w:val="center"/>
                  </w:pPr>
                  <w:r>
                    <w:t xml:space="preserve">Sub</w:t>
                  </w:r>
                </w:p>
              </w:tc>
              <w:tc>
                <w:tcPr/>
                <w:p>
                  <w:pPr>
                    <w:pStyle w:val="Compact"/>
                    <w:jc w:val="left"/>
                    <w:jc w:val="center"/>
                  </w:pPr>
                  <w:r>
                    <w:t xml:space="preserve">Seq</w:t>
                  </w:r>
                </w:p>
              </w:tc>
              <w:tc>
                <w:tcPr/>
                <w:p>
                  <w:pPr>
                    <w:pStyle w:val="Compact"/>
                    <w:jc w:val="right"/>
                    <w:jc w:val="center"/>
                  </w:pPr>
                  <w:r>
                    <w:t xml:space="preserve">R FWHM</w:t>
                  </w:r>
                </w:p>
              </w:tc>
              <w:tc>
                <w:tcPr/>
                <w:p>
                  <w:pPr>
                    <w:pStyle w:val="Compact"/>
                    <w:jc w:val="right"/>
                    <w:jc w:val="center"/>
                  </w:pPr>
                  <w:r>
                    <w:t xml:space="preserve">M FWHM</w:t>
                  </w:r>
                </w:p>
              </w:tc>
              <w:tc>
                <w:tcPr/>
                <w:p>
                  <w:pPr>
                    <w:pStyle w:val="Compact"/>
                    <w:jc w:val="right"/>
                    <w:jc w:val="center"/>
                  </w:pPr>
                  <w:r>
                    <w:t xml:space="preserve">Diff FWHM</w:t>
                  </w:r>
                </w:p>
              </w:tc>
              <w:tc>
                <w:tcPr/>
                <w:p>
                  <w:pPr>
                    <w:pStyle w:val="Compact"/>
                    <w:jc w:val="right"/>
                    <w:jc w:val="center"/>
                  </w:pPr>
                  <w:r>
                    <w:t xml:space="preserve">R SNR</w:t>
                  </w:r>
                </w:p>
              </w:tc>
              <w:tc>
                <w:tcPr/>
                <w:p>
                  <w:pPr>
                    <w:pStyle w:val="Compact"/>
                    <w:jc w:val="right"/>
                    <w:jc w:val="center"/>
                  </w:pPr>
                  <w:r>
                    <w:t xml:space="preserve">M SNR</w:t>
                  </w:r>
                </w:p>
              </w:tc>
              <w:tc>
                <w:tcPr/>
                <w:p>
                  <w:pPr>
                    <w:pStyle w:val="Compact"/>
                    <w:jc w:val="right"/>
                    <w:jc w:val="center"/>
                  </w:pPr>
                  <w:r>
                    <w:t xml:space="preserve">Diff SNR</w:t>
                  </w:r>
                </w:p>
              </w:tc>
            </w:tr>
            <w:tr>
              <w:tc>
                <w:tcPr/>
                <w:p>
                  <w:pPr>
                    <w:pStyle w:val="Compact"/>
                    <w:jc w:val="right"/>
                    <w:jc w:val="center"/>
                  </w:pPr>
                  <w:r>
                    <w:t xml:space="preserve">1</w:t>
                  </w:r>
                </w:p>
              </w:tc>
              <w:tc>
                <w:tcPr/>
                <w:p>
                  <w:pPr>
                    <w:pStyle w:val="Compact"/>
                    <w:jc w:val="left"/>
                    <w:jc w:val="center"/>
                  </w:pPr>
                  <w:r>
                    <w:t xml:space="preserve">sLASER</w:t>
                  </w:r>
                </w:p>
              </w:tc>
              <w:tc>
                <w:tcPr/>
                <w:p>
                  <w:pPr>
                    <w:pStyle w:val="Compact"/>
                    <w:jc w:val="right"/>
                    <w:jc w:val="center"/>
                  </w:pPr>
                  <w:r>
                    <w:t xml:space="preserve">8.36</w:t>
                  </w:r>
                </w:p>
              </w:tc>
              <w:tc>
                <w:tcPr/>
                <w:p>
                  <w:pPr>
                    <w:pStyle w:val="Compact"/>
                    <w:jc w:val="right"/>
                    <w:jc w:val="center"/>
                  </w:pPr>
                  <w:r>
                    <w:t xml:space="preserve">8.04</w:t>
                  </w:r>
                </w:p>
              </w:tc>
              <w:tc>
                <w:tcPr/>
                <w:p>
                  <w:pPr>
                    <w:pStyle w:val="Compact"/>
                    <w:jc w:val="right"/>
                    <w:jc w:val="center"/>
                  </w:pPr>
                  <w:r>
                    <w:t xml:space="preserve">-0.33</w:t>
                  </w:r>
                </w:p>
              </w:tc>
              <w:tc>
                <w:tcPr/>
                <w:p>
                  <w:pPr>
                    <w:pStyle w:val="Compact"/>
                    <w:jc w:val="right"/>
                    <w:jc w:val="center"/>
                  </w:pPr>
                  <w:r>
                    <w:t xml:space="preserve">135.58</w:t>
                  </w:r>
                </w:p>
              </w:tc>
              <w:tc>
                <w:tcPr/>
                <w:p>
                  <w:pPr>
                    <w:pStyle w:val="Compact"/>
                    <w:jc w:val="right"/>
                    <w:jc w:val="center"/>
                  </w:pPr>
                  <w:r>
                    <w:t xml:space="preserve">125.26</w:t>
                  </w:r>
                </w:p>
              </w:tc>
              <w:tc>
                <w:tcPr/>
                <w:p>
                  <w:pPr>
                    <w:pStyle w:val="Compact"/>
                    <w:jc w:val="right"/>
                    <w:jc w:val="center"/>
                  </w:pPr>
                  <w:r>
                    <w:t xml:space="preserve">-10.32</w:t>
                  </w:r>
                </w:p>
              </w:tc>
            </w:tr>
            <w:tr>
              <w:tc>
                <w:tcPr/>
                <w:p>
                  <w:pPr>
                    <w:pStyle w:val="Compact"/>
                    <w:jc w:val="right"/>
                    <w:jc w:val="center"/>
                  </w:pPr>
                  <w:r>
                    <w:t xml:space="preserve">1</w:t>
                  </w:r>
                </w:p>
              </w:tc>
              <w:tc>
                <w:tcPr/>
                <w:p>
                  <w:pPr>
                    <w:pStyle w:val="Compact"/>
                    <w:jc w:val="left"/>
                    <w:jc w:val="center"/>
                  </w:pPr>
                  <w:r>
                    <w:t xml:space="preserve">MEGA</w:t>
                  </w:r>
                </w:p>
              </w:tc>
              <w:tc>
                <w:tcPr/>
                <w:p>
                  <w:pPr>
                    <w:pStyle w:val="Compact"/>
                    <w:jc w:val="right"/>
                    <w:jc w:val="center"/>
                  </w:pPr>
                  <w:r>
                    <w:t xml:space="preserve">7.38</w:t>
                  </w:r>
                </w:p>
              </w:tc>
              <w:tc>
                <w:tcPr/>
                <w:p>
                  <w:pPr>
                    <w:pStyle w:val="Compact"/>
                    <w:jc w:val="right"/>
                    <w:jc w:val="center"/>
                  </w:pPr>
                  <w:r>
                    <w:t xml:space="preserve">7.41</w:t>
                  </w:r>
                </w:p>
              </w:tc>
              <w:tc>
                <w:tcPr/>
                <w:p>
                  <w:pPr>
                    <w:pStyle w:val="Compact"/>
                    <w:jc w:val="right"/>
                    <w:jc w:val="center"/>
                  </w:pPr>
                  <w:r>
                    <w:t xml:space="preserve">0.03</w:t>
                  </w:r>
                </w:p>
              </w:tc>
              <w:tc>
                <w:tcPr/>
                <w:p>
                  <w:pPr>
                    <w:pStyle w:val="Compact"/>
                    <w:jc w:val="right"/>
                    <w:jc w:val="center"/>
                  </w:pPr>
                  <w:r>
                    <w:t xml:space="preserve">91.29</w:t>
                  </w:r>
                </w:p>
              </w:tc>
              <w:tc>
                <w:tcPr/>
                <w:p>
                  <w:pPr>
                    <w:pStyle w:val="Compact"/>
                    <w:jc w:val="right"/>
                    <w:jc w:val="center"/>
                  </w:pPr>
                  <w:r>
                    <w:t xml:space="preserve">92.46</w:t>
                  </w:r>
                </w:p>
              </w:tc>
              <w:tc>
                <w:tcPr/>
                <w:p>
                  <w:pPr>
                    <w:pStyle w:val="Compact"/>
                    <w:jc w:val="right"/>
                    <w:jc w:val="center"/>
                  </w:pPr>
                  <w:r>
                    <w:t xml:space="preserve">1.17</w:t>
                  </w:r>
                </w:p>
              </w:tc>
            </w:tr>
            <w:tr>
              <w:tc>
                <w:tcPr/>
                <w:p>
                  <w:pPr>
                    <w:pStyle w:val="Compact"/>
                    <w:jc w:val="right"/>
                    <w:jc w:val="center"/>
                  </w:pPr>
                  <w:r>
                    <w:t xml:space="preserve">2</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7.72</w:t>
                  </w:r>
                </w:p>
              </w:tc>
              <w:tc>
                <w:tcPr/>
                <w:p>
                  <w:pPr>
                    <w:pStyle w:val="Compact"/>
                    <w:jc w:val="right"/>
                    <w:jc w:val="center"/>
                  </w:pPr>
                  <w:r>
                    <w:t xml:space="preserve">-0.85</w:t>
                  </w:r>
                </w:p>
              </w:tc>
              <w:tc>
                <w:tcPr/>
                <w:p>
                  <w:pPr>
                    <w:pStyle w:val="Compact"/>
                    <w:jc w:val="right"/>
                    <w:jc w:val="center"/>
                  </w:pPr>
                  <w:r>
                    <w:t xml:space="preserve">128.76</w:t>
                  </w:r>
                </w:p>
              </w:tc>
              <w:tc>
                <w:tcPr/>
                <w:p>
                  <w:pPr>
                    <w:pStyle w:val="Compact"/>
                    <w:jc w:val="right"/>
                    <w:jc w:val="center"/>
                  </w:pPr>
                  <w:r>
                    <w:t xml:space="preserve">147.92</w:t>
                  </w:r>
                </w:p>
              </w:tc>
              <w:tc>
                <w:tcPr/>
                <w:p>
                  <w:pPr>
                    <w:pStyle w:val="Compact"/>
                    <w:jc w:val="right"/>
                    <w:jc w:val="center"/>
                  </w:pPr>
                  <w:r>
                    <w:t xml:space="preserve">19.16</w:t>
                  </w:r>
                </w:p>
              </w:tc>
            </w:tr>
            <w:tr>
              <w:tc>
                <w:tcPr/>
                <w:p>
                  <w:pPr>
                    <w:pStyle w:val="Compact"/>
                    <w:jc w:val="right"/>
                    <w:jc w:val="center"/>
                  </w:pPr>
                  <w:r>
                    <w:t xml:space="preserve">2</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7.15</w:t>
                  </w:r>
                </w:p>
              </w:tc>
              <w:tc>
                <w:tcPr/>
                <w:p>
                  <w:pPr>
                    <w:pStyle w:val="Compact"/>
                    <w:jc w:val="right"/>
                    <w:jc w:val="center"/>
                  </w:pPr>
                  <w:r>
                    <w:t xml:space="preserve">-0.58</w:t>
                  </w:r>
                </w:p>
              </w:tc>
              <w:tc>
                <w:tcPr/>
                <w:p>
                  <w:pPr>
                    <w:pStyle w:val="Compact"/>
                    <w:jc w:val="right"/>
                    <w:jc w:val="center"/>
                  </w:pPr>
                  <w:r>
                    <w:t xml:space="preserve">82.16</w:t>
                  </w:r>
                </w:p>
              </w:tc>
              <w:tc>
                <w:tcPr/>
                <w:p>
                  <w:pPr>
                    <w:pStyle w:val="Compact"/>
                    <w:jc w:val="right"/>
                    <w:jc w:val="center"/>
                  </w:pPr>
                  <w:r>
                    <w:t xml:space="preserve">84.05</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sLASER</w:t>
                  </w:r>
                </w:p>
              </w:tc>
              <w:tc>
                <w:tcPr/>
                <w:p>
                  <w:pPr>
                    <w:pStyle w:val="Compact"/>
                    <w:jc w:val="right"/>
                    <w:jc w:val="center"/>
                  </w:pPr>
                  <w:r>
                    <w:t xml:space="preserve">8.61</w:t>
                  </w:r>
                </w:p>
              </w:tc>
              <w:tc>
                <w:tcPr/>
                <w:p>
                  <w:pPr>
                    <w:pStyle w:val="Compact"/>
                    <w:jc w:val="right"/>
                    <w:jc w:val="center"/>
                  </w:pPr>
                  <w:r>
                    <w:t xml:space="preserve">8.93</w:t>
                  </w:r>
                </w:p>
              </w:tc>
              <w:tc>
                <w:tcPr/>
                <w:p>
                  <w:pPr>
                    <w:pStyle w:val="Compact"/>
                    <w:jc w:val="right"/>
                    <w:jc w:val="center"/>
                  </w:pPr>
                  <w:r>
                    <w:t xml:space="preserve">0.31</w:t>
                  </w:r>
                </w:p>
              </w:tc>
              <w:tc>
                <w:tcPr/>
                <w:p>
                  <w:pPr>
                    <w:pStyle w:val="Compact"/>
                    <w:jc w:val="right"/>
                    <w:jc w:val="center"/>
                  </w:pPr>
                  <w:r>
                    <w:t xml:space="preserve">162.00</w:t>
                  </w:r>
                </w:p>
              </w:tc>
              <w:tc>
                <w:tcPr/>
                <w:p>
                  <w:pPr>
                    <w:pStyle w:val="Compact"/>
                    <w:jc w:val="right"/>
                    <w:jc w:val="center"/>
                  </w:pPr>
                  <w:r>
                    <w:t xml:space="preserve">132.33</w:t>
                  </w:r>
                </w:p>
              </w:tc>
              <w:tc>
                <w:tcPr/>
                <w:p>
                  <w:pPr>
                    <w:pStyle w:val="Compact"/>
                    <w:jc w:val="right"/>
                    <w:jc w:val="center"/>
                  </w:pPr>
                  <w:r>
                    <w:t xml:space="preserve">-29.67</w:t>
                  </w:r>
                </w:p>
              </w:tc>
            </w:tr>
            <w:tr>
              <w:tc>
                <w:tcPr/>
                <w:p>
                  <w:pPr>
                    <w:pStyle w:val="Compact"/>
                    <w:jc w:val="right"/>
                    <w:jc w:val="center"/>
                  </w:pPr>
                  <w:r>
                    <w:t xml:space="preserve">4</w:t>
                  </w:r>
                </w:p>
              </w:tc>
              <w:tc>
                <w:tcPr/>
                <w:p>
                  <w:pPr>
                    <w:pStyle w:val="Compact"/>
                    <w:jc w:val="left"/>
                    <w:jc w:val="center"/>
                  </w:pPr>
                  <w:r>
                    <w:t xml:space="preserve">MEGA</w:t>
                  </w:r>
                </w:p>
              </w:tc>
              <w:tc>
                <w:tcPr/>
                <w:p>
                  <w:pPr>
                    <w:pStyle w:val="Compact"/>
                    <w:jc w:val="right"/>
                    <w:jc w:val="center"/>
                  </w:pPr>
                  <w:r>
                    <w:t xml:space="preserve">9.23</w:t>
                  </w:r>
                </w:p>
              </w:tc>
              <w:tc>
                <w:tcPr/>
                <w:p>
                  <w:pPr>
                    <w:pStyle w:val="Compact"/>
                    <w:jc w:val="right"/>
                    <w:jc w:val="center"/>
                  </w:pPr>
                  <w:r>
                    <w:t xml:space="preserve">8.56</w:t>
                  </w:r>
                </w:p>
              </w:tc>
              <w:tc>
                <w:tcPr/>
                <w:p>
                  <w:pPr>
                    <w:pStyle w:val="Compact"/>
                    <w:jc w:val="right"/>
                    <w:jc w:val="center"/>
                  </w:pPr>
                  <w:r>
                    <w:t xml:space="preserve">-0.66</w:t>
                  </w:r>
                </w:p>
              </w:tc>
              <w:tc>
                <w:tcPr/>
                <w:p>
                  <w:pPr>
                    <w:pStyle w:val="Compact"/>
                    <w:jc w:val="right"/>
                    <w:jc w:val="center"/>
                  </w:pPr>
                  <w:r>
                    <w:t xml:space="preserve">98.51</w:t>
                  </w:r>
                </w:p>
              </w:tc>
              <w:tc>
                <w:tcPr/>
                <w:p>
                  <w:pPr>
                    <w:pStyle w:val="Compact"/>
                    <w:jc w:val="right"/>
                    <w:jc w:val="center"/>
                  </w:pPr>
                  <w:r>
                    <w:t xml:space="preserve">103.83</w:t>
                  </w:r>
                </w:p>
              </w:tc>
              <w:tc>
                <w:tcPr/>
                <w:p>
                  <w:pPr>
                    <w:pStyle w:val="Compact"/>
                    <w:jc w:val="right"/>
                    <w:jc w:val="center"/>
                  </w:pPr>
                  <w:r>
                    <w:t xml:space="preserve">5.31</w:t>
                  </w:r>
                </w:p>
              </w:tc>
            </w:tr>
            <w:tr>
              <w:tc>
                <w:tcPr/>
                <w:p>
                  <w:pPr>
                    <w:pStyle w:val="Compact"/>
                    <w:jc w:val="right"/>
                    <w:jc w:val="center"/>
                  </w:pPr>
                  <w:r>
                    <w:t xml:space="preserve">6</w:t>
                  </w:r>
                </w:p>
              </w:tc>
              <w:tc>
                <w:tcPr/>
                <w:p>
                  <w:pPr>
                    <w:pStyle w:val="Compact"/>
                    <w:jc w:val="left"/>
                    <w:jc w:val="center"/>
                  </w:pPr>
                  <w:r>
                    <w:t xml:space="preserve">sLASER</w:t>
                  </w:r>
                </w:p>
              </w:tc>
              <w:tc>
                <w:tcPr/>
                <w:p>
                  <w:pPr>
                    <w:pStyle w:val="Compact"/>
                    <w:jc w:val="right"/>
                    <w:jc w:val="center"/>
                  </w:pPr>
                  <w:r>
                    <w:t xml:space="preserve">8.01</w:t>
                  </w:r>
                </w:p>
              </w:tc>
              <w:tc>
                <w:tcPr/>
                <w:p>
                  <w:pPr>
                    <w:pStyle w:val="Compact"/>
                    <w:jc w:val="right"/>
                    <w:jc w:val="center"/>
                  </w:pPr>
                  <w:r>
                    <w:t xml:space="preserve">7.94</w:t>
                  </w:r>
                </w:p>
              </w:tc>
              <w:tc>
                <w:tcPr/>
                <w:p>
                  <w:pPr>
                    <w:pStyle w:val="Compact"/>
                    <w:jc w:val="right"/>
                    <w:jc w:val="center"/>
                  </w:pPr>
                  <w:r>
                    <w:t xml:space="preserve">-0.06</w:t>
                  </w:r>
                </w:p>
              </w:tc>
              <w:tc>
                <w:tcPr/>
                <w:p>
                  <w:pPr>
                    <w:pStyle w:val="Compact"/>
                    <w:jc w:val="right"/>
                    <w:jc w:val="center"/>
                  </w:pPr>
                  <w:r>
                    <w:t xml:space="preserve">130.77</w:t>
                  </w:r>
                </w:p>
              </w:tc>
              <w:tc>
                <w:tcPr/>
                <w:p>
                  <w:pPr>
                    <w:pStyle w:val="Compact"/>
                    <w:jc w:val="right"/>
                    <w:jc w:val="center"/>
                  </w:pPr>
                  <w:r>
                    <w:t xml:space="preserve">152.24</w:t>
                  </w:r>
                </w:p>
              </w:tc>
              <w:tc>
                <w:tcPr/>
                <w:p>
                  <w:pPr>
                    <w:pStyle w:val="Compact"/>
                    <w:jc w:val="right"/>
                    <w:jc w:val="center"/>
                  </w:pPr>
                  <w:r>
                    <w:t xml:space="preserve">21.47</w:t>
                  </w:r>
                </w:p>
              </w:tc>
            </w:tr>
            <w:tr>
              <w:tc>
                <w:tcPr/>
                <w:p>
                  <w:pPr>
                    <w:pStyle w:val="Compact"/>
                    <w:jc w:val="right"/>
                    <w:jc w:val="center"/>
                  </w:pPr>
                  <w:r>
                    <w:t xml:space="preserve">6</w:t>
                  </w:r>
                </w:p>
              </w:tc>
              <w:tc>
                <w:tcPr/>
                <w:p>
                  <w:pPr>
                    <w:pStyle w:val="Compact"/>
                    <w:jc w:val="left"/>
                    <w:jc w:val="center"/>
                  </w:pPr>
                  <w:r>
                    <w:t xml:space="preserve">MEGA</w:t>
                  </w:r>
                </w:p>
              </w:tc>
              <w:tc>
                <w:tcPr/>
                <w:p>
                  <w:pPr>
                    <w:pStyle w:val="Compact"/>
                    <w:jc w:val="right"/>
                    <w:jc w:val="center"/>
                  </w:pPr>
                  <w:r>
                    <w:t xml:space="preserve">7.35</w:t>
                  </w:r>
                </w:p>
              </w:tc>
              <w:tc>
                <w:tcPr/>
                <w:p>
                  <w:pPr>
                    <w:pStyle w:val="Compact"/>
                    <w:jc w:val="right"/>
                    <w:jc w:val="center"/>
                  </w:pPr>
                  <w:r>
                    <w:t xml:space="preserve">7.58</w:t>
                  </w:r>
                </w:p>
              </w:tc>
              <w:tc>
                <w:tcPr/>
                <w:p>
                  <w:pPr>
                    <w:pStyle w:val="Compact"/>
                    <w:jc w:val="right"/>
                    <w:jc w:val="center"/>
                  </w:pPr>
                  <w:r>
                    <w:t xml:space="preserve">0.23</w:t>
                  </w:r>
                </w:p>
              </w:tc>
              <w:tc>
                <w:tcPr/>
                <w:p>
                  <w:pPr>
                    <w:pStyle w:val="Compact"/>
                    <w:jc w:val="right"/>
                    <w:jc w:val="center"/>
                  </w:pPr>
                  <w:r>
                    <w:t xml:space="preserve">128.02</w:t>
                  </w:r>
                </w:p>
              </w:tc>
              <w:tc>
                <w:tcPr/>
                <w:p>
                  <w:pPr>
                    <w:pStyle w:val="Compact"/>
                    <w:jc w:val="right"/>
                    <w:jc w:val="center"/>
                  </w:pPr>
                  <w:r>
                    <w:t xml:space="preserve">122.19</w:t>
                  </w:r>
                </w:p>
              </w:tc>
              <w:tc>
                <w:tcPr/>
                <w:p>
                  <w:pPr>
                    <w:pStyle w:val="Compact"/>
                    <w:jc w:val="right"/>
                    <w:jc w:val="center"/>
                  </w:pPr>
                  <w:r>
                    <w:t xml:space="preserve">-5.83</w:t>
                  </w:r>
                </w:p>
              </w:tc>
            </w:tr>
            <w:tr>
              <w:tc>
                <w:tcPr/>
                <w:p>
                  <w:pPr>
                    <w:pStyle w:val="Compact"/>
                    <w:jc w:val="right"/>
                    <w:jc w:val="center"/>
                  </w:pPr>
                  <w:r>
                    <w:t xml:space="preserve">7</w:t>
                  </w:r>
                </w:p>
              </w:tc>
              <w:tc>
                <w:tcPr/>
                <w:p>
                  <w:pPr>
                    <w:pStyle w:val="Compact"/>
                    <w:jc w:val="left"/>
                    <w:jc w:val="center"/>
                  </w:pPr>
                  <w:r>
                    <w:t xml:space="preserve">sLASER</w:t>
                  </w:r>
                </w:p>
              </w:tc>
              <w:tc>
                <w:tcPr/>
                <w:p>
                  <w:pPr>
                    <w:pStyle w:val="Compact"/>
                    <w:jc w:val="right"/>
                    <w:jc w:val="center"/>
                  </w:pPr>
                  <w:r>
                    <w:t xml:space="preserve">9.08</w:t>
                  </w:r>
                </w:p>
              </w:tc>
              <w:tc>
                <w:tcPr/>
                <w:p>
                  <w:pPr>
                    <w:pStyle w:val="Compact"/>
                    <w:jc w:val="right"/>
                    <w:jc w:val="center"/>
                  </w:pPr>
                  <w:r>
                    <w:t xml:space="preserve">9.10</w:t>
                  </w:r>
                </w:p>
              </w:tc>
              <w:tc>
                <w:tcPr/>
                <w:p>
                  <w:pPr>
                    <w:pStyle w:val="Compact"/>
                    <w:jc w:val="right"/>
                    <w:jc w:val="center"/>
                  </w:pPr>
                  <w:r>
                    <w:t xml:space="preserve">0.02</w:t>
                  </w:r>
                </w:p>
              </w:tc>
              <w:tc>
                <w:tcPr/>
                <w:p>
                  <w:pPr>
                    <w:pStyle w:val="Compact"/>
                    <w:jc w:val="right"/>
                    <w:jc w:val="center"/>
                  </w:pPr>
                  <w:r>
                    <w:t xml:space="preserve">112.42</w:t>
                  </w:r>
                </w:p>
              </w:tc>
              <w:tc>
                <w:tcPr/>
                <w:p>
                  <w:pPr>
                    <w:pStyle w:val="Compact"/>
                    <w:jc w:val="right"/>
                    <w:jc w:val="center"/>
                  </w:pPr>
                  <w:r>
                    <w:t xml:space="preserve">99.45</w:t>
                  </w:r>
                </w:p>
              </w:tc>
              <w:tc>
                <w:tcPr/>
                <w:p>
                  <w:pPr>
                    <w:pStyle w:val="Compact"/>
                    <w:jc w:val="right"/>
                    <w:jc w:val="center"/>
                  </w:pPr>
                  <w:r>
                    <w:t xml:space="preserve">-12.97</w:t>
                  </w:r>
                </w:p>
              </w:tc>
            </w:tr>
            <w:tr>
              <w:tc>
                <w:tcPr/>
                <w:p>
                  <w:pPr>
                    <w:pStyle w:val="Compact"/>
                    <w:jc w:val="right"/>
                    <w:jc w:val="center"/>
                  </w:pPr>
                  <w:r>
                    <w:t xml:space="preserve">7</w:t>
                  </w:r>
                </w:p>
              </w:tc>
              <w:tc>
                <w:tcPr/>
                <w:p>
                  <w:pPr>
                    <w:pStyle w:val="Compact"/>
                    <w:jc w:val="left"/>
                    <w:jc w:val="center"/>
                  </w:pPr>
                  <w:r>
                    <w:t xml:space="preserve">MEGA</w:t>
                  </w:r>
                </w:p>
              </w:tc>
              <w:tc>
                <w:tcPr/>
                <w:p>
                  <w:pPr>
                    <w:pStyle w:val="Compact"/>
                    <w:jc w:val="right"/>
                    <w:jc w:val="center"/>
                  </w:pPr>
                  <w:r>
                    <w:t xml:space="preserve">9.17</w:t>
                  </w:r>
                </w:p>
              </w:tc>
              <w:tc>
                <w:tcPr/>
                <w:p>
                  <w:pPr>
                    <w:pStyle w:val="Compact"/>
                    <w:jc w:val="right"/>
                    <w:jc w:val="center"/>
                  </w:pPr>
                  <w:r>
                    <w:t xml:space="preserve">8.95</w:t>
                  </w:r>
                </w:p>
              </w:tc>
              <w:tc>
                <w:tcPr/>
                <w:p>
                  <w:pPr>
                    <w:pStyle w:val="Compact"/>
                    <w:jc w:val="right"/>
                    <w:jc w:val="center"/>
                  </w:pPr>
                  <w:r>
                    <w:t xml:space="preserve">-0.22</w:t>
                  </w:r>
                </w:p>
              </w:tc>
              <w:tc>
                <w:tcPr/>
                <w:p>
                  <w:pPr>
                    <w:pStyle w:val="Compact"/>
                    <w:jc w:val="right"/>
                    <w:jc w:val="center"/>
                  </w:pPr>
                  <w:r>
                    <w:t xml:space="preserve">75.46</w:t>
                  </w:r>
                </w:p>
              </w:tc>
              <w:tc>
                <w:tcPr/>
                <w:p>
                  <w:pPr>
                    <w:pStyle w:val="Compact"/>
                    <w:jc w:val="right"/>
                    <w:jc w:val="center"/>
                  </w:pPr>
                  <w:r>
                    <w:t xml:space="preserve">84.31</w:t>
                  </w:r>
                </w:p>
              </w:tc>
              <w:tc>
                <w:tcPr/>
                <w:p>
                  <w:pPr>
                    <w:pStyle w:val="Compact"/>
                    <w:jc w:val="right"/>
                    <w:jc w:val="center"/>
                  </w:pPr>
                  <w:r>
                    <w:t xml:space="preserve">8.85</w:t>
                  </w:r>
                </w:p>
              </w:tc>
            </w:tr>
            <w:tr>
              <w:tc>
                <w:tcPr/>
                <w:p>
                  <w:pPr>
                    <w:pStyle w:val="Compact"/>
                    <w:jc w:val="right"/>
                    <w:jc w:val="center"/>
                  </w:pPr>
                  <w:r>
                    <w:t xml:space="preserve">9</w:t>
                  </w:r>
                </w:p>
              </w:tc>
              <w:tc>
                <w:tcPr/>
                <w:p>
                  <w:pPr>
                    <w:pStyle w:val="Compact"/>
                    <w:jc w:val="left"/>
                    <w:jc w:val="center"/>
                  </w:pPr>
                  <w:r>
                    <w:t xml:space="preserve">sLASER</w:t>
                  </w:r>
                </w:p>
              </w:tc>
              <w:tc>
                <w:tcPr/>
                <w:p>
                  <w:pPr>
                    <w:pStyle w:val="Compact"/>
                    <w:jc w:val="right"/>
                    <w:jc w:val="center"/>
                  </w:pPr>
                  <w:r>
                    <w:t xml:space="preserve">8.27</w:t>
                  </w:r>
                </w:p>
              </w:tc>
              <w:tc>
                <w:tcPr/>
                <w:p>
                  <w:pPr>
                    <w:pStyle w:val="Compact"/>
                    <w:jc w:val="right"/>
                    <w:jc w:val="center"/>
                  </w:pPr>
                  <w:r>
                    <w:t xml:space="preserve">8.53</w:t>
                  </w:r>
                </w:p>
              </w:tc>
              <w:tc>
                <w:tcPr/>
                <w:p>
                  <w:pPr>
                    <w:pStyle w:val="Compact"/>
                    <w:jc w:val="right"/>
                    <w:jc w:val="center"/>
                  </w:pPr>
                  <w:r>
                    <w:t xml:space="preserve">0.26</w:t>
                  </w:r>
                </w:p>
              </w:tc>
              <w:tc>
                <w:tcPr/>
                <w:p>
                  <w:pPr>
                    <w:pStyle w:val="Compact"/>
                    <w:jc w:val="right"/>
                    <w:jc w:val="center"/>
                  </w:pPr>
                  <w:r>
                    <w:t xml:space="preserve">172.88</w:t>
                  </w:r>
                </w:p>
              </w:tc>
              <w:tc>
                <w:tcPr/>
                <w:p>
                  <w:pPr>
                    <w:pStyle w:val="Compact"/>
                    <w:jc w:val="right"/>
                    <w:jc w:val="center"/>
                  </w:pPr>
                  <w:r>
                    <w:t xml:space="preserve">161.56</w:t>
                  </w:r>
                </w:p>
              </w:tc>
              <w:tc>
                <w:tcPr/>
                <w:p>
                  <w:pPr>
                    <w:pStyle w:val="Compact"/>
                    <w:jc w:val="right"/>
                    <w:jc w:val="center"/>
                  </w:pPr>
                  <w:r>
                    <w:t xml:space="preserve">-11.32</w:t>
                  </w:r>
                </w:p>
              </w:tc>
            </w:tr>
            <w:tr>
              <w:tc>
                <w:tcPr/>
                <w:p>
                  <w:pPr>
                    <w:pStyle w:val="Compact"/>
                    <w:jc w:val="right"/>
                    <w:jc w:val="center"/>
                  </w:pPr>
                  <w:r>
                    <w:t xml:space="preserve">9</w:t>
                  </w:r>
                </w:p>
              </w:tc>
              <w:tc>
                <w:tcPr/>
                <w:p>
                  <w:pPr>
                    <w:pStyle w:val="Compact"/>
                    <w:jc w:val="left"/>
                    <w:jc w:val="center"/>
                  </w:pPr>
                  <w:r>
                    <w:t xml:space="preserve">MEGA</w:t>
                  </w:r>
                </w:p>
              </w:tc>
              <w:tc>
                <w:tcPr/>
                <w:p>
                  <w:pPr>
                    <w:pStyle w:val="Compact"/>
                    <w:jc w:val="right"/>
                    <w:jc w:val="center"/>
                  </w:pPr>
                  <w:r>
                    <w:t xml:space="preserve">8.02</w:t>
                  </w:r>
                </w:p>
              </w:tc>
              <w:tc>
                <w:tcPr/>
                <w:p>
                  <w:pPr>
                    <w:pStyle w:val="Compact"/>
                    <w:jc w:val="right"/>
                    <w:jc w:val="center"/>
                  </w:pPr>
                  <w:r>
                    <w:t xml:space="preserve">8.51</w:t>
                  </w:r>
                </w:p>
              </w:tc>
              <w:tc>
                <w:tcPr/>
                <w:p>
                  <w:pPr>
                    <w:pStyle w:val="Compact"/>
                    <w:jc w:val="right"/>
                    <w:jc w:val="center"/>
                  </w:pPr>
                  <w:r>
                    <w:t xml:space="preserve">0.49</w:t>
                  </w:r>
                </w:p>
              </w:tc>
              <w:tc>
                <w:tcPr/>
                <w:p>
                  <w:pPr>
                    <w:pStyle w:val="Compact"/>
                    <w:jc w:val="right"/>
                    <w:jc w:val="center"/>
                  </w:pPr>
                  <w:r>
                    <w:t xml:space="preserve">115.78</w:t>
                  </w:r>
                </w:p>
              </w:tc>
              <w:tc>
                <w:tcPr/>
                <w:p>
                  <w:pPr>
                    <w:pStyle w:val="Compact"/>
                    <w:jc w:val="right"/>
                    <w:jc w:val="center"/>
                  </w:pPr>
                  <w:r>
                    <w:t xml:space="preserve">108.07</w:t>
                  </w:r>
                </w:p>
              </w:tc>
              <w:tc>
                <w:tcPr/>
                <w:p>
                  <w:pPr>
                    <w:pStyle w:val="Compact"/>
                    <w:jc w:val="right"/>
                    <w:jc w:val="center"/>
                  </w:pPr>
                  <w:r>
                    <w:t xml:space="preserve">-7.71</w:t>
                  </w:r>
                </w:p>
              </w:tc>
            </w:tr>
            <w:tr>
              <w:tc>
                <w:tcPr/>
                <w:p>
                  <w:pPr>
                    <w:pStyle w:val="Compact"/>
                    <w:jc w:val="right"/>
                    <w:jc w:val="center"/>
                  </w:pPr>
                  <w:r>
                    <w:t xml:space="preserve">10</w:t>
                  </w:r>
                </w:p>
              </w:tc>
              <w:tc>
                <w:tcPr/>
                <w:p>
                  <w:pPr>
                    <w:pStyle w:val="Compact"/>
                    <w:jc w:val="left"/>
                    <w:jc w:val="center"/>
                  </w:pPr>
                  <w:r>
                    <w:t xml:space="preserve">sLASER</w:t>
                  </w:r>
                </w:p>
              </w:tc>
              <w:tc>
                <w:tcPr/>
                <w:p>
                  <w:pPr>
                    <w:pStyle w:val="Compact"/>
                    <w:jc w:val="right"/>
                    <w:jc w:val="center"/>
                  </w:pPr>
                  <w:r>
                    <w:t xml:space="preserve">7.65</w:t>
                  </w:r>
                </w:p>
              </w:tc>
              <w:tc>
                <w:tcPr/>
                <w:p>
                  <w:pPr>
                    <w:pStyle w:val="Compact"/>
                    <w:jc w:val="right"/>
                    <w:jc w:val="center"/>
                  </w:pPr>
                  <w:r>
                    <w:t xml:space="preserve">7.46</w:t>
                  </w:r>
                </w:p>
              </w:tc>
              <w:tc>
                <w:tcPr/>
                <w:p>
                  <w:pPr>
                    <w:pStyle w:val="Compact"/>
                    <w:jc w:val="right"/>
                    <w:jc w:val="center"/>
                  </w:pPr>
                  <w:r>
                    <w:t xml:space="preserve">-0.20</w:t>
                  </w:r>
                </w:p>
              </w:tc>
              <w:tc>
                <w:tcPr/>
                <w:p>
                  <w:pPr>
                    <w:pStyle w:val="Compact"/>
                    <w:jc w:val="right"/>
                    <w:jc w:val="center"/>
                  </w:pPr>
                  <w:r>
                    <w:t xml:space="preserve">168.43</w:t>
                  </w:r>
                </w:p>
              </w:tc>
              <w:tc>
                <w:tcPr/>
                <w:p>
                  <w:pPr>
                    <w:pStyle w:val="Compact"/>
                    <w:jc w:val="right"/>
                    <w:jc w:val="center"/>
                  </w:pPr>
                  <w:r>
                    <w:t xml:space="preserve">173.85</w:t>
                  </w:r>
                </w:p>
              </w:tc>
              <w:tc>
                <w:tcPr/>
                <w:p>
                  <w:pPr>
                    <w:pStyle w:val="Compact"/>
                    <w:jc w:val="right"/>
                    <w:jc w:val="center"/>
                  </w:pPr>
                  <w:r>
                    <w:t xml:space="preserve">5.41</w:t>
                  </w:r>
                </w:p>
              </w:tc>
            </w:tr>
            <w:tr>
              <w:tc>
                <w:tcPr/>
                <w:p>
                  <w:pPr>
                    <w:pStyle w:val="Compact"/>
                    <w:jc w:val="right"/>
                    <w:jc w:val="center"/>
                  </w:pPr>
                  <w:r>
                    <w:t xml:space="preserve">10</w:t>
                  </w:r>
                </w:p>
              </w:tc>
              <w:tc>
                <w:tcPr/>
                <w:p>
                  <w:pPr>
                    <w:pStyle w:val="Compact"/>
                    <w:jc w:val="left"/>
                    <w:jc w:val="center"/>
                  </w:pPr>
                  <w:r>
                    <w:t xml:space="preserve">MEGA</w:t>
                  </w:r>
                </w:p>
              </w:tc>
              <w:tc>
                <w:tcPr/>
                <w:p>
                  <w:pPr>
                    <w:pStyle w:val="Compact"/>
                    <w:jc w:val="right"/>
                    <w:jc w:val="center"/>
                  </w:pPr>
                  <w:r>
                    <w:t xml:space="preserve">6.66</w:t>
                  </w:r>
                </w:p>
              </w:tc>
              <w:tc>
                <w:tcPr/>
                <w:p>
                  <w:pPr>
                    <w:pStyle w:val="Compact"/>
                    <w:jc w:val="right"/>
                    <w:jc w:val="center"/>
                  </w:pPr>
                  <w:r>
                    <w:t xml:space="preserve">7.20</w:t>
                  </w:r>
                </w:p>
              </w:tc>
              <w:tc>
                <w:tcPr/>
                <w:p>
                  <w:pPr>
                    <w:pStyle w:val="Compact"/>
                    <w:jc w:val="right"/>
                    <w:jc w:val="center"/>
                  </w:pPr>
                  <w:r>
                    <w:t xml:space="preserve">0.55</w:t>
                  </w:r>
                </w:p>
              </w:tc>
              <w:tc>
                <w:tcPr/>
                <w:p>
                  <w:pPr>
                    <w:pStyle w:val="Compact"/>
                    <w:jc w:val="right"/>
                    <w:jc w:val="center"/>
                  </w:pPr>
                  <w:r>
                    <w:t xml:space="preserve">115.75</w:t>
                  </w:r>
                </w:p>
              </w:tc>
              <w:tc>
                <w:tcPr/>
                <w:p>
                  <w:pPr>
                    <w:pStyle w:val="Compact"/>
                    <w:jc w:val="right"/>
                    <w:jc w:val="center"/>
                  </w:pPr>
                  <w:r>
                    <w:t xml:space="preserve">103.79</w:t>
                  </w:r>
                </w:p>
              </w:tc>
              <w:tc>
                <w:tcPr/>
                <w:p>
                  <w:pPr>
                    <w:pStyle w:val="Compact"/>
                    <w:jc w:val="right"/>
                    <w:jc w:val="center"/>
                  </w:pPr>
                  <w:r>
                    <w:t xml:space="preserve">-11.96</w:t>
                  </w:r>
                </w:p>
              </w:tc>
            </w:tr>
            <w:tr>
              <w:tc>
                <w:tcPr/>
                <w:p>
                  <w:pPr>
                    <w:pStyle w:val="Compact"/>
                    <w:jc w:val="right"/>
                    <w:jc w:val="center"/>
                  </w:pPr>
                  <w:r>
                    <w:t xml:space="preserve">11</w:t>
                  </w:r>
                </w:p>
              </w:tc>
              <w:tc>
                <w:tcPr/>
                <w:p>
                  <w:pPr>
                    <w:pStyle w:val="Compact"/>
                    <w:jc w:val="left"/>
                    <w:jc w:val="center"/>
                  </w:pPr>
                  <w:r>
                    <w:t xml:space="preserve">sLASER</w:t>
                  </w:r>
                </w:p>
              </w:tc>
              <w:tc>
                <w:tcPr/>
                <w:p>
                  <w:pPr>
                    <w:pStyle w:val="Compact"/>
                    <w:jc w:val="right"/>
                    <w:jc w:val="center"/>
                  </w:pPr>
                  <w:r>
                    <w:t xml:space="preserve">9.53</w:t>
                  </w:r>
                </w:p>
              </w:tc>
              <w:tc>
                <w:tcPr/>
                <w:p>
                  <w:pPr>
                    <w:pStyle w:val="Compact"/>
                    <w:jc w:val="right"/>
                    <w:jc w:val="center"/>
                  </w:pPr>
                  <w:r>
                    <w:t xml:space="preserve">8.57</w:t>
                  </w:r>
                </w:p>
              </w:tc>
              <w:tc>
                <w:tcPr/>
                <w:p>
                  <w:pPr>
                    <w:pStyle w:val="Compact"/>
                    <w:jc w:val="right"/>
                    <w:jc w:val="center"/>
                  </w:pPr>
                  <w:r>
                    <w:t xml:space="preserve">-0.96</w:t>
                  </w:r>
                </w:p>
              </w:tc>
              <w:tc>
                <w:tcPr/>
                <w:p>
                  <w:pPr>
                    <w:pStyle w:val="Compact"/>
                    <w:jc w:val="right"/>
                    <w:jc w:val="center"/>
                  </w:pPr>
                  <w:r>
                    <w:t xml:space="preserve">157.59</w:t>
                  </w:r>
                </w:p>
              </w:tc>
              <w:tc>
                <w:tcPr/>
                <w:p>
                  <w:pPr>
                    <w:pStyle w:val="Compact"/>
                    <w:jc w:val="right"/>
                    <w:jc w:val="center"/>
                  </w:pPr>
                  <w:r>
                    <w:t xml:space="preserve">136.11</w:t>
                  </w:r>
                </w:p>
              </w:tc>
              <w:tc>
                <w:tcPr/>
                <w:p>
                  <w:pPr>
                    <w:pStyle w:val="Compact"/>
                    <w:jc w:val="right"/>
                    <w:jc w:val="center"/>
                  </w:pPr>
                  <w:r>
                    <w:t xml:space="preserve">-21.48</w:t>
                  </w:r>
                </w:p>
              </w:tc>
            </w:tr>
            <w:tr>
              <w:tc>
                <w:tcPr/>
                <w:p>
                  <w:pPr>
                    <w:pStyle w:val="Compact"/>
                    <w:jc w:val="right"/>
                    <w:jc w:val="center"/>
                  </w:pPr>
                  <w:r>
                    <w:t xml:space="preserve">11</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8.83</w:t>
                  </w:r>
                </w:p>
              </w:tc>
              <w:tc>
                <w:tcPr/>
                <w:p>
                  <w:pPr>
                    <w:pStyle w:val="Compact"/>
                    <w:jc w:val="right"/>
                    <w:jc w:val="center"/>
                  </w:pPr>
                  <w:r>
                    <w:t xml:space="preserve">1.10</w:t>
                  </w:r>
                </w:p>
              </w:tc>
              <w:tc>
                <w:tcPr/>
                <w:p>
                  <w:pPr>
                    <w:pStyle w:val="Compact"/>
                    <w:jc w:val="right"/>
                    <w:jc w:val="center"/>
                  </w:pPr>
                  <w:r>
                    <w:t xml:space="preserve">101.11</w:t>
                  </w:r>
                </w:p>
              </w:tc>
              <w:tc>
                <w:tcPr/>
                <w:p>
                  <w:pPr>
                    <w:pStyle w:val="Compact"/>
                    <w:jc w:val="right"/>
                    <w:jc w:val="center"/>
                  </w:pPr>
                  <w:r>
                    <w:t xml:space="preserve">87.58</w:t>
                  </w:r>
                </w:p>
              </w:tc>
              <w:tc>
                <w:tcPr/>
                <w:p>
                  <w:pPr>
                    <w:pStyle w:val="Compact"/>
                    <w:jc w:val="right"/>
                    <w:jc w:val="center"/>
                  </w:pPr>
                  <w:r>
                    <w:t xml:space="preserve">-13.52</w:t>
                  </w:r>
                </w:p>
              </w:tc>
            </w:tr>
            <w:tr>
              <w:tc>
                <w:tcPr/>
                <w:p>
                  <w:pPr>
                    <w:pStyle w:val="Compact"/>
                    <w:jc w:val="right"/>
                    <w:jc w:val="center"/>
                  </w:pPr>
                  <w:r>
                    <w:t xml:space="preserve">12</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7.79</w:t>
                  </w:r>
                </w:p>
              </w:tc>
              <w:tc>
                <w:tcPr/>
                <w:p>
                  <w:pPr>
                    <w:pStyle w:val="Compact"/>
                    <w:jc w:val="right"/>
                    <w:jc w:val="center"/>
                  </w:pPr>
                  <w:r>
                    <w:t xml:space="preserve">-0.60</w:t>
                  </w:r>
                </w:p>
              </w:tc>
              <w:tc>
                <w:tcPr/>
                <w:p>
                  <w:pPr>
                    <w:pStyle w:val="Compact"/>
                    <w:jc w:val="right"/>
                    <w:jc w:val="center"/>
                  </w:pPr>
                  <w:r>
                    <w:t xml:space="preserve">180.44</w:t>
                  </w:r>
                </w:p>
              </w:tc>
              <w:tc>
                <w:tcPr/>
                <w:p>
                  <w:pPr>
                    <w:pStyle w:val="Compact"/>
                    <w:jc w:val="right"/>
                    <w:jc w:val="center"/>
                  </w:pPr>
                  <w:r>
                    <w:t xml:space="preserve">136.71</w:t>
                  </w:r>
                </w:p>
              </w:tc>
              <w:tc>
                <w:tcPr/>
                <w:p>
                  <w:pPr>
                    <w:pStyle w:val="Compact"/>
                    <w:jc w:val="right"/>
                    <w:jc w:val="center"/>
                  </w:pPr>
                  <w:r>
                    <w:t xml:space="preserve">-43.73</w:t>
                  </w:r>
                </w:p>
              </w:tc>
            </w:tr>
            <w:tr>
              <w:tc>
                <w:tcPr/>
                <w:p>
                  <w:pPr>
                    <w:pStyle w:val="Compact"/>
                    <w:jc w:val="right"/>
                    <w:jc w:val="center"/>
                  </w:pPr>
                  <w:r>
                    <w:t xml:space="preserve">12</w:t>
                  </w:r>
                </w:p>
              </w:tc>
              <w:tc>
                <w:tcPr/>
                <w:p>
                  <w:pPr>
                    <w:pStyle w:val="Compact"/>
                    <w:jc w:val="left"/>
                    <w:jc w:val="center"/>
                  </w:pPr>
                  <w:r>
                    <w:t xml:space="preserve">MEGA</w:t>
                  </w:r>
                </w:p>
              </w:tc>
              <w:tc>
                <w:tcPr/>
                <w:p>
                  <w:pPr>
                    <w:pStyle w:val="Compact"/>
                    <w:jc w:val="right"/>
                    <w:jc w:val="center"/>
                  </w:pPr>
                  <w:r>
                    <w:t xml:space="preserve">7.46</w:t>
                  </w:r>
                </w:p>
              </w:tc>
              <w:tc>
                <w:tcPr/>
                <w:p>
                  <w:pPr>
                    <w:pStyle w:val="Compact"/>
                    <w:jc w:val="right"/>
                    <w:jc w:val="center"/>
                  </w:pPr>
                  <w:r>
                    <w:t xml:space="preserve">7.43</w:t>
                  </w:r>
                </w:p>
              </w:tc>
              <w:tc>
                <w:tcPr/>
                <w:p>
                  <w:pPr>
                    <w:pStyle w:val="Compact"/>
                    <w:jc w:val="right"/>
                    <w:jc w:val="center"/>
                  </w:pPr>
                  <w:r>
                    <w:t xml:space="preserve">-0.03</w:t>
                  </w:r>
                </w:p>
              </w:tc>
              <w:tc>
                <w:tcPr/>
                <w:p>
                  <w:pPr>
                    <w:pStyle w:val="Compact"/>
                    <w:jc w:val="right"/>
                    <w:jc w:val="center"/>
                  </w:pPr>
                  <w:r>
                    <w:t xml:space="preserve">113.05</w:t>
                  </w:r>
                </w:p>
              </w:tc>
              <w:tc>
                <w:tcPr/>
                <w:p>
                  <w:pPr>
                    <w:pStyle w:val="Compact"/>
                    <w:jc w:val="right"/>
                    <w:jc w:val="center"/>
                  </w:pPr>
                  <w:r>
                    <w:t xml:space="preserve">112.73</w:t>
                  </w:r>
                </w:p>
              </w:tc>
              <w:tc>
                <w:tcPr/>
                <w:p>
                  <w:pPr>
                    <w:pStyle w:val="Compact"/>
                    <w:jc w:val="right"/>
                    <w:jc w:val="center"/>
                  </w:pPr>
                  <w:r>
                    <w:t xml:space="preserve">-0.32</w:t>
                  </w:r>
                </w:p>
              </w:tc>
            </w:tr>
            <w:tr>
              <w:tc>
                <w:tcPr/>
                <w:p>
                  <w:pPr>
                    <w:pStyle w:val="Compact"/>
                    <w:jc w:val="right"/>
                    <w:jc w:val="center"/>
                  </w:pPr>
                  <w:r>
                    <w:t xml:space="preserve">13</w:t>
                  </w:r>
                </w:p>
              </w:tc>
              <w:tc>
                <w:tcPr/>
                <w:p>
                  <w:pPr>
                    <w:pStyle w:val="Compact"/>
                    <w:jc w:val="left"/>
                    <w:jc w:val="center"/>
                  </w:pPr>
                  <w:r>
                    <w:t xml:space="preserve">sLASER</w:t>
                  </w:r>
                </w:p>
              </w:tc>
              <w:tc>
                <w:tcPr/>
                <w:p>
                  <w:pPr>
                    <w:pStyle w:val="Compact"/>
                    <w:jc w:val="right"/>
                    <w:jc w:val="center"/>
                  </w:pPr>
                  <w:r>
                    <w:t xml:space="preserve">7.73</w:t>
                  </w:r>
                </w:p>
              </w:tc>
              <w:tc>
                <w:tcPr/>
                <w:p>
                  <w:pPr>
                    <w:pStyle w:val="Compact"/>
                    <w:jc w:val="right"/>
                    <w:jc w:val="center"/>
                  </w:pPr>
                  <w:r>
                    <w:t xml:space="preserve">8.45</w:t>
                  </w:r>
                </w:p>
              </w:tc>
              <w:tc>
                <w:tcPr/>
                <w:p>
                  <w:pPr>
                    <w:pStyle w:val="Compact"/>
                    <w:jc w:val="right"/>
                    <w:jc w:val="center"/>
                  </w:pPr>
                  <w:r>
                    <w:t xml:space="preserve">0.72</w:t>
                  </w:r>
                </w:p>
              </w:tc>
              <w:tc>
                <w:tcPr/>
                <w:p>
                  <w:pPr>
                    <w:pStyle w:val="Compact"/>
                    <w:jc w:val="right"/>
                    <w:jc w:val="center"/>
                  </w:pPr>
                  <w:r>
                    <w:t xml:space="preserve">158.00</w:t>
                  </w:r>
                </w:p>
              </w:tc>
              <w:tc>
                <w:tcPr/>
                <w:p>
                  <w:pPr>
                    <w:pStyle w:val="Compact"/>
                    <w:jc w:val="right"/>
                    <w:jc w:val="center"/>
                  </w:pPr>
                  <w:r>
                    <w:t xml:space="preserve">207.77</w:t>
                  </w:r>
                </w:p>
              </w:tc>
              <w:tc>
                <w:tcPr/>
                <w:p>
                  <w:pPr>
                    <w:pStyle w:val="Compact"/>
                    <w:jc w:val="right"/>
                    <w:jc w:val="center"/>
                  </w:pPr>
                  <w:r>
                    <w:t xml:space="preserve">49.78</w:t>
                  </w:r>
                </w:p>
              </w:tc>
            </w:tr>
            <w:tr>
              <w:tc>
                <w:tcPr/>
                <w:p>
                  <w:pPr>
                    <w:pStyle w:val="Compact"/>
                    <w:jc w:val="right"/>
                    <w:jc w:val="center"/>
                  </w:pPr>
                  <w:r>
                    <w:t xml:space="preserve">13</w:t>
                  </w:r>
                </w:p>
              </w:tc>
              <w:tc>
                <w:tcPr/>
                <w:p>
                  <w:pPr>
                    <w:pStyle w:val="Compact"/>
                    <w:jc w:val="left"/>
                    <w:jc w:val="center"/>
                  </w:pPr>
                  <w:r>
                    <w:t xml:space="preserve">MEGA</w:t>
                  </w:r>
                </w:p>
              </w:tc>
              <w:tc>
                <w:tcPr/>
                <w:p>
                  <w:pPr>
                    <w:pStyle w:val="Compact"/>
                    <w:jc w:val="right"/>
                    <w:jc w:val="center"/>
                  </w:pPr>
                  <w:r>
                    <w:t xml:space="preserve">7.06</w:t>
                  </w:r>
                </w:p>
              </w:tc>
              <w:tc>
                <w:tcPr/>
                <w:p>
                  <w:pPr>
                    <w:pStyle w:val="Compact"/>
                    <w:jc w:val="right"/>
                    <w:jc w:val="center"/>
                  </w:pPr>
                  <w:r>
                    <w:t xml:space="preserve">7.09</w:t>
                  </w:r>
                </w:p>
              </w:tc>
              <w:tc>
                <w:tcPr/>
                <w:p>
                  <w:pPr>
                    <w:pStyle w:val="Compact"/>
                    <w:jc w:val="right"/>
                    <w:jc w:val="center"/>
                  </w:pPr>
                  <w:r>
                    <w:t xml:space="preserve">0.03</w:t>
                  </w:r>
                </w:p>
              </w:tc>
              <w:tc>
                <w:tcPr/>
                <w:p>
                  <w:pPr>
                    <w:pStyle w:val="Compact"/>
                    <w:jc w:val="right"/>
                    <w:jc w:val="center"/>
                  </w:pPr>
                  <w:r>
                    <w:t xml:space="preserve">147.40</w:t>
                  </w:r>
                </w:p>
              </w:tc>
              <w:tc>
                <w:tcPr/>
                <w:p>
                  <w:pPr>
                    <w:pStyle w:val="Compact"/>
                    <w:jc w:val="right"/>
                    <w:jc w:val="center"/>
                  </w:pPr>
                  <w:r>
                    <w:t xml:space="preserve">147.57</w:t>
                  </w:r>
                </w:p>
              </w:tc>
              <w:tc>
                <w:tcPr/>
                <w:p>
                  <w:pPr>
                    <w:pStyle w:val="Compact"/>
                    <w:jc w:val="right"/>
                    <w:jc w:val="center"/>
                  </w:pPr>
                  <w:r>
                    <w:t xml:space="preserve">0.17</w:t>
                  </w:r>
                </w:p>
              </w:tc>
            </w:tr>
            <w:tr>
              <w:tc>
                <w:tcPr/>
                <w:p>
                  <w:pPr>
                    <w:pStyle w:val="Compact"/>
                    <w:jc w:val="right"/>
                    <w:jc w:val="center"/>
                  </w:pPr>
                  <w:r>
                    <w:t xml:space="preserve">15</w:t>
                  </w:r>
                </w:p>
              </w:tc>
              <w:tc>
                <w:tcPr/>
                <w:p>
                  <w:pPr>
                    <w:pStyle w:val="Compact"/>
                    <w:jc w:val="left"/>
                    <w:jc w:val="center"/>
                  </w:pPr>
                  <w:r>
                    <w:t xml:space="preserve">sLASER</w:t>
                  </w:r>
                </w:p>
              </w:tc>
              <w:tc>
                <w:tcPr/>
                <w:p>
                  <w:pPr>
                    <w:pStyle w:val="Compact"/>
                    <w:jc w:val="right"/>
                    <w:jc w:val="center"/>
                  </w:pPr>
                  <w:r>
                    <w:t xml:space="preserve">9.27</w:t>
                  </w:r>
                </w:p>
              </w:tc>
              <w:tc>
                <w:tcPr/>
                <w:p>
                  <w:pPr>
                    <w:pStyle w:val="Compact"/>
                    <w:jc w:val="right"/>
                    <w:jc w:val="center"/>
                  </w:pPr>
                  <w:r>
                    <w:t xml:space="preserve">8.25</w:t>
                  </w:r>
                </w:p>
              </w:tc>
              <w:tc>
                <w:tcPr/>
                <w:p>
                  <w:pPr>
                    <w:pStyle w:val="Compact"/>
                    <w:jc w:val="right"/>
                    <w:jc w:val="center"/>
                  </w:pPr>
                  <w:r>
                    <w:t xml:space="preserve">-1.03</w:t>
                  </w:r>
                </w:p>
              </w:tc>
              <w:tc>
                <w:tcPr/>
                <w:p>
                  <w:pPr>
                    <w:pStyle w:val="Compact"/>
                    <w:jc w:val="right"/>
                    <w:jc w:val="center"/>
                  </w:pPr>
                  <w:r>
                    <w:t xml:space="preserve">161.54</w:t>
                  </w:r>
                </w:p>
              </w:tc>
              <w:tc>
                <w:tcPr/>
                <w:p>
                  <w:pPr>
                    <w:pStyle w:val="Compact"/>
                    <w:jc w:val="right"/>
                    <w:jc w:val="center"/>
                  </w:pPr>
                  <w:r>
                    <w:t xml:space="preserve">135.97</w:t>
                  </w:r>
                </w:p>
              </w:tc>
              <w:tc>
                <w:tcPr/>
                <w:p>
                  <w:pPr>
                    <w:pStyle w:val="Compact"/>
                    <w:jc w:val="right"/>
                    <w:jc w:val="center"/>
                  </w:pPr>
                  <w:r>
                    <w:t xml:space="preserve">-25.57</w:t>
                  </w:r>
                </w:p>
              </w:tc>
            </w:tr>
            <w:tr>
              <w:tc>
                <w:tcPr/>
                <w:p>
                  <w:pPr>
                    <w:pStyle w:val="Compact"/>
                    <w:jc w:val="right"/>
                    <w:jc w:val="center"/>
                  </w:pPr>
                  <w:r>
                    <w:t xml:space="preserve">15</w:t>
                  </w:r>
                </w:p>
              </w:tc>
              <w:tc>
                <w:tcPr/>
                <w:p>
                  <w:pPr>
                    <w:pStyle w:val="Compact"/>
                    <w:jc w:val="left"/>
                    <w:jc w:val="center"/>
                  </w:pPr>
                  <w:r>
                    <w:t xml:space="preserve">MEGA</w:t>
                  </w:r>
                </w:p>
              </w:tc>
              <w:tc>
                <w:tcPr/>
                <w:p>
                  <w:pPr>
                    <w:pStyle w:val="Compact"/>
                    <w:jc w:val="right"/>
                    <w:jc w:val="center"/>
                  </w:pPr>
                  <w:r>
                    <w:t xml:space="preserve">7.93</w:t>
                  </w:r>
                </w:p>
              </w:tc>
              <w:tc>
                <w:tcPr/>
                <w:p>
                  <w:pPr>
                    <w:pStyle w:val="Compact"/>
                    <w:jc w:val="right"/>
                    <w:jc w:val="center"/>
                  </w:pPr>
                  <w:r>
                    <w:t xml:space="preserve">7.40</w:t>
                  </w:r>
                </w:p>
              </w:tc>
              <w:tc>
                <w:tcPr/>
                <w:p>
                  <w:pPr>
                    <w:pStyle w:val="Compact"/>
                    <w:jc w:val="right"/>
                    <w:jc w:val="center"/>
                  </w:pPr>
                  <w:r>
                    <w:t xml:space="preserve">-0.53</w:t>
                  </w:r>
                </w:p>
              </w:tc>
              <w:tc>
                <w:tcPr/>
                <w:p>
                  <w:pPr>
                    <w:pStyle w:val="Compact"/>
                    <w:jc w:val="right"/>
                    <w:jc w:val="center"/>
                  </w:pPr>
                  <w:r>
                    <w:t xml:space="preserve">105.05</w:t>
                  </w:r>
                </w:p>
              </w:tc>
              <w:tc>
                <w:tcPr/>
                <w:p>
                  <w:pPr>
                    <w:pStyle w:val="Compact"/>
                    <w:jc w:val="right"/>
                    <w:jc w:val="center"/>
                  </w:pPr>
                  <w:r>
                    <w:t xml:space="preserve">124.51</w:t>
                  </w:r>
                </w:p>
              </w:tc>
              <w:tc>
                <w:tcPr/>
                <w:p>
                  <w:pPr>
                    <w:pStyle w:val="Compact"/>
                    <w:jc w:val="right"/>
                    <w:jc w:val="center"/>
                  </w:pPr>
                  <w:r>
                    <w:t xml:space="preserve">19.47</w:t>
                  </w:r>
                </w:p>
              </w:tc>
            </w:tr>
            <w:tr>
              <w:tc>
                <w:tcPr/>
                <w:p>
                  <w:pPr>
                    <w:pStyle w:val="Compact"/>
                    <w:jc w:val="right"/>
                    <w:jc w:val="center"/>
                  </w:pPr>
                  <w:r>
                    <w:t xml:space="preserve">16</w:t>
                  </w:r>
                </w:p>
              </w:tc>
              <w:tc>
                <w:tcPr/>
                <w:p>
                  <w:pPr>
                    <w:pStyle w:val="Compact"/>
                    <w:jc w:val="left"/>
                    <w:jc w:val="center"/>
                  </w:pPr>
                  <w:r>
                    <w:t xml:space="preserve">sLASER</w:t>
                  </w:r>
                </w:p>
              </w:tc>
              <w:tc>
                <w:tcPr/>
                <w:p>
                  <w:pPr>
                    <w:pStyle w:val="Compact"/>
                    <w:jc w:val="right"/>
                    <w:jc w:val="center"/>
                  </w:pPr>
                  <w:r>
                    <w:t xml:space="preserve">9.23</w:t>
                  </w:r>
                </w:p>
              </w:tc>
              <w:tc>
                <w:tcPr/>
                <w:p>
                  <w:pPr>
                    <w:pStyle w:val="Compact"/>
                    <w:jc w:val="right"/>
                    <w:jc w:val="center"/>
                  </w:pPr>
                  <w:r>
                    <w:t xml:space="preserve">9.19</w:t>
                  </w:r>
                </w:p>
              </w:tc>
              <w:tc>
                <w:tcPr/>
                <w:p>
                  <w:pPr>
                    <w:pStyle w:val="Compact"/>
                    <w:jc w:val="right"/>
                    <w:jc w:val="center"/>
                  </w:pPr>
                  <w:r>
                    <w:t xml:space="preserve">-0.04</w:t>
                  </w:r>
                </w:p>
              </w:tc>
              <w:tc>
                <w:tcPr/>
                <w:p>
                  <w:pPr>
                    <w:pStyle w:val="Compact"/>
                    <w:jc w:val="right"/>
                    <w:jc w:val="center"/>
                  </w:pPr>
                  <w:r>
                    <w:t xml:space="preserve">155.48</w:t>
                  </w:r>
                </w:p>
              </w:tc>
              <w:tc>
                <w:tcPr/>
                <w:p>
                  <w:pPr>
                    <w:pStyle w:val="Compact"/>
                    <w:jc w:val="right"/>
                    <w:jc w:val="center"/>
                  </w:pPr>
                  <w:r>
                    <w:t xml:space="preserve">135.41</w:t>
                  </w:r>
                </w:p>
              </w:tc>
              <w:tc>
                <w:tcPr/>
                <w:p>
                  <w:pPr>
                    <w:pStyle w:val="Compact"/>
                    <w:jc w:val="right"/>
                    <w:jc w:val="center"/>
                  </w:pPr>
                  <w:r>
                    <w:t xml:space="preserve">-20.07</w:t>
                  </w:r>
                </w:p>
              </w:tc>
            </w:tr>
            <w:tr>
              <w:tc>
                <w:tcPr/>
                <w:p>
                  <w:pPr>
                    <w:pStyle w:val="Compact"/>
                    <w:jc w:val="right"/>
                    <w:jc w:val="center"/>
                  </w:pPr>
                  <w:r>
                    <w:t xml:space="preserve">16</w:t>
                  </w:r>
                </w:p>
              </w:tc>
              <w:tc>
                <w:tcPr/>
                <w:p>
                  <w:pPr>
                    <w:pStyle w:val="Compact"/>
                    <w:jc w:val="left"/>
                    <w:jc w:val="center"/>
                  </w:pPr>
                  <w:r>
                    <w:t xml:space="preserve">MEGA</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-0.03</w:t>
                  </w:r>
                </w:p>
              </w:tc>
              <w:tc>
                <w:tcPr/>
                <w:p>
                  <w:pPr>
                    <w:pStyle w:val="Compact"/>
                    <w:jc w:val="right"/>
                    <w:jc w:val="center"/>
                  </w:pPr>
                  <w:r>
                    <w:t xml:space="preserve">102.73</w:t>
                  </w:r>
                </w:p>
              </w:tc>
              <w:tc>
                <w:tcPr/>
                <w:p>
                  <w:pPr>
                    <w:pStyle w:val="Compact"/>
                    <w:jc w:val="right"/>
                    <w:jc w:val="center"/>
                  </w:pPr>
                  <w:r>
                    <w:t xml:space="preserve">97.17</w:t>
                  </w:r>
                </w:p>
              </w:tc>
              <w:tc>
                <w:tcPr/>
                <w:p>
                  <w:pPr>
                    <w:pStyle w:val="Compact"/>
                    <w:jc w:val="right"/>
                    <w:jc w:val="center"/>
                  </w:pPr>
                  <w:r>
                    <w:t xml:space="preserve">-5.55</w:t>
                  </w:r>
                </w:p>
              </w:tc>
            </w:tr>
            <w:tr>
              <w:tc>
                <w:tcPr/>
                <w:p>
                  <w:pPr>
                    <w:pStyle w:val="Compact"/>
                    <w:jc w:val="right"/>
                    <w:jc w:val="center"/>
                  </w:pPr>
                  <w:r>
                    <w:t xml:space="preserve">18</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8.33</w:t>
                  </w:r>
                </w:p>
              </w:tc>
              <w:tc>
                <w:tcPr/>
                <w:p>
                  <w:pPr>
                    <w:pStyle w:val="Compact"/>
                    <w:jc w:val="right"/>
                    <w:jc w:val="center"/>
                  </w:pPr>
                  <w:r>
                    <w:t xml:space="preserve">-0.24</w:t>
                  </w:r>
                </w:p>
              </w:tc>
              <w:tc>
                <w:tcPr/>
                <w:p>
                  <w:pPr>
                    <w:pStyle w:val="Compact"/>
                    <w:jc w:val="right"/>
                    <w:jc w:val="center"/>
                  </w:pPr>
                  <w:r>
                    <w:t xml:space="preserve">116.65</w:t>
                  </w:r>
                </w:p>
              </w:tc>
              <w:tc>
                <w:tcPr/>
                <w:p>
                  <w:pPr>
                    <w:pStyle w:val="Compact"/>
                    <w:jc w:val="right"/>
                    <w:jc w:val="center"/>
                  </w:pPr>
                  <w:r>
                    <w:t xml:space="preserve">117.28</w:t>
                  </w:r>
                </w:p>
              </w:tc>
              <w:tc>
                <w:tcPr/>
                <w:p>
                  <w:pPr>
                    <w:pStyle w:val="Compact"/>
                    <w:jc w:val="right"/>
                    <w:jc w:val="center"/>
                  </w:pPr>
                  <w:r>
                    <w:t xml:space="preserve">0.62</w:t>
                  </w:r>
                </w:p>
              </w:tc>
            </w:tr>
            <w:tr>
              <w:tc>
                <w:tcPr/>
                <w:p>
                  <w:pPr>
                    <w:pStyle w:val="Compact"/>
                    <w:jc w:val="right"/>
                    <w:jc w:val="center"/>
                  </w:pPr>
                  <w:r>
                    <w:t xml:space="preserve">18</w:t>
                  </w:r>
                </w:p>
              </w:tc>
              <w:tc>
                <w:tcPr/>
                <w:p>
                  <w:pPr>
                    <w:pStyle w:val="Compact"/>
                    <w:jc w:val="left"/>
                    <w:jc w:val="center"/>
                  </w:pPr>
                  <w:r>
                    <w:t xml:space="preserve">MEGA</w:t>
                  </w:r>
                </w:p>
              </w:tc>
              <w:tc>
                <w:tcPr/>
                <w:p>
                  <w:pPr>
                    <w:pStyle w:val="Compact"/>
                    <w:jc w:val="right"/>
                    <w:jc w:val="center"/>
                  </w:pPr>
                  <w:r>
                    <w:t xml:space="preserve">7.91</w:t>
                  </w:r>
                </w:p>
              </w:tc>
              <w:tc>
                <w:tcPr/>
                <w:p>
                  <w:pPr>
                    <w:pStyle w:val="Compact"/>
                    <w:jc w:val="right"/>
                    <w:jc w:val="center"/>
                  </w:pPr>
                  <w:r>
                    <w:t xml:space="preserve">7.51</w:t>
                  </w:r>
                </w:p>
              </w:tc>
              <w:tc>
                <w:tcPr/>
                <w:p>
                  <w:pPr>
                    <w:pStyle w:val="Compact"/>
                    <w:jc w:val="right"/>
                    <w:jc w:val="center"/>
                  </w:pPr>
                  <w:r>
                    <w:t xml:space="preserve">-0.40</w:t>
                  </w:r>
                </w:p>
              </w:tc>
              <w:tc>
                <w:tcPr/>
                <w:p>
                  <w:pPr>
                    <w:pStyle w:val="Compact"/>
                    <w:jc w:val="right"/>
                    <w:jc w:val="center"/>
                  </w:pPr>
                  <w:r>
                    <w:t xml:space="preserve">75.65</w:t>
                  </w:r>
                </w:p>
              </w:tc>
              <w:tc>
                <w:tcPr/>
                <w:p>
                  <w:pPr>
                    <w:pStyle w:val="Compact"/>
                    <w:jc w:val="right"/>
                    <w:jc w:val="center"/>
                  </w:pPr>
                  <w:r>
                    <w:t xml:space="preserve">83.37</w:t>
                  </w:r>
                </w:p>
              </w:tc>
              <w:tc>
                <w:tcPr/>
                <w:p>
                  <w:pPr>
                    <w:pStyle w:val="Compact"/>
                    <w:jc w:val="right"/>
                    <w:jc w:val="center"/>
                  </w:pPr>
                  <w:r>
                    <w:t xml:space="preserve">7.71</w:t>
                  </w:r>
                </w:p>
              </w:tc>
            </w:tr>
            <w:tr>
              <w:tc>
                <w:tcPr/>
                <w:p>
                  <w:pPr>
                    <w:pStyle w:val="Compact"/>
                    <w:jc w:val="right"/>
                    <w:jc w:val="center"/>
                  </w:pPr>
                  <w:r>
                    <w:t xml:space="preserve">19</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8.57</w:t>
                  </w:r>
                </w:p>
              </w:tc>
              <w:tc>
                <w:tcPr/>
                <w:p>
                  <w:pPr>
                    <w:pStyle w:val="Compact"/>
                    <w:jc w:val="right"/>
                    <w:jc w:val="center"/>
                  </w:pPr>
                  <w:r>
                    <w:t xml:space="preserve">0.18</w:t>
                  </w:r>
                </w:p>
              </w:tc>
              <w:tc>
                <w:tcPr/>
                <w:p>
                  <w:pPr>
                    <w:pStyle w:val="Compact"/>
                    <w:jc w:val="right"/>
                    <w:jc w:val="center"/>
                  </w:pPr>
                  <w:r>
                    <w:t xml:space="preserve">169.98</w:t>
                  </w:r>
                </w:p>
              </w:tc>
              <w:tc>
                <w:tcPr/>
                <w:p>
                  <w:pPr>
                    <w:pStyle w:val="Compact"/>
                    <w:jc w:val="right"/>
                    <w:jc w:val="center"/>
                  </w:pPr>
                  <w:r>
                    <w:t xml:space="preserve">145.07</w:t>
                  </w:r>
                </w:p>
              </w:tc>
              <w:tc>
                <w:tcPr/>
                <w:p>
                  <w:pPr>
                    <w:pStyle w:val="Compact"/>
                    <w:jc w:val="right"/>
                    <w:jc w:val="center"/>
                  </w:pPr>
                  <w:r>
                    <w:t xml:space="preserve">-24.92</w:t>
                  </w:r>
                </w:p>
              </w:tc>
            </w:tr>
            <w:tr>
              <w:tc>
                <w:tcPr/>
                <w:p>
                  <w:pPr>
                    <w:pStyle w:val="Compact"/>
                    <w:jc w:val="right"/>
                    <w:jc w:val="center"/>
                  </w:pPr>
                  <w:r>
                    <w:t xml:space="preserve">19</w:t>
                  </w:r>
                </w:p>
              </w:tc>
              <w:tc>
                <w:tcPr/>
                <w:p>
                  <w:pPr>
                    <w:pStyle w:val="Compact"/>
                    <w:jc w:val="left"/>
                    <w:jc w:val="center"/>
                  </w:pPr>
                  <w:r>
                    <w:t xml:space="preserve">MEGA</w:t>
                  </w:r>
                </w:p>
              </w:tc>
              <w:tc>
                <w:tcPr/>
                <w:p>
                  <w:pPr>
                    <w:pStyle w:val="Compact"/>
                    <w:jc w:val="right"/>
                    <w:jc w:val="center"/>
                  </w:pPr>
                  <w:r>
                    <w:t xml:space="preserve">7.63</w:t>
                  </w:r>
                </w:p>
              </w:tc>
              <w:tc>
                <w:tcPr/>
                <w:p>
                  <w:pPr>
                    <w:pStyle w:val="Compact"/>
                    <w:jc w:val="right"/>
                    <w:jc w:val="center"/>
                  </w:pPr>
                  <w:r>
                    <w:t xml:space="preserve">8.01</w:t>
                  </w:r>
                </w:p>
              </w:tc>
              <w:tc>
                <w:tcPr/>
                <w:p>
                  <w:pPr>
                    <w:pStyle w:val="Compact"/>
                    <w:jc w:val="right"/>
                    <w:jc w:val="center"/>
                  </w:pPr>
                  <w:r>
                    <w:t xml:space="preserve">0.37</w:t>
                  </w:r>
                </w:p>
              </w:tc>
              <w:tc>
                <w:tcPr/>
                <w:p>
                  <w:pPr>
                    <w:pStyle w:val="Compact"/>
                    <w:jc w:val="right"/>
                    <w:jc w:val="center"/>
                  </w:pPr>
                  <w:r>
                    <w:t xml:space="preserve">126.17</w:t>
                  </w:r>
                </w:p>
              </w:tc>
              <w:tc>
                <w:tcPr/>
                <w:p>
                  <w:pPr>
                    <w:pStyle w:val="Compact"/>
                    <w:jc w:val="right"/>
                    <w:jc w:val="center"/>
                  </w:pPr>
                  <w:r>
                    <w:t xml:space="preserve">107.86</w:t>
                  </w:r>
                </w:p>
              </w:tc>
              <w:tc>
                <w:tcPr/>
                <w:p>
                  <w:pPr>
                    <w:pStyle w:val="Compact"/>
                    <w:jc w:val="right"/>
                    <w:jc w:val="center"/>
                  </w:pPr>
                  <w:r>
                    <w:t xml:space="preserve">-18.31</w:t>
                  </w:r>
                </w:p>
              </w:tc>
            </w:tr>
            <w:tr>
              <w:tc>
                <w:tcPr/>
                <w:p>
                  <w:pPr>
                    <w:pStyle w:val="Compact"/>
                    <w:jc w:val="right"/>
                    <w:jc w:val="center"/>
                  </w:pPr>
                  <w:r>
                    <w:t xml:space="preserve">20</w:t>
                  </w:r>
                </w:p>
              </w:tc>
              <w:tc>
                <w:tcPr/>
                <w:p>
                  <w:pPr>
                    <w:pStyle w:val="Compact"/>
                    <w:jc w:val="left"/>
                    <w:jc w:val="center"/>
                  </w:pPr>
                  <w:r>
                    <w:t xml:space="preserve">sLASER</w:t>
                  </w:r>
                </w:p>
              </w:tc>
              <w:tc>
                <w:tcPr/>
                <w:p>
                  <w:pPr>
                    <w:pStyle w:val="Compact"/>
                    <w:jc w:val="right"/>
                    <w:jc w:val="center"/>
                  </w:pPr>
                  <w:r>
                    <w:t xml:space="preserve">7.94</w:t>
                  </w:r>
                </w:p>
              </w:tc>
              <w:tc>
                <w:tcPr/>
                <w:p>
                  <w:pPr>
                    <w:pStyle w:val="Compact"/>
                    <w:jc w:val="right"/>
                    <w:jc w:val="center"/>
                  </w:pPr>
                  <w:r>
                    <w:t xml:space="preserve">7.93</w:t>
                  </w:r>
                </w:p>
              </w:tc>
              <w:tc>
                <w:tcPr/>
                <w:p>
                  <w:pPr>
                    <w:pStyle w:val="Compact"/>
                    <w:jc w:val="right"/>
                    <w:jc w:val="center"/>
                  </w:pPr>
                  <w:r>
                    <w:t xml:space="preserve">0.00</w:t>
                  </w:r>
                </w:p>
              </w:tc>
              <w:tc>
                <w:tcPr/>
                <w:p>
                  <w:pPr>
                    <w:pStyle w:val="Compact"/>
                    <w:jc w:val="right"/>
                    <w:jc w:val="center"/>
                  </w:pPr>
                  <w:r>
                    <w:t xml:space="preserve">146.29</w:t>
                  </w:r>
                </w:p>
              </w:tc>
              <w:tc>
                <w:tcPr/>
                <w:p>
                  <w:pPr>
                    <w:pStyle w:val="Compact"/>
                    <w:jc w:val="right"/>
                    <w:jc w:val="center"/>
                  </w:pPr>
                  <w:r>
                    <w:t xml:space="preserve">156.69</w:t>
                  </w:r>
                </w:p>
              </w:tc>
              <w:tc>
                <w:tcPr/>
                <w:p>
                  <w:pPr>
                    <w:pStyle w:val="Compact"/>
                    <w:jc w:val="right"/>
                    <w:jc w:val="center"/>
                  </w:pPr>
                  <w:r>
                    <w:t xml:space="preserve">10.40</w:t>
                  </w:r>
                </w:p>
              </w:tc>
            </w:tr>
            <w:tr>
              <w:tc>
                <w:tcPr/>
                <w:p>
                  <w:pPr>
                    <w:pStyle w:val="Compact"/>
                    <w:jc w:val="right"/>
                    <w:jc w:val="center"/>
                  </w:pPr>
                  <w:r>
                    <w:t xml:space="preserve">20</w:t>
                  </w:r>
                </w:p>
              </w:tc>
              <w:tc>
                <w:tcPr/>
                <w:p>
                  <w:pPr>
                    <w:pStyle w:val="Compact"/>
                    <w:jc w:val="left"/>
                    <w:jc w:val="center"/>
                  </w:pPr>
                  <w:r>
                    <w:t xml:space="preserve">MEGA</w:t>
                  </w:r>
                </w:p>
              </w:tc>
              <w:tc>
                <w:tcPr/>
                <w:p>
                  <w:pPr>
                    <w:pStyle w:val="Compact"/>
                    <w:jc w:val="right"/>
                    <w:jc w:val="center"/>
                  </w:pPr>
                  <w:r>
                    <w:t xml:space="preserve">7.16</w:t>
                  </w:r>
                </w:p>
              </w:tc>
              <w:tc>
                <w:tcPr/>
                <w:p>
                  <w:pPr>
                    <w:pStyle w:val="Compact"/>
                    <w:jc w:val="right"/>
                    <w:jc w:val="center"/>
                  </w:pPr>
                  <w:r>
                    <w:t xml:space="preserve">8.24</w:t>
                  </w:r>
                </w:p>
              </w:tc>
              <w:tc>
                <w:tcPr/>
                <w:p>
                  <w:pPr>
                    <w:pStyle w:val="Compact"/>
                    <w:jc w:val="right"/>
                    <w:jc w:val="center"/>
                  </w:pPr>
                  <w:r>
                    <w:t xml:space="preserve">1.08</w:t>
                  </w:r>
                </w:p>
              </w:tc>
              <w:tc>
                <w:tcPr/>
                <w:p>
                  <w:pPr>
                    <w:pStyle w:val="Compact"/>
                    <w:jc w:val="right"/>
                    <w:jc w:val="center"/>
                  </w:pPr>
                  <w:r>
                    <w:t xml:space="preserve">100.81</w:t>
                  </w:r>
                </w:p>
              </w:tc>
              <w:tc>
                <w:tcPr/>
                <w:p>
                  <w:pPr>
                    <w:pStyle w:val="Compact"/>
                    <w:jc w:val="right"/>
                    <w:jc w:val="center"/>
                  </w:pPr>
                  <w:r>
                    <w:t xml:space="preserve">85.99</w:t>
                  </w:r>
                </w:p>
              </w:tc>
              <w:tc>
                <w:tcPr/>
                <w:p>
                  <w:pPr>
                    <w:pStyle w:val="Compact"/>
                    <w:jc w:val="right"/>
                    <w:jc w:val="center"/>
                  </w:pPr>
                  <w:r>
                    <w:t xml:space="preserve">-14.82</w:t>
                  </w:r>
                </w:p>
              </w:tc>
            </w:tr>
            <w:tr>
              <w:tc>
                <w:tcPr/>
                <w:p>
                  <w:pPr>
                    <w:pStyle w:val="Compact"/>
                    <w:jc w:val="right"/>
                    <w:jc w:val="center"/>
                  </w:pPr>
                  <w:r>
                    <w:t xml:space="preserve">22</w:t>
                  </w:r>
                </w:p>
              </w:tc>
              <w:tc>
                <w:tcPr/>
                <w:p>
                  <w:pPr>
                    <w:pStyle w:val="Compact"/>
                    <w:jc w:val="left"/>
                    <w:jc w:val="center"/>
                  </w:pPr>
                  <w:r>
                    <w:t xml:space="preserve">sLASER</w:t>
                  </w:r>
                </w:p>
              </w:tc>
              <w:tc>
                <w:tcPr/>
                <w:p>
                  <w:pPr>
                    <w:pStyle w:val="Compact"/>
                    <w:jc w:val="right"/>
                    <w:jc w:val="center"/>
                  </w:pPr>
                  <w:r>
                    <w:t xml:space="preserve">9.51</w:t>
                  </w:r>
                </w:p>
              </w:tc>
              <w:tc>
                <w:tcPr/>
                <w:p>
                  <w:pPr>
                    <w:pStyle w:val="Compact"/>
                    <w:jc w:val="right"/>
                    <w:jc w:val="center"/>
                  </w:pPr>
                  <w:r>
                    <w:t xml:space="preserve">9.86</w:t>
                  </w:r>
                </w:p>
              </w:tc>
              <w:tc>
                <w:tcPr/>
                <w:p>
                  <w:pPr>
                    <w:pStyle w:val="Compact"/>
                    <w:jc w:val="right"/>
                    <w:jc w:val="center"/>
                  </w:pPr>
                  <w:r>
                    <w:t xml:space="preserve">0.35</w:t>
                  </w:r>
                </w:p>
              </w:tc>
              <w:tc>
                <w:tcPr/>
                <w:p>
                  <w:pPr>
                    <w:pStyle w:val="Compact"/>
                    <w:jc w:val="right"/>
                    <w:jc w:val="center"/>
                  </w:pPr>
                  <w:r>
                    <w:t xml:space="preserve">121.74</w:t>
                  </w:r>
                </w:p>
              </w:tc>
              <w:tc>
                <w:tcPr/>
                <w:p>
                  <w:pPr>
                    <w:pStyle w:val="Compact"/>
                    <w:jc w:val="right"/>
                    <w:jc w:val="center"/>
                  </w:pPr>
                  <w:r>
                    <w:t xml:space="preserve">96.63</w:t>
                  </w:r>
                </w:p>
              </w:tc>
              <w:tc>
                <w:tcPr/>
                <w:p>
                  <w:pPr>
                    <w:pStyle w:val="Compact"/>
                    <w:jc w:val="right"/>
                    <w:jc w:val="center"/>
                  </w:pPr>
                  <w:r>
                    <w:t xml:space="preserve">-25.11</w:t>
                  </w:r>
                </w:p>
              </w:tc>
            </w:tr>
            <w:tr>
              <w:tc>
                <w:tcPr/>
                <w:p>
                  <w:pPr>
                    <w:pStyle w:val="Compact"/>
                    <w:jc w:val="right"/>
                    <w:jc w:val="center"/>
                  </w:pPr>
                  <w:r>
                    <w:t xml:space="preserve">22</w:t>
                  </w:r>
                </w:p>
              </w:tc>
              <w:tc>
                <w:tcPr/>
                <w:p>
                  <w:pPr>
                    <w:pStyle w:val="Compact"/>
                    <w:jc w:val="left"/>
                    <w:jc w:val="center"/>
                  </w:pPr>
                  <w:r>
                    <w:t xml:space="preserve">MEGA</w:t>
                  </w:r>
                </w:p>
              </w:tc>
              <w:tc>
                <w:tcPr/>
                <w:p>
                  <w:pPr>
                    <w:pStyle w:val="Compact"/>
                    <w:jc w:val="right"/>
                    <w:jc w:val="center"/>
                  </w:pPr>
                  <w:r>
                    <w:t xml:space="preserve">9.20</w:t>
                  </w:r>
                </w:p>
              </w:tc>
              <w:tc>
                <w:tcPr/>
                <w:p>
                  <w:pPr>
                    <w:pStyle w:val="Compact"/>
                    <w:jc w:val="right"/>
                    <w:jc w:val="center"/>
                  </w:pPr>
                  <w:r>
                    <w:t xml:space="preserve">9.43</w:t>
                  </w:r>
                </w:p>
              </w:tc>
              <w:tc>
                <w:tcPr/>
                <w:p>
                  <w:pPr>
                    <w:pStyle w:val="Compact"/>
                    <w:jc w:val="right"/>
                    <w:jc w:val="center"/>
                  </w:pPr>
                  <w:r>
                    <w:t xml:space="preserve">0.24</w:t>
                  </w:r>
                </w:p>
              </w:tc>
              <w:tc>
                <w:tcPr/>
                <w:p>
                  <w:pPr>
                    <w:pStyle w:val="Compact"/>
                    <w:jc w:val="right"/>
                    <w:jc w:val="center"/>
                  </w:pPr>
                  <w:r>
                    <w:t xml:space="preserve">60.44</w:t>
                  </w:r>
                </w:p>
              </w:tc>
              <w:tc>
                <w:tcPr/>
                <w:p>
                  <w:pPr>
                    <w:pStyle w:val="Compact"/>
                    <w:jc w:val="right"/>
                    <w:jc w:val="center"/>
                  </w:pPr>
                  <w:r>
                    <w:t xml:space="preserve">60.70</w:t>
                  </w:r>
                </w:p>
              </w:tc>
              <w:tc>
                <w:tcPr/>
                <w:p>
                  <w:pPr>
                    <w:pStyle w:val="Compact"/>
                    <w:jc w:val="right"/>
                    <w:jc w:val="center"/>
                  </w:pPr>
                  <w:r>
                    <w:t xml:space="preserve">0.26</w:t>
                  </w:r>
                </w:p>
              </w:tc>
            </w:tr>
            <w:tr>
              <w:tc>
                <w:tcPr/>
                <w:p>
                  <w:pPr>
                    <w:pStyle w:val="Compact"/>
                    <w:jc w:val="right"/>
                    <w:jc w:val="center"/>
                  </w:pPr>
                  <w:r>
                    <w:t xml:space="preserve">24</w:t>
                  </w:r>
                </w:p>
              </w:tc>
              <w:tc>
                <w:tcPr/>
                <w:p>
                  <w:pPr>
                    <w:pStyle w:val="Compact"/>
                    <w:jc w:val="left"/>
                    <w:jc w:val="center"/>
                  </w:pPr>
                  <w:r>
                    <w:t xml:space="preserve">sLASER</w:t>
                  </w:r>
                </w:p>
              </w:tc>
              <w:tc>
                <w:tcPr/>
                <w:p>
                  <w:pPr>
                    <w:pStyle w:val="Compact"/>
                    <w:jc w:val="right"/>
                    <w:jc w:val="center"/>
                  </w:pPr>
                  <w:r>
                    <w:t xml:space="preserve">7.18</w:t>
                  </w:r>
                </w:p>
              </w:tc>
              <w:tc>
                <w:tcPr/>
                <w:p>
                  <w:pPr>
                    <w:pStyle w:val="Compact"/>
                    <w:jc w:val="right"/>
                    <w:jc w:val="center"/>
                  </w:pPr>
                  <w:r>
                    <w:t xml:space="preserve">6.67</w:t>
                  </w:r>
                </w:p>
              </w:tc>
              <w:tc>
                <w:tcPr/>
                <w:p>
                  <w:pPr>
                    <w:pStyle w:val="Compact"/>
                    <w:jc w:val="right"/>
                    <w:jc w:val="center"/>
                  </w:pPr>
                  <w:r>
                    <w:t xml:space="preserve">-0.50</w:t>
                  </w:r>
                </w:p>
              </w:tc>
              <w:tc>
                <w:tcPr/>
                <w:p>
                  <w:pPr>
                    <w:pStyle w:val="Compact"/>
                    <w:jc w:val="right"/>
                    <w:jc w:val="center"/>
                  </w:pPr>
                  <w:r>
                    <w:t xml:space="preserve">138.38</w:t>
                  </w:r>
                </w:p>
              </w:tc>
              <w:tc>
                <w:tcPr/>
                <w:p>
                  <w:pPr>
                    <w:pStyle w:val="Compact"/>
                    <w:jc w:val="right"/>
                    <w:jc w:val="center"/>
                  </w:pPr>
                  <w:r>
                    <w:t xml:space="preserve">121.95</w:t>
                  </w:r>
                </w:p>
              </w:tc>
              <w:tc>
                <w:tcPr/>
                <w:p>
                  <w:pPr>
                    <w:pStyle w:val="Compact"/>
                    <w:jc w:val="right"/>
                    <w:jc w:val="center"/>
                  </w:pPr>
                  <w:r>
                    <w:t xml:space="preserve">-16.43</w:t>
                  </w:r>
                </w:p>
              </w:tc>
            </w:tr>
            <w:tr>
              <w:tc>
                <w:tcPr/>
                <w:p>
                  <w:pPr>
                    <w:pStyle w:val="Compact"/>
                    <w:jc w:val="right"/>
                    <w:jc w:val="center"/>
                  </w:pPr>
                  <w:r>
                    <w:t xml:space="preserve">24</w:t>
                  </w:r>
                </w:p>
              </w:tc>
              <w:tc>
                <w:tcPr/>
                <w:p>
                  <w:pPr>
                    <w:pStyle w:val="Compact"/>
                    <w:jc w:val="left"/>
                    <w:jc w:val="center"/>
                  </w:pPr>
                  <w:r>
                    <w:t xml:space="preserve">MEGA</w:t>
                  </w:r>
                </w:p>
              </w:tc>
              <w:tc>
                <w:tcPr/>
                <w:p>
                  <w:pPr>
                    <w:pStyle w:val="Compact"/>
                    <w:jc w:val="right"/>
                    <w:jc w:val="center"/>
                  </w:pPr>
                  <w:r>
                    <w:t xml:space="preserve">6.73</w:t>
                  </w:r>
                </w:p>
              </w:tc>
              <w:tc>
                <w:tcPr/>
                <w:p>
                  <w:pPr>
                    <w:pStyle w:val="Compact"/>
                    <w:jc w:val="right"/>
                    <w:jc w:val="center"/>
                  </w:pPr>
                  <w:r>
                    <w:t xml:space="preserve">6.44</w:t>
                  </w:r>
                </w:p>
              </w:tc>
              <w:tc>
                <w:tcPr/>
                <w:p>
                  <w:pPr>
                    <w:pStyle w:val="Compact"/>
                    <w:jc w:val="right"/>
                    <w:jc w:val="center"/>
                  </w:pPr>
                  <w:r>
                    <w:t xml:space="preserve">-0.29</w:t>
                  </w:r>
                </w:p>
              </w:tc>
              <w:tc>
                <w:tcPr/>
                <w:p>
                  <w:pPr>
                    <w:pStyle w:val="Compact"/>
                    <w:jc w:val="right"/>
                    <w:jc w:val="center"/>
                  </w:pPr>
                  <w:r>
                    <w:t xml:space="preserve">85.78</w:t>
                  </w:r>
                </w:p>
              </w:tc>
              <w:tc>
                <w:tcPr/>
                <w:p>
                  <w:pPr>
                    <w:pStyle w:val="Compact"/>
                    <w:jc w:val="right"/>
                    <w:jc w:val="center"/>
                  </w:pPr>
                  <w:r>
                    <w:t xml:space="preserve">83.25</w:t>
                  </w:r>
                </w:p>
              </w:tc>
              <w:tc>
                <w:tcPr/>
                <w:p>
                  <w:pPr>
                    <w:pStyle w:val="Compact"/>
                    <w:jc w:val="right"/>
                    <w:jc w:val="center"/>
                  </w:pPr>
                  <w:r>
                    <w:t xml:space="preserve">-2.53</w:t>
                  </w:r>
                </w:p>
              </w:tc>
            </w:tr>
            <w:tr>
              <w:tc>
                <w:tcPr/>
                <w:p>
                  <w:pPr>
                    <w:pStyle w:val="Compact"/>
                    <w:jc w:val="right"/>
                    <w:jc w:val="center"/>
                  </w:pPr>
                  <w:r>
                    <w:t xml:space="preserve">26</w:t>
                  </w:r>
                </w:p>
              </w:tc>
              <w:tc>
                <w:tcPr/>
                <w:p>
                  <w:pPr>
                    <w:pStyle w:val="Compact"/>
                    <w:jc w:val="left"/>
                    <w:jc w:val="center"/>
                  </w:pPr>
                  <w:r>
                    <w:t xml:space="preserve">sLASER</w:t>
                  </w:r>
                </w:p>
              </w:tc>
              <w:tc>
                <w:tcPr/>
                <w:p>
                  <w:pPr>
                    <w:pStyle w:val="Compact"/>
                    <w:jc w:val="right"/>
                    <w:jc w:val="center"/>
                  </w:pPr>
                  <w:r>
                    <w:t xml:space="preserve">8.12</w:t>
                  </w:r>
                </w:p>
              </w:tc>
              <w:tc>
                <w:tcPr/>
                <w:p>
                  <w:pPr>
                    <w:pStyle w:val="Compact"/>
                    <w:jc w:val="right"/>
                    <w:jc w:val="center"/>
                  </w:pPr>
                  <w:r>
                    <w:t xml:space="preserve">8.42</w:t>
                  </w:r>
                </w:p>
              </w:tc>
              <w:tc>
                <w:tcPr/>
                <w:p>
                  <w:pPr>
                    <w:pStyle w:val="Compact"/>
                    <w:jc w:val="right"/>
                    <w:jc w:val="center"/>
                  </w:pPr>
                  <w:r>
                    <w:t xml:space="preserve">0.31</w:t>
                  </w:r>
                </w:p>
              </w:tc>
              <w:tc>
                <w:tcPr/>
                <w:p>
                  <w:pPr>
                    <w:pStyle w:val="Compact"/>
                    <w:jc w:val="right"/>
                    <w:jc w:val="center"/>
                  </w:pPr>
                  <w:r>
                    <w:t xml:space="preserve">140.13</w:t>
                  </w:r>
                </w:p>
              </w:tc>
              <w:tc>
                <w:tcPr/>
                <w:p>
                  <w:pPr>
                    <w:pStyle w:val="Compact"/>
                    <w:jc w:val="right"/>
                    <w:jc w:val="center"/>
                  </w:pPr>
                  <w:r>
                    <w:t xml:space="preserve">148.61</w:t>
                  </w:r>
                </w:p>
              </w:tc>
              <w:tc>
                <w:tcPr/>
                <w:p>
                  <w:pPr>
                    <w:pStyle w:val="Compact"/>
                    <w:jc w:val="right"/>
                    <w:jc w:val="center"/>
                  </w:pPr>
                  <w:r>
                    <w:t xml:space="preserve">8.48</w:t>
                  </w:r>
                </w:p>
              </w:tc>
            </w:tr>
            <w:tr>
              <w:tc>
                <w:tcPr/>
                <w:p>
                  <w:pPr>
                    <w:pStyle w:val="Compact"/>
                    <w:jc w:val="right"/>
                    <w:jc w:val="center"/>
                  </w:pPr>
                  <w:r>
                    <w:t xml:space="preserve">26</w:t>
                  </w:r>
                </w:p>
              </w:tc>
              <w:tc>
                <w:tcPr/>
                <w:p>
                  <w:pPr>
                    <w:pStyle w:val="Compact"/>
                    <w:jc w:val="left"/>
                    <w:jc w:val="center"/>
                  </w:pPr>
                  <w:r>
                    <w:t xml:space="preserve">MEGA</w:t>
                  </w:r>
                </w:p>
              </w:tc>
              <w:tc>
                <w:tcPr/>
                <w:p>
                  <w:pPr>
                    <w:pStyle w:val="Compact"/>
                    <w:jc w:val="right"/>
                    <w:jc w:val="center"/>
                  </w:pPr>
                  <w:r>
                    <w:t xml:space="preserve">8.76</w:t>
                  </w:r>
                </w:p>
              </w:tc>
              <w:tc>
                <w:tcPr/>
                <w:p>
                  <w:pPr>
                    <w:pStyle w:val="Compact"/>
                    <w:jc w:val="right"/>
                    <w:jc w:val="center"/>
                  </w:pPr>
                  <w:r>
                    <w:t xml:space="preserve">9.03</w:t>
                  </w:r>
                </w:p>
              </w:tc>
              <w:tc>
                <w:tcPr/>
                <w:p>
                  <w:pPr>
                    <w:pStyle w:val="Compact"/>
                    <w:jc w:val="right"/>
                    <w:jc w:val="center"/>
                  </w:pPr>
                  <w:r>
                    <w:t xml:space="preserve">0.27</w:t>
                  </w:r>
                </w:p>
              </w:tc>
              <w:tc>
                <w:tcPr/>
                <w:p>
                  <w:pPr>
                    <w:pStyle w:val="Compact"/>
                    <w:jc w:val="right"/>
                    <w:jc w:val="center"/>
                  </w:pPr>
                  <w:r>
                    <w:t xml:space="preserve">93.80</w:t>
                  </w:r>
                </w:p>
              </w:tc>
              <w:tc>
                <w:tcPr/>
                <w:p>
                  <w:pPr>
                    <w:pStyle w:val="Compact"/>
                    <w:jc w:val="right"/>
                    <w:jc w:val="center"/>
                  </w:pPr>
                  <w:r>
                    <w:t xml:space="preserve">88.04</w:t>
                  </w:r>
                </w:p>
              </w:tc>
              <w:tc>
                <w:tcPr/>
                <w:p>
                  <w:pPr>
                    <w:pStyle w:val="Compact"/>
                    <w:jc w:val="right"/>
                    <w:jc w:val="center"/>
                  </w:pPr>
                  <w:r>
                    <w:t xml:space="preserve">-5.76</w:t>
                  </w:r>
                </w:p>
              </w:tc>
            </w:tr>
          </w:tbl>
          <w:p>
            <w:pPr>
              <w:jc w:val="center"/>
            </w:pPr>
            <w:pPr>
              <w:jc w:val="left"/>
              <w:spacing w:before="200"/>
              <w:pStyle w:val="ImageCaption"/>
            </w:pPr>
            <w:r>
              <w:t xml:space="preserve">Table S9</w:t>
            </w:r>
            <w:r>
              <w:rPr>
                <w:b/>
                <w:bCs/>
              </w:rPr>
              <w:t xml:space="preserve">.</w:t>
            </w:r>
            <w:r>
              <w:t xml:space="preserve"> </w:t>
            </w:r>
            <w:r>
              <w:t xml:space="preserve">Subject-level FWHM and CR-SNR values for each sequence (Rest, Movie, and Movie–Rest difference). Sub = Subject; Seq = Sequence; R = Rest; M = Movie; Diff = Difference.</w:t>
            </w:r>
          </w:p>
          <w:bookmarkEnd w:id="387"/>
        </w:tc>
      </w:tr>
    </w:tbl>
    <w:p>
      <w:pPr>
        <w:pStyle w:val="TextBody"/>
      </w:pPr>
      <w:r>
        <w:t xml:space="preserve">Plots of individual water FWHM changes between rest and movie-watching conditions for both MEGA-PRESS and sLASER are shown in</w:t>
      </w:r>
      <w:r>
        <w:t xml:space="preserve"> </w:t>
      </w:r>
      <w:hyperlink w:anchor="suppfig-fwhmdriftplot">
        <w:r>
          <w:rPr>
            <w:rStyle w:val="InternetLink"/>
          </w:rPr>
          <w:t xml:space="preserve">Figure S3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1" w:name="suppfig-fwhmdriftplot"/>
          <w:p>
            <w:pPr>
              <w:jc w:val="center"/>
            </w:pPr>
            <w:r>
              <w:drawing>
                <wp:inline>
                  <wp:extent cx="4620126" cy="4620126"/>
                  <wp:effectExtent b="0" l="0" r="0" t="0"/>
                  <wp:docPr descr="" title="" id="389" name="Picture"/>
                  <a:graphic>
                    <a:graphicData uri="http://schemas.openxmlformats.org/drawingml/2006/picture">
                      <pic:pic>
                        <pic:nvPicPr>
                          <pic:cNvPr descr="index_files/figure-docx/unnamed-chunk-19-1.png" id="390" name="Picture"/>
                          <pic:cNvPicPr>
                            <a:picLocks noChangeArrowheads="1" noChangeAspect="1"/>
                          </pic:cNvPicPr>
                        </pic:nvPicPr>
                        <pic:blipFill>
                          <a:blip r:embed="rId38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S3</w:t>
            </w:r>
            <w:r>
              <w:rPr>
                <w:b/>
                <w:bCs/>
              </w:rPr>
              <w:t xml:space="preserve">.</w:t>
            </w:r>
            <w:r>
              <w:t xml:space="preserve"> </w:t>
            </w:r>
            <w:r>
              <w:t xml:space="preserve">Plots of individual water full-width half-maximum changes between rest and movie-watching conditions for both MEGA-PRESS and sLASER</w:t>
            </w:r>
          </w:p>
          <w:bookmarkEnd w:id="391"/>
        </w:tc>
      </w:tr>
    </w:tbl>
    <w:p>
      <w:pPr>
        <w:pStyle w:val="TextBody"/>
      </w:pPr>
      <w:r>
        <w:t xml:space="preserve">Frequency shift between rest and movie are shown in</w:t>
      </w:r>
      <w:r>
        <w:t xml:space="preserve"> </w:t>
      </w:r>
      <w:hyperlink w:anchor="suppfig-frequencyshift">
        <w:r>
          <w:rPr>
            <w:rStyle w:val="Internet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5" w:name="suppfig-frequencyshift"/>
          <w:p>
            <w:pPr>
              <w:jc w:val="center"/>
            </w:pPr>
            <w:r>
              <w:drawing>
                <wp:inline>
                  <wp:extent cx="4620126" cy="6468176"/>
                  <wp:effectExtent b="0" l="0" r="0" t="0"/>
                  <wp:docPr descr="" title="" id="393" name="Picture"/>
                  <a:graphic>
                    <a:graphicData uri="http://schemas.openxmlformats.org/drawingml/2006/picture">
                      <pic:pic>
                        <pic:nvPicPr>
                          <pic:cNvPr descr="index_files/figure-docx/unnamed-chunk-20-1.png" id="394" name="Picture"/>
                          <pic:cNvPicPr>
                            <a:picLocks noChangeArrowheads="1" noChangeAspect="1"/>
                          </pic:cNvPicPr>
                        </pic:nvPicPr>
                        <pic:blipFill>
                          <a:blip r:embed="rId392"/>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S4</w:t>
            </w:r>
            <w:r>
              <w:rPr>
                <w:b/>
                <w:bCs/>
              </w:rPr>
              <w:t xml:space="preserve">.</w:t>
            </w:r>
            <w:r>
              <w:t xml:space="preserve"> </w:t>
            </w:r>
            <w:r>
              <w:rPr>
                <w:b/>
                <w:bCs/>
              </w:rPr>
              <w:t xml:space="preserve">Frequency shift between rest and movie.</w:t>
            </w:r>
            <w:r>
              <w:t xml:space="preserve"> </w:t>
            </w:r>
            <w:r>
              <w:t xml:space="preserve">Overlay of all participants’ frequency drift (ppm) plots during rest (blue) and movie (red) for A) semi-LASER and B) MEGA-PRESS. Note, the GE semi-LASER sequence averaged all transients (128) into groups of 4, each with 32 transients, before being saved as raw P-file.</w:t>
            </w:r>
          </w:p>
          <w:bookmarkEnd w:id="395"/>
        </w:tc>
      </w:tr>
    </w:tbl>
    <w:bookmarkEnd w:id="396"/>
    <w:bookmarkStart w:id="415"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suppfig-gannet">
        <w:r>
          <w:rPr>
            <w:rStyle w:val="Internet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0" w:name="suppfig-gannet"/>
          <w:p>
            <w:pPr>
              <w:pStyle w:val="Compact"/>
              <w:jc w:val="center"/>
            </w:pPr>
            <w:r>
              <w:drawing>
                <wp:inline>
                  <wp:extent cx="5943600" cy="4592781"/>
                  <wp:effectExtent b="0" l="0" r="0" t="0"/>
                  <wp:docPr descr="" title="" id="398" name="Picture"/>
                  <a:graphic>
                    <a:graphicData uri="http://schemas.openxmlformats.org/drawingml/2006/picture">
                      <pic:pic>
                        <pic:nvPicPr>
                          <pic:cNvPr descr="./Data/megapress/sub-Pilot01/rest_gannet/GannetFit_output/P38912_vox1_fit.png" id="399" name="Picture"/>
                          <pic:cNvPicPr>
                            <a:picLocks noChangeArrowheads="1" noChangeAspect="1"/>
                          </pic:cNvPicPr>
                        </pic:nvPicPr>
                        <pic:blipFill>
                          <a:blip r:embed="rId397"/>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S5</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tissue-correction.</w:t>
            </w:r>
          </w:p>
          <w:bookmarkEnd w:id="400"/>
        </w:tc>
      </w:tr>
    </w:tbl>
    <w:p>
      <w:pPr>
        <w:pStyle w:val="TextBody"/>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0.64), with fixed effects (marginal r</w:t>
      </w:r>
      <w:r>
        <w:rPr>
          <w:vertAlign w:val="superscript"/>
        </w:rPr>
        <w:t xml:space="preserve">2</w:t>
      </w:r>
      <w:r>
        <w:t xml:space="preserve">) equal to 0.23. The model’s intercept, corresponding to EI = 0, Condition = Movie, FWHM</w:t>
      </w:r>
      <w:r>
        <w:rPr>
          <w:vertAlign w:val="subscript"/>
        </w:rPr>
        <w:t xml:space="preserve">MEGA-PRESS</w:t>
      </w:r>
      <w:r>
        <w:t xml:space="preserve"> </w:t>
      </w:r>
      <w:r>
        <w:t xml:space="preserve">= 0, FreqShift</w:t>
      </w:r>
      <w:r>
        <w:rPr>
          <w:vertAlign w:val="subscript"/>
        </w:rPr>
        <w:t xml:space="preserve">MEGA-PRESS</w:t>
      </w:r>
      <w:r>
        <w:t xml:space="preserve"> </w:t>
      </w:r>
      <w:r>
        <w:t xml:space="preserve">= 0, and meanFD = 0, was 1.2 (95%</w:t>
      </w:r>
      <w:r>
        <w:t xml:space="preserve"> </w:t>
      </w:r>
      <w:r>
        <w:t xml:space="preserve">CI [0.66, 1.7], t(26) = 4.64, p &lt; 0.01).</w:t>
      </w:r>
      <w:r>
        <w:t xml:space="preserve"> </w:t>
      </w:r>
      <w:r>
        <w:t xml:space="preserve">Within this model, only the effect of Condition [Rest] was statistically significant (beta = -0.08, 95% CI [-0.13, -0.03], t(26) = -3.32, p &lt; 0.01).</w:t>
      </w:r>
      <w:r>
        <w:t xml:space="preserve"> </w:t>
      </w:r>
      <w:r>
        <w:t xml:space="preserve">The effect of E:I was statistically non-significant (beta = -0.07, 95% CI [-0.21, 0.06], t(26) = -1.04, p = 0.31);</w:t>
      </w:r>
      <w:r>
        <w:t xml:space="preserve"> </w:t>
      </w:r>
      <w:r>
        <w:t xml:space="preserve">along with FWHM</w:t>
      </w:r>
      <w:r>
        <w:rPr>
          <w:vertAlign w:val="subscript"/>
        </w:rPr>
        <w:t xml:space="preserve">MEGA-PRESS</w:t>
      </w:r>
      <w:r>
        <w:t xml:space="preserve"> </w:t>
      </w:r>
      <w:r>
        <w:t xml:space="preserve">(beta = 0.03, 95% CI [-0.03, 0.08], t(26) = 0.96, p = 0.35);</w:t>
      </w:r>
      <w:r>
        <w:t xml:space="preserve"> </w:t>
      </w:r>
      <w:r>
        <w:t xml:space="preserve">FreqShift</w:t>
      </w:r>
      <w:r>
        <w:rPr>
          <w:vertAlign w:val="subscript"/>
        </w:rPr>
        <w:t xml:space="preserve">MEGA-PRESS</w:t>
      </w:r>
      <w:r>
        <w:t xml:space="preserve"> </w:t>
      </w:r>
      <w:r>
        <w:t xml:space="preserve">(beta = 0.01, 95% CI [-0.02, 0.05], t(26) = 0.63, p = 0.53);</w:t>
      </w:r>
      <w:r>
        <w:t xml:space="preserve"> </w:t>
      </w:r>
      <w:r>
        <w:t xml:space="preserve">and meanFD (beta = -0.76, 95% CI [-2.34, 0.82], t(26) = -0.95, p = 0.35).</w:t>
      </w:r>
    </w:p>
    <w:p>
      <w:pPr>
        <w:pStyle w:val="TextBody"/>
      </w:pPr>
      <w:r>
        <w:t xml:space="preserve">Mean ± sd of metabolites and E:I when analyzed using Gannet, during rest and movie, are reported in</w:t>
      </w:r>
      <w:r>
        <w:t xml:space="preserve"> </w:t>
      </w:r>
      <w:hyperlink w:anchor="supptbl-gannetresults">
        <w:r>
          <w:rPr>
            <w:rStyle w:val="InternetLink"/>
          </w:rPr>
          <w:t xml:space="preserve">Table S10</w:t>
        </w:r>
      </w:hyperlink>
      <w:r>
        <w:t xml:space="preserve">. Boxplots between rest and movie can be seen in</w:t>
      </w:r>
      <w:r>
        <w:t xml:space="preserve"> </w:t>
      </w:r>
      <w:hyperlink w:anchor="suppfig-gannetresults">
        <w:r>
          <w:rPr>
            <w:rStyle w:val="InternetLink"/>
          </w:rPr>
          <w:t xml:space="preserve">Figure S6</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401" w:name="supp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10.84 ± 1.06</w:t>
                  </w:r>
                </w:p>
              </w:tc>
              <w:tc>
                <w:tcPr/>
                <w:p>
                  <w:pPr>
                    <w:pStyle w:val="Compact"/>
                    <w:jc w:val="center"/>
                  </w:pPr>
                  <w:r>
                    <w:t xml:space="preserve">10.72 ± 0.68</w:t>
                  </w:r>
                </w:p>
              </w:tc>
              <w:tc>
                <w:tcPr/>
                <w:p>
                  <w:pPr>
                    <w:pStyle w:val="Compact"/>
                    <w:jc w:val="center"/>
                  </w:pPr>
                  <w:r>
                    <w:t xml:space="preserve">0.43</w:t>
                  </w:r>
                </w:p>
              </w:tc>
            </w:tr>
            <w:tr>
              <w:tc>
                <w:tcPr/>
                <w:p>
                  <w:pPr>
                    <w:pStyle w:val="Compact"/>
                    <w:jc w:val="center"/>
                  </w:pPr>
                  <w:r>
                    <w:rPr>
                      <w:b/>
                      <w:bCs/>
                    </w:rPr>
                    <w:t xml:space="preserve">GABA+</w:t>
                  </w:r>
                </w:p>
              </w:tc>
              <w:tc>
                <w:tcPr/>
                <w:p>
                  <w:pPr>
                    <w:pStyle w:val="Compact"/>
                    <w:jc w:val="center"/>
                  </w:pPr>
                  <w:r>
                    <w:t xml:space="preserve">3.59 ± 0.38</w:t>
                  </w:r>
                </w:p>
              </w:tc>
              <w:tc>
                <w:tcPr/>
                <w:p>
                  <w:pPr>
                    <w:pStyle w:val="Compact"/>
                    <w:jc w:val="center"/>
                  </w:pPr>
                  <w:r>
                    <w:t xml:space="preserve">3.53 ± 0.36</w:t>
                  </w:r>
                </w:p>
              </w:tc>
              <w:tc>
                <w:tcPr/>
                <w:p>
                  <w:pPr>
                    <w:pStyle w:val="Compact"/>
                    <w:jc w:val="center"/>
                  </w:pPr>
                  <w:r>
                    <w:t xml:space="preserve">0.33</w:t>
                  </w:r>
                </w:p>
              </w:tc>
            </w:tr>
            <w:tr>
              <w:tc>
                <w:tcPr/>
                <w:p>
                  <w:pPr>
                    <w:pStyle w:val="Compact"/>
                    <w:jc w:val="center"/>
                  </w:pPr>
                  <w:r>
                    <w:rPr>
                      <w:b/>
                      <w:bCs/>
                    </w:rPr>
                    <w:t xml:space="preserve">E:I Ratio</w:t>
                  </w:r>
                </w:p>
              </w:tc>
              <w:tc>
                <w:tcPr/>
                <w:p>
                  <w:pPr>
                    <w:pStyle w:val="Compact"/>
                    <w:jc w:val="center"/>
                  </w:pPr>
                  <w:r>
                    <w:t xml:space="preserve">1.82 ± 0.25</w:t>
                  </w:r>
                </w:p>
              </w:tc>
              <w:tc>
                <w:tcPr/>
                <w:p>
                  <w:pPr>
                    <w:pStyle w:val="Compact"/>
                    <w:jc w:val="center"/>
                  </w:pPr>
                  <w:r>
                    <w:t xml:space="preserve">1.94 ± 0.25</w:t>
                  </w:r>
                </w:p>
              </w:tc>
              <w:tc>
                <w:tcPr/>
                <w:p>
                  <w:pPr>
                    <w:pStyle w:val="Compact"/>
                    <w:jc w:val="center"/>
                  </w:pPr>
                  <w:r>
                    <w:t xml:space="preserve">0.08</w:t>
                  </w:r>
                </w:p>
              </w:tc>
            </w:tr>
          </w:tbl>
          <w:p>
            <w:pPr>
              <w:jc w:val="center"/>
            </w:pPr>
            <w:pPr>
              <w:jc w:val="left"/>
              <w:spacing w:before="200"/>
              <w:pStyle w:val="ImageCaption"/>
            </w:pPr>
            <w:r>
              <w:t xml:space="preserve">Table S10</w:t>
            </w:r>
            <w:r>
              <w:rPr>
                <w:b/>
                <w:bCs/>
              </w:rPr>
              <w:t xml:space="preserve">.</w:t>
            </w:r>
            <w:r>
              <w:t xml:space="preserve"> </w:t>
            </w:r>
            <w:r>
              <w:rPr>
                <w:b/>
                <w:bCs/>
              </w:rPr>
              <w:t xml:space="preserve">Summary of main metabolite results using Gannet</w:t>
            </w:r>
          </w:p>
          <w:bookmarkEnd w:id="40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05" w:name="suppfig-gannetresults"/>
          <w:p>
            <w:pPr>
              <w:jc w:val="center"/>
            </w:pPr>
            <w:r>
              <w:drawing>
                <wp:inline>
                  <wp:extent cx="5943600" cy="4754880"/>
                  <wp:effectExtent b="0" l="0" r="0" t="0"/>
                  <wp:docPr descr="" title="" id="403" name="Picture"/>
                  <a:graphic>
                    <a:graphicData uri="http://schemas.openxmlformats.org/drawingml/2006/picture">
                      <pic:pic>
                        <pic:nvPicPr>
                          <pic:cNvPr descr="index_files/figure-docx/unnamed-chunk-21-1.png" id="404" name="Picture"/>
                          <pic:cNvPicPr>
                            <a:picLocks noChangeArrowheads="1" noChangeAspect="1"/>
                          </pic:cNvPicPr>
                        </pic:nvPicPr>
                        <pic:blipFill>
                          <a:blip r:embed="rId40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S6</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405"/>
        </w:tc>
      </w:tr>
    </w:tbl>
    <w:p>
      <w:pPr>
        <w:pStyle w:val="TextBody"/>
      </w:pPr>
      <w:r>
        <w:t xml:space="preserve">H was not found to correlate with Glx (Rest: r = 0, p = 0.99; Movie: r = -0.27, p = 0.28), GABA+ (Rest: r = 0.02, p = 0.93; Movie: r = 0.11, p = 0.67), or E:I (Rest: r = -0.04, p = 0.89; Movie: r = -0.32, p = 0.2) (</w:t>
      </w:r>
      <w:hyperlink w:anchor="suppfig-gannetcorrelations">
        <w:r>
          <w:rPr>
            <w:rStyle w:val="Internet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9" w:name="suppfig-gannetcorrelations"/>
          <w:p>
            <w:pPr>
              <w:jc w:val="center"/>
            </w:pPr>
            <w:r>
              <w:drawing>
                <wp:inline>
                  <wp:extent cx="5943600" cy="5094514"/>
                  <wp:effectExtent b="0" l="0" r="0" t="0"/>
                  <wp:docPr descr="" title="" id="407" name="Picture"/>
                  <a:graphic>
                    <a:graphicData uri="http://schemas.openxmlformats.org/drawingml/2006/picture">
                      <pic:pic>
                        <pic:nvPicPr>
                          <pic:cNvPr descr="index_files/figure-docx/unnamed-chunk-22-1.png" id="408" name="Picture"/>
                          <pic:cNvPicPr>
                            <a:picLocks noChangeArrowheads="1" noChangeAspect="1"/>
                          </pic:cNvPicPr>
                        </pic:nvPicPr>
                        <pic:blipFill>
                          <a:blip r:embed="rId406"/>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S7</w:t>
            </w:r>
            <w:r>
              <w:rPr>
                <w:b/>
                <w:bCs/>
              </w:rPr>
              <w:t xml:space="preserve">.</w:t>
            </w:r>
            <w:r>
              <w:t xml:space="preserve"> </w:t>
            </w:r>
            <w:r>
              <w:rPr>
                <w:b/>
                <w:bCs/>
              </w:rPr>
              <w:t xml:space="preserve">Scatter plots of H vs. metabolites when analyzed using Gannet.</w:t>
            </w:r>
            <w:r>
              <w:t xml:space="preserve"> </w:t>
            </w:r>
            <w:r>
              <w:t xml:space="preserve">A) Glx (mM); B) GABA+ (mM); and C) E:I. Rest is in green, while movie is in orange. P-values are reported at the top of each plot.</w:t>
            </w:r>
          </w:p>
          <w:bookmarkEnd w:id="409"/>
        </w:tc>
      </w:tr>
    </w:tbl>
    <w:p>
      <w:pPr>
        <w:pStyle w:val="TextBody"/>
      </w:pPr>
      <w:r>
        <w:t xml:space="preserve">Glx estimates were not strongly correlated between sLASER and MEGA-PRESS (Rest</w:t>
      </w:r>
      <w:r>
        <w:t xml:space="preserve"> </w:t>
      </w:r>
      <m:oMath>
        <m:r>
          <m:t>r</m:t>
        </m:r>
        <m:r>
          <m:rPr>
            <m:sty m:val="p"/>
          </m:rPr>
          <m:t>=</m:t>
        </m:r>
        <m:r>
          <m:t>0.06</m:t>
        </m:r>
      </m:oMath>
      <w:r>
        <w:t xml:space="preserve">, Movie</w:t>
      </w:r>
      <w:r>
        <w:t xml:space="preserve"> </w:t>
      </w:r>
      <m:oMath>
        <m:r>
          <m:t>r</m:t>
        </m:r>
        <m:r>
          <m:rPr>
            <m:sty m:val="p"/>
          </m:rPr>
          <m:t>=</m:t>
        </m:r>
        <m:r>
          <m:t>0.25</m:t>
        </m:r>
      </m:oMath>
      <w:r>
        <w:t xml:space="preserve">), while mean absolute differences remained under 1 institutional units.</w:t>
      </w:r>
      <w:r>
        <w:t xml:space="preserve"> </w:t>
      </w:r>
      <w:hyperlink w:anchor="supptbl-glxagreement">
        <w:r>
          <w:rPr>
            <w:rStyle w:val="InternetLink"/>
          </w:rPr>
          <w:t xml:space="preserve">Table S11</w:t>
        </w:r>
      </w:hyperlink>
      <w:r>
        <w:t xml:space="preserve"> </w:t>
      </w:r>
      <w:r>
        <w:t xml:space="preserve">reports the paired summary statistics, and</w:t>
      </w:r>
      <w:r>
        <w:t xml:space="preserve"> </w:t>
      </w:r>
      <w:hyperlink w:anchor="suppfig-glxagreementplot">
        <w:r>
          <w:rPr>
            <w:rStyle w:val="InternetLink"/>
          </w:rPr>
          <w:t xml:space="preserve">Figure S8</w:t>
        </w:r>
      </w:hyperlink>
      <w:r>
        <w:t xml:space="preserve"> </w:t>
      </w:r>
      <w:r>
        <w:t xml:space="preserve">visualises the subject-level agreement.</w:t>
      </w:r>
    </w:p>
    <w:p>
      <w:pPr>
        <w:pStyle w:val="TextBody"/>
      </w:pPr>
      <w:r>
        <w:t xml:space="preserve">This finding is consistent with several studies that have directly compared Glx measured from MEGA-PRESS</w:t>
      </w:r>
      <w:r>
        <w:t xml:space="preserve"> </w:t>
      </w:r>
      <w:r>
        <w:t xml:space="preserve">“OFF”</w:t>
      </w:r>
      <w:r>
        <w:t xml:space="preserve"> </w:t>
      </w:r>
      <w:r>
        <w:t xml:space="preserve">spectra, with</w:t>
      </w:r>
      <w:r>
        <w:t xml:space="preserve"> </w:t>
      </w:r>
      <w:r>
        <w:t xml:space="preserve">‘gold standard’</w:t>
      </w:r>
      <w:r>
        <w:t xml:space="preserve"> </w:t>
      </w:r>
      <w:r>
        <w:t xml:space="preserve">short-TE sequences (PRESS and sLASER), which have consistently reported poor agreement</w:t>
      </w:r>
      <w:r>
        <w:rPr>
          <w:vertAlign w:val="superscript"/>
        </w:rPr>
        <w:t xml:space="preserve">79,145,146</w:t>
      </w:r>
      <w:r>
        <w:t xml:space="preserve">. Reasons for this include the fact that MEGA-PRESS uses a longer TE time (68 ms compared to sLASER’s 35 ms)</w:t>
      </w:r>
      <w:r>
        <w:rPr>
          <w:vertAlign w:val="superscript"/>
        </w:rPr>
        <w:t xml:space="preserve">147</w:t>
      </w:r>
      <w:r>
        <w:t xml:space="preserve">; chemical shift displacement error differences between the two sequences</w:t>
      </w:r>
      <w:r>
        <w:rPr>
          <w:vertAlign w:val="superscript"/>
        </w:rPr>
        <w:t xml:space="preserve">148</w:t>
      </w:r>
      <w:r>
        <w:t xml:space="preserve">; and scanner drift due to MEGA-PRESS being acquired on average 6.43 ± 1.67 (Rest) and 5.89 ± 0.95 minutes (Movie) after sLASER.</w:t>
      </w:r>
    </w:p>
    <w:tbl>
      <w:tblPr>
        <w:tblStyle w:val="Table"/>
        <w:tblW w:type="pct" w:w="5000"/>
        <w:tblLayout w:type="fixed"/>
        <w:tblLook w:firstRow="0" w:lastRow="0" w:firstColumn="0" w:lastColumn="0" w:noHBand="0" w:noVBand="0" w:val="0000"/>
      </w:tblPr>
      <w:tblGrid>
        <w:gridCol w:w="7920"/>
      </w:tblGrid>
      <w:tr>
        <w:tc>
          <w:tcPr/>
          <w:bookmarkStart w:id="410" w:name="supptbl-glxagreement"/>
          <w:tbl>
            <w:tblPr>
              <w:tblStyle w:val="Table"/>
              <w:tblW w:type="pct" w:w="5000"/>
              <w:tblLayout w:type="fixed"/>
              <w:tblLook w:firstRow="1" w:lastRow="0" w:firstColumn="0" w:lastColumn="0" w:noHBand="0" w:noVBand="0" w:val="0020"/>
            </w:tblPr>
            <w:tblGrid>
              <w:gridCol w:w="625"/>
              <w:gridCol w:w="312"/>
              <w:gridCol w:w="1042"/>
              <w:gridCol w:w="833"/>
              <w:gridCol w:w="833"/>
              <w:gridCol w:w="833"/>
              <w:gridCol w:w="1042"/>
              <w:gridCol w:w="521"/>
              <w:gridCol w:w="521"/>
              <w:gridCol w:w="625"/>
              <w:gridCol w:w="729"/>
            </w:tblGrid>
            <w:tr>
              <w:trPr>
                <w:tblHeader w:val="on"/>
              </w:trPr>
              <w:tc>
                <w:tcPr/>
                <w:p>
                  <w:pPr>
                    <w:pStyle w:val="Compact"/>
                    <w:jc w:val="left"/>
                    <w:jc w:val="center"/>
                  </w:pPr>
                  <w:r>
                    <w:t xml:space="preserve">Cond</w:t>
                  </w:r>
                </w:p>
              </w:tc>
              <w:tc>
                <w:tcPr/>
                <w:p>
                  <w:pPr>
                    <w:pStyle w:val="Compact"/>
                    <w:jc w:val="right"/>
                    <w:jc w:val="center"/>
                  </w:pPr>
                  <w:r>
                    <w:t xml:space="preserve">n</w:t>
                  </w:r>
                </w:p>
              </w:tc>
              <w:tc>
                <w:tcPr/>
                <w:p>
                  <w:pPr>
                    <w:pStyle w:val="Compact"/>
                    <w:jc w:val="right"/>
                    <w:jc w:val="center"/>
                  </w:pPr>
                  <w:r>
                    <w:t xml:space="preserve">m. sLASER</w:t>
                  </w:r>
                </w:p>
              </w:tc>
              <w:tc>
                <w:tcPr/>
                <w:p>
                  <w:pPr>
                    <w:pStyle w:val="Compact"/>
                    <w:jc w:val="right"/>
                    <w:jc w:val="center"/>
                  </w:pPr>
                  <w:r>
                    <w:t xml:space="preserve">m. MEGA</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m.a. diff</w:t>
                  </w:r>
                </w:p>
              </w:tc>
              <w:tc>
                <w:tcPr/>
                <w:p>
                  <w:pPr>
                    <w:pStyle w:val="Compact"/>
                    <w:jc w:val="right"/>
                    <w:jc w:val="center"/>
                  </w:pPr>
                  <w:r>
                    <w:t xml:space="preserve">r</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Movie</w:t>
                  </w:r>
                </w:p>
              </w:tc>
              <w:tc>
                <w:tcPr/>
                <w:p>
                  <w:pPr>
                    <w:pStyle w:val="Compact"/>
                    <w:jc w:val="right"/>
                    <w:jc w:val="center"/>
                  </w:pPr>
                  <w:r>
                    <w:t xml:space="preserve">18</w:t>
                  </w:r>
                </w:p>
              </w:tc>
              <w:tc>
                <w:tcPr/>
                <w:p>
                  <w:pPr>
                    <w:pStyle w:val="Compact"/>
                    <w:jc w:val="right"/>
                    <w:jc w:val="center"/>
                  </w:pPr>
                  <w:r>
                    <w:t xml:space="preserve">10.04</w:t>
                  </w:r>
                </w:p>
              </w:tc>
              <w:tc>
                <w:tcPr/>
                <w:p>
                  <w:pPr>
                    <w:pStyle w:val="Compact"/>
                    <w:jc w:val="right"/>
                    <w:jc w:val="center"/>
                  </w:pPr>
                  <w:r>
                    <w:t xml:space="preserve">10.72</w:t>
                  </w:r>
                </w:p>
              </w:tc>
              <w:tc>
                <w:tcPr/>
                <w:p>
                  <w:pPr>
                    <w:pStyle w:val="Compact"/>
                    <w:jc w:val="right"/>
                    <w:jc w:val="center"/>
                  </w:pPr>
                  <w:r>
                    <w:t xml:space="preserve">-0.67</w:t>
                  </w:r>
                </w:p>
              </w:tc>
              <w:tc>
                <w:tcPr/>
                <w:p>
                  <w:pPr>
                    <w:pStyle w:val="Compact"/>
                    <w:jc w:val="right"/>
                    <w:jc w:val="center"/>
                  </w:pPr>
                  <w:r>
                    <w:t xml:space="preserve">0.90</w:t>
                  </w:r>
                </w:p>
              </w:tc>
              <w:tc>
                <w:tcPr/>
                <w:p>
                  <w:pPr>
                    <w:pStyle w:val="Compact"/>
                    <w:jc w:val="right"/>
                    <w:jc w:val="center"/>
                  </w:pPr>
                  <w:r>
                    <w:t xml:space="preserve">0.91</w:t>
                  </w:r>
                </w:p>
              </w:tc>
              <w:tc>
                <w:tcPr/>
                <w:p>
                  <w:pPr>
                    <w:pStyle w:val="Compact"/>
                    <w:jc w:val="right"/>
                    <w:jc w:val="center"/>
                  </w:pPr>
                  <w:r>
                    <w:t xml:space="preserve">0.25</w:t>
                  </w:r>
                </w:p>
              </w:tc>
              <w:tc>
                <w:tcPr/>
                <w:p>
                  <w:pPr>
                    <w:pStyle w:val="Compact"/>
                    <w:jc w:val="right"/>
                    <w:jc w:val="center"/>
                  </w:pPr>
                  <w:r>
                    <w:t xml:space="preserve">0.31</w:t>
                  </w:r>
                </w:p>
              </w:tc>
              <w:tc>
                <w:tcPr/>
                <w:p>
                  <w:pPr>
                    <w:pStyle w:val="Compact"/>
                    <w:jc w:val="right"/>
                    <w:jc w:val="center"/>
                  </w:pPr>
                  <w:r>
                    <w:t xml:space="preserve">-0.24</w:t>
                  </w:r>
                </w:p>
              </w:tc>
              <w:tc>
                <w:tcPr/>
                <w:p>
                  <w:pPr>
                    <w:pStyle w:val="Compact"/>
                    <w:jc w:val="right"/>
                    <w:jc w:val="center"/>
                  </w:pPr>
                  <w:r>
                    <w:t xml:space="preserve">0.64</w:t>
                  </w:r>
                </w:p>
              </w:tc>
            </w:tr>
            <w:tr>
              <w:tc>
                <w:tcPr/>
                <w:p>
                  <w:pPr>
                    <w:pStyle w:val="Compact"/>
                    <w:jc w:val="left"/>
                    <w:jc w:val="center"/>
                  </w:pPr>
                  <w:r>
                    <w:t xml:space="preserve">Rest</w:t>
                  </w:r>
                </w:p>
              </w:tc>
              <w:tc>
                <w:tcPr/>
                <w:p>
                  <w:pPr>
                    <w:pStyle w:val="Compact"/>
                    <w:jc w:val="right"/>
                    <w:jc w:val="center"/>
                  </w:pPr>
                  <w:r>
                    <w:t xml:space="preserve">18</w:t>
                  </w:r>
                </w:p>
              </w:tc>
              <w:tc>
                <w:tcPr/>
                <w:p>
                  <w:pPr>
                    <w:pStyle w:val="Compact"/>
                    <w:jc w:val="right"/>
                    <w:jc w:val="center"/>
                  </w:pPr>
                  <w:r>
                    <w:t xml:space="preserve">9.84</w:t>
                  </w:r>
                </w:p>
              </w:tc>
              <w:tc>
                <w:tcPr/>
                <w:p>
                  <w:pPr>
                    <w:pStyle w:val="Compact"/>
                    <w:jc w:val="right"/>
                    <w:jc w:val="center"/>
                  </w:pPr>
                  <w:r>
                    <w:t xml:space="preserve">10.84</w:t>
                  </w:r>
                </w:p>
              </w:tc>
              <w:tc>
                <w:tcPr/>
                <w:p>
                  <w:pPr>
                    <w:pStyle w:val="Compact"/>
                    <w:jc w:val="right"/>
                    <w:jc w:val="center"/>
                  </w:pPr>
                  <w:r>
                    <w:t xml:space="preserve">-1.00</w:t>
                  </w:r>
                </w:p>
              </w:tc>
              <w:tc>
                <w:tcPr/>
                <w:p>
                  <w:pPr>
                    <w:pStyle w:val="Compact"/>
                    <w:jc w:val="right"/>
                    <w:jc w:val="center"/>
                  </w:pPr>
                  <w:r>
                    <w:t xml:space="preserve">1.45</w:t>
                  </w:r>
                </w:p>
              </w:tc>
              <w:tc>
                <w:tcPr/>
                <w:p>
                  <w:pPr>
                    <w:pStyle w:val="Compact"/>
                    <w:jc w:val="right"/>
                    <w:jc w:val="center"/>
                  </w:pPr>
                  <w:r>
                    <w:t xml:space="preserve">1.28</w:t>
                  </w:r>
                </w:p>
              </w:tc>
              <w:tc>
                <w:tcPr/>
                <w:p>
                  <w:pPr>
                    <w:pStyle w:val="Compact"/>
                    <w:jc w:val="right"/>
                    <w:jc w:val="center"/>
                  </w:pPr>
                  <w:r>
                    <w:t xml:space="preserve">0.06</w:t>
                  </w:r>
                </w:p>
              </w:tc>
              <w:tc>
                <w:tcPr/>
                <w:p>
                  <w:pPr>
                    <w:pStyle w:val="Compact"/>
                    <w:jc w:val="right"/>
                    <w:jc w:val="center"/>
                  </w:pPr>
                  <w:r>
                    <w:t xml:space="preserve">0.80</w:t>
                  </w:r>
                </w:p>
              </w:tc>
              <w:tc>
                <w:tcPr/>
                <w:p>
                  <w:pPr>
                    <w:pStyle w:val="Compact"/>
                    <w:jc w:val="right"/>
                    <w:jc w:val="center"/>
                  </w:pPr>
                  <w:r>
                    <w:t xml:space="preserve">-0.42</w:t>
                  </w:r>
                </w:p>
              </w:tc>
              <w:tc>
                <w:tcPr/>
                <w:p>
                  <w:pPr>
                    <w:pStyle w:val="Compact"/>
                    <w:jc w:val="right"/>
                    <w:jc w:val="center"/>
                  </w:pPr>
                  <w:r>
                    <w:t xml:space="preserve">0.51</w:t>
                  </w:r>
                </w:p>
              </w:tc>
            </w:tr>
          </w:tbl>
          <w:p>
            <w:pPr>
              <w:jc w:val="center"/>
            </w:pPr>
            <w:pPr>
              <w:jc w:val="left"/>
              <w:spacing w:before="200"/>
              <w:pStyle w:val="ImageCaption"/>
            </w:pPr>
            <w:r>
              <w:t xml:space="preserve">Table S11</w:t>
            </w:r>
            <w:r>
              <w:rPr>
                <w:b/>
                <w:bCs/>
              </w:rPr>
              <w:t xml:space="preserve">.</w:t>
            </w:r>
            <w:r>
              <w:t xml:space="preserve"> </w:t>
            </w:r>
            <w:r>
              <w:t xml:space="preserve">Agreement between sLASER- and MEGA-PRESS-derived Glx within each condition. Cond = condition; n = number of subjects; m. = mean; m.a. = mean absolute; r = Pearson correlation; p = p-value; CIlow = lower confidence interval; CIhigh = higher confidence interval.</w:t>
            </w:r>
          </w:p>
          <w:bookmarkEnd w:id="41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14" w:name="suppfig-glxagreementplot"/>
          <w:p>
            <w:pPr>
              <w:jc w:val="center"/>
            </w:pPr>
            <w:r>
              <w:drawing>
                <wp:inline>
                  <wp:extent cx="4620126" cy="3696101"/>
                  <wp:effectExtent b="0" l="0" r="0" t="0"/>
                  <wp:docPr descr="" title="" id="412" name="Picture"/>
                  <a:graphic>
                    <a:graphicData uri="http://schemas.openxmlformats.org/drawingml/2006/picture">
                      <pic:pic>
                        <pic:nvPicPr>
                          <pic:cNvPr descr="index_files/figure-docx/unnamed-chunk-24-1.png" id="413" name="Picture"/>
                          <pic:cNvPicPr>
                            <a:picLocks noChangeArrowheads="1" noChangeAspect="1"/>
                          </pic:cNvPicPr>
                        </pic:nvPicPr>
                        <pic:blipFill>
                          <a:blip r:embed="rId4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S8</w:t>
            </w:r>
            <w:r>
              <w:rPr>
                <w:b/>
                <w:bCs/>
              </w:rPr>
              <w:t xml:space="preserve">.</w:t>
            </w:r>
            <w:r>
              <w:t xml:space="preserve"> </w:t>
            </w:r>
            <w:r>
              <w:t xml:space="preserve">Glx from MEGA-PRESS plotted against Glx from sLASER, during both rest (green) and movie-watching (orange). Dashed line represents perfect agreement.</w:t>
            </w:r>
          </w:p>
          <w:bookmarkEnd w:id="414"/>
        </w:tc>
      </w:tr>
    </w:tbl>
    <w:bookmarkEnd w:id="415"/>
    <w:bookmarkEnd w:id="416"/>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7" Target="media/rId397.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41" Target="media/rId41.png" /><Relationship Type="http://schemas.openxmlformats.org/officeDocument/2006/relationships/image" Id="rId14" Target="media/rId14.png" /><Relationship Type="http://schemas.openxmlformats.org/officeDocument/2006/relationships/image" Id="rId36" Target="media/rId36.png" /><Relationship Type="http://schemas.openxmlformats.org/officeDocument/2006/relationships/image" Id="rId53" Target="media/rId53.png" /><Relationship Type="http://schemas.openxmlformats.org/officeDocument/2006/relationships/image" Id="rId369" Target="media/rId369.png" /><Relationship Type="http://schemas.openxmlformats.org/officeDocument/2006/relationships/image" Id="rId381" Target="media/rId381.png" /><Relationship Type="http://schemas.openxmlformats.org/officeDocument/2006/relationships/image" Id="rId388" Target="media/rId388.png" /><Relationship Type="http://schemas.openxmlformats.org/officeDocument/2006/relationships/image" Id="rId392" Target="media/rId392.png" /><Relationship Type="http://schemas.openxmlformats.org/officeDocument/2006/relationships/image" Id="rId402" Target="media/rId402.png" /><Relationship Type="http://schemas.openxmlformats.org/officeDocument/2006/relationships/image" Id="rId406" Target="media/rId406.png" /><Relationship Type="http://schemas.openxmlformats.org/officeDocument/2006/relationships/image" Id="rId411" Target="media/rId411.png" /><Relationship Type="http://schemas.openxmlformats.org/officeDocument/2006/relationships/hyperlink" Id="rId202" Target="https://arxiv.org/abs/2502.10946" TargetMode="External" /><Relationship Type="http://schemas.openxmlformats.org/officeDocument/2006/relationships/hyperlink" Id="rId220" Target="https://doi.org/10.1002/(sici)1099-1492(199810)11:6&lt;266::aid-nbm530&gt;3.0.co;2-j" TargetMode="External" /><Relationship Type="http://schemas.openxmlformats.org/officeDocument/2006/relationships/hyperlink" Id="rId255" Target="https://doi.org/10.1002/(sici)1522-2594(199907)42:1&lt;87::aid-mrm13&gt;3.0.co;2-o" TargetMode="External" /><Relationship Type="http://schemas.openxmlformats.org/officeDocument/2006/relationships/hyperlink" Id="rId135" Target="https://doi.org/10.1002/hbm.20593" TargetMode="External" /><Relationship Type="http://schemas.openxmlformats.org/officeDocument/2006/relationships/hyperlink" Id="rId290" Target="https://doi.org/10.1002/hbm.20601" TargetMode="External" /><Relationship Type="http://schemas.openxmlformats.org/officeDocument/2006/relationships/hyperlink" Id="rId128" Target="https://doi.org/10.1002/hbm.25801" TargetMode="External" /><Relationship Type="http://schemas.openxmlformats.org/officeDocument/2006/relationships/hyperlink" Id="rId271" Target="https://doi.org/10.1002/jmri.23941" TargetMode="External" /><Relationship Type="http://schemas.openxmlformats.org/officeDocument/2006/relationships/hyperlink" Id="rId288" Target="https://doi.org/10.1002/jmri.24478" TargetMode="External" /><Relationship Type="http://schemas.openxmlformats.org/officeDocument/2006/relationships/hyperlink" Id="rId282" Target="https://doi.org/10.1002/mrm.20901" TargetMode="External" /><Relationship Type="http://schemas.openxmlformats.org/officeDocument/2006/relationships/hyperlink" Id="rId218" Target="https://doi.org/10.1002/mrm.22708" TargetMode="External" /><Relationship Type="http://schemas.openxmlformats.org/officeDocument/2006/relationships/hyperlink" Id="rId275" Target="https://doi.org/10.1002/mrm.25549" TargetMode="External" /><Relationship Type="http://schemas.openxmlformats.org/officeDocument/2006/relationships/hyperlink" Id="rId344" Target="https://doi.org/10.1002/mrm.26022" TargetMode="External" /><Relationship Type="http://schemas.openxmlformats.org/officeDocument/2006/relationships/hyperlink" Id="rId180" Target="https://doi.org/10.1002/mrm.26619" TargetMode="External" /><Relationship Type="http://schemas.openxmlformats.org/officeDocument/2006/relationships/hyperlink" Id="rId225" Target="https://doi.org/10.1002/mrm.27742" TargetMode="External" /><Relationship Type="http://schemas.openxmlformats.org/officeDocument/2006/relationships/hyperlink" Id="rId265" Target="https://doi.org/10.1002/nbm.3045" TargetMode="External" /><Relationship Type="http://schemas.openxmlformats.org/officeDocument/2006/relationships/hyperlink" Id="rId356" Target="https://doi.org/10.1002/nbm.4245" TargetMode="External" /><Relationship Type="http://schemas.openxmlformats.org/officeDocument/2006/relationships/hyperlink" Id="rId286" Target="https://doi.org/10.1002/nbm.4350" TargetMode="External" /><Relationship Type="http://schemas.openxmlformats.org/officeDocument/2006/relationships/hyperlink" Id="rId338" Target="https://doi.org/10.1002/nbm.4411" TargetMode="External" /><Relationship Type="http://schemas.openxmlformats.org/officeDocument/2006/relationships/hyperlink" Id="rId267" Target="https://doi.org/10.1002/nbm.4482" TargetMode="External" /><Relationship Type="http://schemas.openxmlformats.org/officeDocument/2006/relationships/hyperlink" Id="rId340" Target="https://doi.org/10.1002/nbm.4484" TargetMode="External" /><Relationship Type="http://schemas.openxmlformats.org/officeDocument/2006/relationships/hyperlink" Id="rId269" Target="https://doi.org/10.1002/nbm.4618" TargetMode="External" /><Relationship Type="http://schemas.openxmlformats.org/officeDocument/2006/relationships/hyperlink" Id="rId261" Target="https://doi.org/10.1002/nbm.698" TargetMode="External" /><Relationship Type="http://schemas.openxmlformats.org/officeDocument/2006/relationships/hyperlink" Id="rId358" Target="https://doi.org/10.1002/nbm.70171" TargetMode="External" /><Relationship Type="http://schemas.openxmlformats.org/officeDocument/2006/relationships/hyperlink" Id="rId253" Target="https://doi.org/10.1006/cbmr.1996.0014" TargetMode="External" /><Relationship Type="http://schemas.openxmlformats.org/officeDocument/2006/relationships/hyperlink" Id="rId124" Target="https://doi.org/10.1006/nimg.1997.0263" TargetMode="External" /><Relationship Type="http://schemas.openxmlformats.org/officeDocument/2006/relationships/hyperlink" Id="rId245" Target="https://doi.org/10.1006/nimg.1998.0395" TargetMode="External" /><Relationship Type="http://schemas.openxmlformats.org/officeDocument/2006/relationships/hyperlink" Id="rId126" Target="https://doi.org/10.1006/nimg.2001.0955" TargetMode="External" /><Relationship Type="http://schemas.openxmlformats.org/officeDocument/2006/relationships/hyperlink" Id="rId104" Target="https://doi.org/10.1007/978-1-4757-5426-1" TargetMode="External" /><Relationship Type="http://schemas.openxmlformats.org/officeDocument/2006/relationships/hyperlink" Id="rId350" Target="https://doi.org/10.1007/s00330-010-1971-8" TargetMode="External" /><Relationship Type="http://schemas.openxmlformats.org/officeDocument/2006/relationships/hyperlink" Id="rId318" Target="https://doi.org/10.1007/s00330-012-2621-0" TargetMode="External" /><Relationship Type="http://schemas.openxmlformats.org/officeDocument/2006/relationships/hyperlink" Id="rId304" Target="https://doi.org/10.1007/s004249900135" TargetMode="External" /><Relationship Type="http://schemas.openxmlformats.org/officeDocument/2006/relationships/hyperlink" Id="rId150" Target="https://doi.org/10.1007/s10334-012-0312-0" TargetMode="External" /><Relationship Type="http://schemas.openxmlformats.org/officeDocument/2006/relationships/hyperlink" Id="rId330" Target="https://doi.org/10.1007/s11064-012-0848-4" TargetMode="External" /><Relationship Type="http://schemas.openxmlformats.org/officeDocument/2006/relationships/hyperlink" Id="rId122" Target="https://doi.org/10.1016/0013-4694(94)00181-2" TargetMode="External" /><Relationship Type="http://schemas.openxmlformats.org/officeDocument/2006/relationships/hyperlink" Id="rId114" Target="https://doi.org/10.1016/0165-0270(94)00115-W" TargetMode="External" /><Relationship Type="http://schemas.openxmlformats.org/officeDocument/2006/relationships/hyperlink" Id="rId102" Target="https://doi.org/10.1016/0167-2789(90)90064-V" TargetMode="External" /><Relationship Type="http://schemas.openxmlformats.org/officeDocument/2006/relationships/hyperlink" Id="rId182" Target="https://doi.org/10.1016/j.ab.2023.115113" TargetMode="External" /><Relationship Type="http://schemas.openxmlformats.org/officeDocument/2006/relationships/hyperlink" Id="rId154" Target="https://doi.org/10.1016/j.biopsych.2010.06.027" TargetMode="External" /><Relationship Type="http://schemas.openxmlformats.org/officeDocument/2006/relationships/hyperlink" Id="rId120" Target="https://doi.org/10.1016/j.bpj.2008.12.3951" TargetMode="External" /><Relationship Type="http://schemas.openxmlformats.org/officeDocument/2006/relationships/hyperlink" Id="rId156" Target="https://doi.org/10.1016/j.bpsc.2024.09.003" TargetMode="External" /><Relationship Type="http://schemas.openxmlformats.org/officeDocument/2006/relationships/hyperlink" Id="rId174" Target="https://doi.org/10.1016/j.celrep.2019.07.024" TargetMode="External" /><Relationship Type="http://schemas.openxmlformats.org/officeDocument/2006/relationships/hyperlink" Id="rId328" Target="https://doi.org/10.1016/j.cub.2011.01.069" TargetMode="External" /><Relationship Type="http://schemas.openxmlformats.org/officeDocument/2006/relationships/hyperlink" Id="rId208" Target="https://doi.org/10.1016/j.dcn.2018.10.004" TargetMode="External" /><Relationship Type="http://schemas.openxmlformats.org/officeDocument/2006/relationships/hyperlink" Id="rId300" Target="https://doi.org/10.1016/j.jneumeth.2013.10.017" TargetMode="External" /><Relationship Type="http://schemas.openxmlformats.org/officeDocument/2006/relationships/hyperlink" Id="rId229" Target="https://doi.org/10.1016/j.jneumeth.2016.03.001" TargetMode="External" /><Relationship Type="http://schemas.openxmlformats.org/officeDocument/2006/relationships/hyperlink" Id="rId259" Target="https://doi.org/10.1016/j.jneumeth.2020.108827" TargetMode="External" /><Relationship Type="http://schemas.openxmlformats.org/officeDocument/2006/relationships/hyperlink" Id="rId237" Target="https://doi.org/10.1016/j.media.2007.06.004" TargetMode="External" /><Relationship Type="http://schemas.openxmlformats.org/officeDocument/2006/relationships/hyperlink" Id="rId227" Target="https://doi.org/10.1016/j.mri.2017.12.029" TargetMode="External" /><Relationship Type="http://schemas.openxmlformats.org/officeDocument/2006/relationships/hyperlink" Id="rId273" Target="https://doi.org/10.1016/j.mri.2025.110452" TargetMode="External" /><Relationship Type="http://schemas.openxmlformats.org/officeDocument/2006/relationships/hyperlink" Id="rId168" Target="https://doi.org/10.1016/j.nbd.2019.04.010" TargetMode="External" /><Relationship Type="http://schemas.openxmlformats.org/officeDocument/2006/relationships/hyperlink" Id="rId172" Target="https://doi.org/10.1016/j.neubiorev.2019.07.024" TargetMode="External" /><Relationship Type="http://schemas.openxmlformats.org/officeDocument/2006/relationships/hyperlink" Id="rId263" Target="https://doi.org/10.1016/j.neubiorev.2022.104940" TargetMode="External" /><Relationship Type="http://schemas.openxmlformats.org/officeDocument/2006/relationships/hyperlink" Id="rId144" Target="https://doi.org/10.1016/j.neurobiolaging.2005.08.011" TargetMode="External" /><Relationship Type="http://schemas.openxmlformats.org/officeDocument/2006/relationships/hyperlink" Id="rId292" Target="https://doi.org/10.1016/j.neuroimage.2004.07.012" TargetMode="External" /><Relationship Type="http://schemas.openxmlformats.org/officeDocument/2006/relationships/hyperlink" Id="rId243" Target="https://doi.org/10.1016/j.neuroimage.2004.07.051" TargetMode="External" /><Relationship Type="http://schemas.openxmlformats.org/officeDocument/2006/relationships/hyperlink" Id="rId148" Target="https://doi.org/10.1016/j.neuroimage.2004.10.044" TargetMode="External" /><Relationship Type="http://schemas.openxmlformats.org/officeDocument/2006/relationships/hyperlink" Id="rId346" Target="https://doi.org/10.1016/j.neuroimage.2005.02.001" TargetMode="External" /><Relationship Type="http://schemas.openxmlformats.org/officeDocument/2006/relationships/hyperlink" Id="rId348" Target="https://doi.org/10.1016/j.neuroimage.2009.09.007" TargetMode="External" /><Relationship Type="http://schemas.openxmlformats.org/officeDocument/2006/relationships/hyperlink" Id="rId312" Target="https://doi.org/10.1016/j.neuroimage.2012.02.018" TargetMode="External" /><Relationship Type="http://schemas.openxmlformats.org/officeDocument/2006/relationships/hyperlink" Id="rId137" Target="https://doi.org/10.1016/j.neuroimage.2014.03.047" TargetMode="External" /><Relationship Type="http://schemas.openxmlformats.org/officeDocument/2006/relationships/hyperlink" Id="rId326" Target="https://doi.org/10.1016/j.neuroimage.2014.11.032" TargetMode="External" /><Relationship Type="http://schemas.openxmlformats.org/officeDocument/2006/relationships/hyperlink" Id="rId322" Target="https://doi.org/10.1016/j.neuroimage.2015.06.015" TargetMode="External" /><Relationship Type="http://schemas.openxmlformats.org/officeDocument/2006/relationships/hyperlink" Id="rId342" Target="https://doi.org/10.1016/j.neuroimage.2017.03.033" TargetMode="External" /><Relationship Type="http://schemas.openxmlformats.org/officeDocument/2006/relationships/hyperlink" Id="rId223" Target="https://doi.org/10.1016/j.neuroimage.2017.04.030" TargetMode="External" /><Relationship Type="http://schemas.openxmlformats.org/officeDocument/2006/relationships/hyperlink" Id="rId96" Target="https://doi.org/10.1016/j.neuroimage.2017.06.078" TargetMode="External" /><Relationship Type="http://schemas.openxmlformats.org/officeDocument/2006/relationships/hyperlink" Id="rId279" Target="https://doi.org/10.1016/j.neuroimage.2017.07.021" TargetMode="External" /><Relationship Type="http://schemas.openxmlformats.org/officeDocument/2006/relationships/hyperlink" Id="rId277" Target="https://doi.org/10.1016/j.neuroimage.2019.02.059" TargetMode="External" /><Relationship Type="http://schemas.openxmlformats.org/officeDocument/2006/relationships/hyperlink" Id="rId336" Target="https://doi.org/10.1016/j.neuroimage.2020.116532" TargetMode="External" /><Relationship Type="http://schemas.openxmlformats.org/officeDocument/2006/relationships/hyperlink" Id="rId284" Target="https://doi.org/10.1016/j.neuroimage.2021.118191" TargetMode="External" /><Relationship Type="http://schemas.openxmlformats.org/officeDocument/2006/relationships/hyperlink" Id="rId334" Target="https://doi.org/10.1016/j.neuroimage.2021.118430" TargetMode="External" /><Relationship Type="http://schemas.openxmlformats.org/officeDocument/2006/relationships/hyperlink" Id="rId320" Target="https://doi.org/10.1016/j.neuroscience.2017.09.037" TargetMode="External" /><Relationship Type="http://schemas.openxmlformats.org/officeDocument/2006/relationships/hyperlink" Id="rId302" Target="https://doi.org/10.1016/j.physa.2012.08.002" TargetMode="External" /><Relationship Type="http://schemas.openxmlformats.org/officeDocument/2006/relationships/hyperlink" Id="rId176" Target="https://doi.org/10.1016/j.pnpbp.2018.09.010" TargetMode="External" /><Relationship Type="http://schemas.openxmlformats.org/officeDocument/2006/relationships/hyperlink" Id="rId162" Target="https://doi.org/10.1016/j.pscychresns.2013.09.008" TargetMode="External" /><Relationship Type="http://schemas.openxmlformats.org/officeDocument/2006/relationships/hyperlink" Id="rId360" Target="https://doi.org/10.1016/j.pscychresns.2018.07.003" TargetMode="External" /><Relationship Type="http://schemas.openxmlformats.org/officeDocument/2006/relationships/hyperlink" Id="rId316" Target="https://doi.org/10.1016/j.tics.2009.10.011" TargetMode="External" /><Relationship Type="http://schemas.openxmlformats.org/officeDocument/2006/relationships/hyperlink" Id="rId81" Target="https://doi.org/10.1016/j.tics.2011.03.006" TargetMode="External" /><Relationship Type="http://schemas.openxmlformats.org/officeDocument/2006/relationships/hyperlink" Id="rId77" Target="https://doi.org/10.1016/j.tins.2013.03.001" TargetMode="External" /><Relationship Type="http://schemas.openxmlformats.org/officeDocument/2006/relationships/hyperlink" Id="rId194" Target="https://doi.org/10.1016/j.tins.2022.08.007" TargetMode="External" /><Relationship Type="http://schemas.openxmlformats.org/officeDocument/2006/relationships/hyperlink" Id="rId251" Target="https://doi.org/10.1016/s1053-8119(02)91132-8" TargetMode="External" /><Relationship Type="http://schemas.openxmlformats.org/officeDocument/2006/relationships/hyperlink" Id="rId210" Target="https://doi.org/10.1038/jcbfm.2012.33" TargetMode="External" /><Relationship Type="http://schemas.openxmlformats.org/officeDocument/2006/relationships/hyperlink" Id="rId110" Target="https://doi.org/10.1038/s41380-019-0426-0" TargetMode="External" /><Relationship Type="http://schemas.openxmlformats.org/officeDocument/2006/relationships/hyperlink" Id="rId108" Target="https://doi.org/10.1038/s41467-021-22742-8" TargetMode="External" /><Relationship Type="http://schemas.openxmlformats.org/officeDocument/2006/relationships/hyperlink" Id="rId206" Target="https://doi.org/10.1038/s41467-023-41686-9" TargetMode="External" /><Relationship Type="http://schemas.openxmlformats.org/officeDocument/2006/relationships/hyperlink" Id="rId249" Target="https://doi.org/10.1038/s41592-018-0235-4" TargetMode="External" /><Relationship Type="http://schemas.openxmlformats.org/officeDocument/2006/relationships/hyperlink" Id="rId296" Target="https://doi.org/10.1038/s41592-019-0686-2" TargetMode="External" /><Relationship Type="http://schemas.openxmlformats.org/officeDocument/2006/relationships/hyperlink" Id="rId92" Target="https://doi.org/10.1038/s41598-020-65500-4" TargetMode="External" /><Relationship Type="http://schemas.openxmlformats.org/officeDocument/2006/relationships/hyperlink" Id="rId332" Target="https://doi.org/10.1038/s41598-020-76263-3" TargetMode="External" /><Relationship Type="http://schemas.openxmlformats.org/officeDocument/2006/relationships/hyperlink" Id="rId231" Target="https://doi.org/10.1038/sdata.2016.44" TargetMode="External" /><Relationship Type="http://schemas.openxmlformats.org/officeDocument/2006/relationships/hyperlink" Id="rId142" Target="https://doi.org/10.1038/srep30895" TargetMode="External" /><Relationship Type="http://schemas.openxmlformats.org/officeDocument/2006/relationships/hyperlink" Id="rId132" Target="https://doi.org/10.1061/TACEAT.0006518" TargetMode="External" /><Relationship Type="http://schemas.openxmlformats.org/officeDocument/2006/relationships/hyperlink" Id="rId88" Target="https://doi.org/10.1063/1.4979043" TargetMode="External" /><Relationship Type="http://schemas.openxmlformats.org/officeDocument/2006/relationships/hyperlink" Id="rId190" Target="https://doi.org/10.1073/pnas.0800537105" TargetMode="External" /><Relationship Type="http://schemas.openxmlformats.org/officeDocument/2006/relationships/hyperlink" Id="rId130" Target="https://doi.org/10.1088/0967-3334/23/1/201" TargetMode="External" /><Relationship Type="http://schemas.openxmlformats.org/officeDocument/2006/relationships/hyperlink" Id="rId146" Target="https://doi.org/10.1093/cercor/bhae426" TargetMode="External" /><Relationship Type="http://schemas.openxmlformats.org/officeDocument/2006/relationships/hyperlink" Id="rId186" Target="https://doi.org/10.1093/cercor/bhl049" TargetMode="External" /><Relationship Type="http://schemas.openxmlformats.org/officeDocument/2006/relationships/hyperlink" Id="rId158" Target="https://doi.org/10.1101/2022.05.24.22275531" TargetMode="External" /><Relationship Type="http://schemas.openxmlformats.org/officeDocument/2006/relationships/hyperlink" Id="rId204" Target="https://doi.org/10.1101/2024.04.22.590555" TargetMode="External" /><Relationship Type="http://schemas.openxmlformats.org/officeDocument/2006/relationships/hyperlink" Id="rId362" Target="https://doi.org/10.1101/2025.06.07.657685" TargetMode="External" /><Relationship Type="http://schemas.openxmlformats.org/officeDocument/2006/relationships/hyperlink" Id="rId90" Target="https://doi.org/10.1103/PhysRevE.100.010301" TargetMode="External" /><Relationship Type="http://schemas.openxmlformats.org/officeDocument/2006/relationships/hyperlink" Id="rId112" Target="https://doi.org/10.1103/RevModPhys.90.031001" TargetMode="External" /><Relationship Type="http://schemas.openxmlformats.org/officeDocument/2006/relationships/hyperlink" Id="rId241" Target="https://doi.org/10.1109/42.906424" TargetMode="External" /><Relationship Type="http://schemas.openxmlformats.org/officeDocument/2006/relationships/hyperlink" Id="rId294" Target="https://doi.org/10.1109/TAU.1967.1161901" TargetMode="External" /><Relationship Type="http://schemas.openxmlformats.org/officeDocument/2006/relationships/hyperlink" Id="rId235" Target="https://doi.org/10.1109/TMI.2010.2046908" TargetMode="External" /><Relationship Type="http://schemas.openxmlformats.org/officeDocument/2006/relationships/hyperlink" Id="rId184" Target="https://doi.org/10.1111/j.1460-9568.2011.07748.x" TargetMode="External" /><Relationship Type="http://schemas.openxmlformats.org/officeDocument/2006/relationships/hyperlink" Id="rId352" Target="https://doi.org/10.1111/sjop.12411" TargetMode="External" /><Relationship Type="http://schemas.openxmlformats.org/officeDocument/2006/relationships/hyperlink" Id="rId310" Target="https://doi.org/10.1152/jn.00338.2011" TargetMode="External" /><Relationship Type="http://schemas.openxmlformats.org/officeDocument/2006/relationships/hyperlink" Id="rId324" Target="https://doi.org/10.1152/jn.00346.2005" TargetMode="External" /><Relationship Type="http://schemas.openxmlformats.org/officeDocument/2006/relationships/hyperlink" Id="rId98" Target="https://doi.org/10.1162/netn_a_00269" TargetMode="External" /><Relationship Type="http://schemas.openxmlformats.org/officeDocument/2006/relationships/hyperlink" Id="rId212" Target="https://doi.org/10.1177/0271678X18795426" TargetMode="External" /><Relationship Type="http://schemas.openxmlformats.org/officeDocument/2006/relationships/hyperlink" Id="rId84" Target="https://doi.org/10.1177/10738584231221766" TargetMode="External" /><Relationship Type="http://schemas.openxmlformats.org/officeDocument/2006/relationships/hyperlink" Id="rId100" Target="https://doi.org/10.1371/journal.pcbi.1002038" TargetMode="External" /><Relationship Type="http://schemas.openxmlformats.org/officeDocument/2006/relationships/hyperlink" Id="rId247" Target="https://doi.org/10.1371/journal.pcbi.1005350" TargetMode="External" /><Relationship Type="http://schemas.openxmlformats.org/officeDocument/2006/relationships/hyperlink" Id="rId118" Target="https://doi.org/10.1371/journal.pone.0000439" TargetMode="External" /><Relationship Type="http://schemas.openxmlformats.org/officeDocument/2006/relationships/hyperlink" Id="rId314" Target="https://doi.org/10.1371/journal.pone.0006626" TargetMode="External" /><Relationship Type="http://schemas.openxmlformats.org/officeDocument/2006/relationships/hyperlink" Id="rId298" Target="https://doi.org/10.1371/journal.pone.0063448" TargetMode="External" /><Relationship Type="http://schemas.openxmlformats.org/officeDocument/2006/relationships/hyperlink" Id="rId166" Target="https://doi.org/10.1371/journal.pone.0095146" TargetMode="External" /><Relationship Type="http://schemas.openxmlformats.org/officeDocument/2006/relationships/hyperlink" Id="rId160" Target="https://doi.org/10.1371/journal.pone.0169647" TargetMode="External" /><Relationship Type="http://schemas.openxmlformats.org/officeDocument/2006/relationships/hyperlink" Id="rId152" Target="https://doi.org/10.1371/journal.pone.0190081" TargetMode="External" /><Relationship Type="http://schemas.openxmlformats.org/officeDocument/2006/relationships/hyperlink" Id="rId216" Target="https://doi.org/10.1523/JNEUROSCI.1214-18.2018" TargetMode="External" /><Relationship Type="http://schemas.openxmlformats.org/officeDocument/2006/relationships/hyperlink" Id="rId116" Target="https://doi.org/10.1523/JNEUROSCI.17-15-05666.1997" TargetMode="External" /><Relationship Type="http://schemas.openxmlformats.org/officeDocument/2006/relationships/hyperlink" Id="rId139" Target="https://doi.org/10.1523/JNEUROSCI.2111-11.2011" TargetMode="External" /><Relationship Type="http://schemas.openxmlformats.org/officeDocument/2006/relationships/hyperlink" Id="rId188" Target="https://doi.org/10.1523/JNEUROSCI.23-35-11167.2003" TargetMode="External" /><Relationship Type="http://schemas.openxmlformats.org/officeDocument/2006/relationships/hyperlink" Id="rId192" Target="https://doi.org/10.1523/JNEUROSCI.2771-11.2012" TargetMode="External" /><Relationship Type="http://schemas.openxmlformats.org/officeDocument/2006/relationships/hyperlink" Id="rId86" Target="https://doi.org/10.1523/JNEUROSCI.5990-11.2012" TargetMode="External" /><Relationship Type="http://schemas.openxmlformats.org/officeDocument/2006/relationships/hyperlink" Id="rId164" Target="https://doi.org/10.18632/oncotarget.19860" TargetMode="External" /><Relationship Type="http://schemas.openxmlformats.org/officeDocument/2006/relationships/hyperlink" Id="rId257" Target="https://doi.org/10.21105/joss.03669" TargetMode="External" /><Relationship Type="http://schemas.openxmlformats.org/officeDocument/2006/relationships/hyperlink" Id="rId307" Target="https://doi.org/10.2307/2331554" TargetMode="External" /><Relationship Type="http://schemas.openxmlformats.org/officeDocument/2006/relationships/hyperlink" Id="rId170" Target="https://doi.org/10.3109/15622975.2015.1085597" TargetMode="External" /><Relationship Type="http://schemas.openxmlformats.org/officeDocument/2006/relationships/hyperlink" Id="rId354" Target="https://doi.org/10.3389/fnhum.2021.644079" TargetMode="External" /><Relationship Type="http://schemas.openxmlformats.org/officeDocument/2006/relationships/hyperlink" Id="rId200" Target="https://doi.org/10.3389/fphy.2021.619661" TargetMode="External" /><Relationship Type="http://schemas.openxmlformats.org/officeDocument/2006/relationships/hyperlink" Id="rId196" Target="https://doi.org/10.3389/fphy.2021.639389" TargetMode="External" /><Relationship Type="http://schemas.openxmlformats.org/officeDocument/2006/relationships/hyperlink" Id="rId178" Target="https://doi.org/10.3389/fpsyt.2018.00076" TargetMode="External" /><Relationship Type="http://schemas.openxmlformats.org/officeDocument/2006/relationships/hyperlink" Id="rId239" Target="https://doi.org/10.5281/zenodo.50186" TargetMode="External" /><Relationship Type="http://schemas.openxmlformats.org/officeDocument/2006/relationships/hyperlink" Id="rId233" Target="https://doi.org/10.5281/zenodo.8436509" TargetMode="External" /><Relationship Type="http://schemas.openxmlformats.org/officeDocument/2006/relationships/hyperlink" Id="rId198" Target="https://doi.org/10.5463/thesis.144" TargetMode="External" /><Relationship Type="http://schemas.openxmlformats.org/officeDocument/2006/relationships/hyperlink" Id="rId214" Target="https://doi.org/10.58530/2024/1922" TargetMode="External" /><Relationship Type="http://schemas.openxmlformats.org/officeDocument/2006/relationships/hyperlink" Id="rId94" Target="https://doi.org/10.7554/eLife.55684" TargetMode="External" /><Relationship Type="http://schemas.openxmlformats.org/officeDocument/2006/relationships/hyperlink" Id="rId22" Target="https://github.com/WeberLab/EI_Hurst_Analysis" TargetMode="External" /><Relationship Type="http://schemas.openxmlformats.org/officeDocument/2006/relationships/hyperlink" Id="rId72" Target="https://weberlab.github.io/EI_Hurst_Manuscript/" TargetMode="External" /><Relationship Type="http://schemas.openxmlformats.org/officeDocument/2006/relationships/hyperlink" Id="rId106" Target="https://www.ncbi.nlm.nih.gov/pmc/articles/PMC6748642" TargetMode="External" /><Relationship Type="http://schemas.openxmlformats.org/officeDocument/2006/relationships/hyperlink" Id="rId9"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02" Target="https://arxiv.org/abs/2502.10946" TargetMode="External" /><Relationship Type="http://schemas.openxmlformats.org/officeDocument/2006/relationships/hyperlink" Id="rId220" Target="https://doi.org/10.1002/(sici)1099-1492(199810)11:6&lt;266::aid-nbm530&gt;3.0.co;2-j" TargetMode="External" /><Relationship Type="http://schemas.openxmlformats.org/officeDocument/2006/relationships/hyperlink" Id="rId255" Target="https://doi.org/10.1002/(sici)1522-2594(199907)42:1&lt;87::aid-mrm13&gt;3.0.co;2-o" TargetMode="External" /><Relationship Type="http://schemas.openxmlformats.org/officeDocument/2006/relationships/hyperlink" Id="rId135" Target="https://doi.org/10.1002/hbm.20593" TargetMode="External" /><Relationship Type="http://schemas.openxmlformats.org/officeDocument/2006/relationships/hyperlink" Id="rId290" Target="https://doi.org/10.1002/hbm.20601" TargetMode="External" /><Relationship Type="http://schemas.openxmlformats.org/officeDocument/2006/relationships/hyperlink" Id="rId128" Target="https://doi.org/10.1002/hbm.25801" TargetMode="External" /><Relationship Type="http://schemas.openxmlformats.org/officeDocument/2006/relationships/hyperlink" Id="rId271" Target="https://doi.org/10.1002/jmri.23941" TargetMode="External" /><Relationship Type="http://schemas.openxmlformats.org/officeDocument/2006/relationships/hyperlink" Id="rId288" Target="https://doi.org/10.1002/jmri.24478" TargetMode="External" /><Relationship Type="http://schemas.openxmlformats.org/officeDocument/2006/relationships/hyperlink" Id="rId282" Target="https://doi.org/10.1002/mrm.20901" TargetMode="External" /><Relationship Type="http://schemas.openxmlformats.org/officeDocument/2006/relationships/hyperlink" Id="rId218" Target="https://doi.org/10.1002/mrm.22708" TargetMode="External" /><Relationship Type="http://schemas.openxmlformats.org/officeDocument/2006/relationships/hyperlink" Id="rId275" Target="https://doi.org/10.1002/mrm.25549" TargetMode="External" /><Relationship Type="http://schemas.openxmlformats.org/officeDocument/2006/relationships/hyperlink" Id="rId344" Target="https://doi.org/10.1002/mrm.26022" TargetMode="External" /><Relationship Type="http://schemas.openxmlformats.org/officeDocument/2006/relationships/hyperlink" Id="rId180" Target="https://doi.org/10.1002/mrm.26619" TargetMode="External" /><Relationship Type="http://schemas.openxmlformats.org/officeDocument/2006/relationships/hyperlink" Id="rId225" Target="https://doi.org/10.1002/mrm.27742" TargetMode="External" /><Relationship Type="http://schemas.openxmlformats.org/officeDocument/2006/relationships/hyperlink" Id="rId265" Target="https://doi.org/10.1002/nbm.3045" TargetMode="External" /><Relationship Type="http://schemas.openxmlformats.org/officeDocument/2006/relationships/hyperlink" Id="rId356" Target="https://doi.org/10.1002/nbm.4245" TargetMode="External" /><Relationship Type="http://schemas.openxmlformats.org/officeDocument/2006/relationships/hyperlink" Id="rId286" Target="https://doi.org/10.1002/nbm.4350" TargetMode="External" /><Relationship Type="http://schemas.openxmlformats.org/officeDocument/2006/relationships/hyperlink" Id="rId338" Target="https://doi.org/10.1002/nbm.4411" TargetMode="External" /><Relationship Type="http://schemas.openxmlformats.org/officeDocument/2006/relationships/hyperlink" Id="rId267" Target="https://doi.org/10.1002/nbm.4482" TargetMode="External" /><Relationship Type="http://schemas.openxmlformats.org/officeDocument/2006/relationships/hyperlink" Id="rId340" Target="https://doi.org/10.1002/nbm.4484" TargetMode="External" /><Relationship Type="http://schemas.openxmlformats.org/officeDocument/2006/relationships/hyperlink" Id="rId269" Target="https://doi.org/10.1002/nbm.4618" TargetMode="External" /><Relationship Type="http://schemas.openxmlformats.org/officeDocument/2006/relationships/hyperlink" Id="rId261" Target="https://doi.org/10.1002/nbm.698" TargetMode="External" /><Relationship Type="http://schemas.openxmlformats.org/officeDocument/2006/relationships/hyperlink" Id="rId358" Target="https://doi.org/10.1002/nbm.70171" TargetMode="External" /><Relationship Type="http://schemas.openxmlformats.org/officeDocument/2006/relationships/hyperlink" Id="rId253" Target="https://doi.org/10.1006/cbmr.1996.0014" TargetMode="External" /><Relationship Type="http://schemas.openxmlformats.org/officeDocument/2006/relationships/hyperlink" Id="rId124" Target="https://doi.org/10.1006/nimg.1997.0263" TargetMode="External" /><Relationship Type="http://schemas.openxmlformats.org/officeDocument/2006/relationships/hyperlink" Id="rId245" Target="https://doi.org/10.1006/nimg.1998.0395" TargetMode="External" /><Relationship Type="http://schemas.openxmlformats.org/officeDocument/2006/relationships/hyperlink" Id="rId126" Target="https://doi.org/10.1006/nimg.2001.0955" TargetMode="External" /><Relationship Type="http://schemas.openxmlformats.org/officeDocument/2006/relationships/hyperlink" Id="rId104" Target="https://doi.org/10.1007/978-1-4757-5426-1" TargetMode="External" /><Relationship Type="http://schemas.openxmlformats.org/officeDocument/2006/relationships/hyperlink" Id="rId350" Target="https://doi.org/10.1007/s00330-010-1971-8" TargetMode="External" /><Relationship Type="http://schemas.openxmlformats.org/officeDocument/2006/relationships/hyperlink" Id="rId318" Target="https://doi.org/10.1007/s00330-012-2621-0" TargetMode="External" /><Relationship Type="http://schemas.openxmlformats.org/officeDocument/2006/relationships/hyperlink" Id="rId304" Target="https://doi.org/10.1007/s004249900135" TargetMode="External" /><Relationship Type="http://schemas.openxmlformats.org/officeDocument/2006/relationships/hyperlink" Id="rId150" Target="https://doi.org/10.1007/s10334-012-0312-0" TargetMode="External" /><Relationship Type="http://schemas.openxmlformats.org/officeDocument/2006/relationships/hyperlink" Id="rId330" Target="https://doi.org/10.1007/s11064-012-0848-4" TargetMode="External" /><Relationship Type="http://schemas.openxmlformats.org/officeDocument/2006/relationships/hyperlink" Id="rId122" Target="https://doi.org/10.1016/0013-4694(94)00181-2" TargetMode="External" /><Relationship Type="http://schemas.openxmlformats.org/officeDocument/2006/relationships/hyperlink" Id="rId114" Target="https://doi.org/10.1016/0165-0270(94)00115-W" TargetMode="External" /><Relationship Type="http://schemas.openxmlformats.org/officeDocument/2006/relationships/hyperlink" Id="rId102" Target="https://doi.org/10.1016/0167-2789(90)90064-V" TargetMode="External" /><Relationship Type="http://schemas.openxmlformats.org/officeDocument/2006/relationships/hyperlink" Id="rId182" Target="https://doi.org/10.1016/j.ab.2023.115113" TargetMode="External" /><Relationship Type="http://schemas.openxmlformats.org/officeDocument/2006/relationships/hyperlink" Id="rId154" Target="https://doi.org/10.1016/j.biopsych.2010.06.027" TargetMode="External" /><Relationship Type="http://schemas.openxmlformats.org/officeDocument/2006/relationships/hyperlink" Id="rId120" Target="https://doi.org/10.1016/j.bpj.2008.12.3951" TargetMode="External" /><Relationship Type="http://schemas.openxmlformats.org/officeDocument/2006/relationships/hyperlink" Id="rId156" Target="https://doi.org/10.1016/j.bpsc.2024.09.003" TargetMode="External" /><Relationship Type="http://schemas.openxmlformats.org/officeDocument/2006/relationships/hyperlink" Id="rId174" Target="https://doi.org/10.1016/j.celrep.2019.07.024" TargetMode="External" /><Relationship Type="http://schemas.openxmlformats.org/officeDocument/2006/relationships/hyperlink" Id="rId328" Target="https://doi.org/10.1016/j.cub.2011.01.069" TargetMode="External" /><Relationship Type="http://schemas.openxmlformats.org/officeDocument/2006/relationships/hyperlink" Id="rId208" Target="https://doi.org/10.1016/j.dcn.2018.10.004" TargetMode="External" /><Relationship Type="http://schemas.openxmlformats.org/officeDocument/2006/relationships/hyperlink" Id="rId300" Target="https://doi.org/10.1016/j.jneumeth.2013.10.017" TargetMode="External" /><Relationship Type="http://schemas.openxmlformats.org/officeDocument/2006/relationships/hyperlink" Id="rId229" Target="https://doi.org/10.1016/j.jneumeth.2016.03.001" TargetMode="External" /><Relationship Type="http://schemas.openxmlformats.org/officeDocument/2006/relationships/hyperlink" Id="rId259" Target="https://doi.org/10.1016/j.jneumeth.2020.108827" TargetMode="External" /><Relationship Type="http://schemas.openxmlformats.org/officeDocument/2006/relationships/hyperlink" Id="rId237" Target="https://doi.org/10.1016/j.media.2007.06.004" TargetMode="External" /><Relationship Type="http://schemas.openxmlformats.org/officeDocument/2006/relationships/hyperlink" Id="rId227" Target="https://doi.org/10.1016/j.mri.2017.12.029" TargetMode="External" /><Relationship Type="http://schemas.openxmlformats.org/officeDocument/2006/relationships/hyperlink" Id="rId273" Target="https://doi.org/10.1016/j.mri.2025.110452" TargetMode="External" /><Relationship Type="http://schemas.openxmlformats.org/officeDocument/2006/relationships/hyperlink" Id="rId168" Target="https://doi.org/10.1016/j.nbd.2019.04.010" TargetMode="External" /><Relationship Type="http://schemas.openxmlformats.org/officeDocument/2006/relationships/hyperlink" Id="rId172" Target="https://doi.org/10.1016/j.neubiorev.2019.07.024" TargetMode="External" /><Relationship Type="http://schemas.openxmlformats.org/officeDocument/2006/relationships/hyperlink" Id="rId263" Target="https://doi.org/10.1016/j.neubiorev.2022.104940" TargetMode="External" /><Relationship Type="http://schemas.openxmlformats.org/officeDocument/2006/relationships/hyperlink" Id="rId144" Target="https://doi.org/10.1016/j.neurobiolaging.2005.08.011" TargetMode="External" /><Relationship Type="http://schemas.openxmlformats.org/officeDocument/2006/relationships/hyperlink" Id="rId292" Target="https://doi.org/10.1016/j.neuroimage.2004.07.012" TargetMode="External" /><Relationship Type="http://schemas.openxmlformats.org/officeDocument/2006/relationships/hyperlink" Id="rId243" Target="https://doi.org/10.1016/j.neuroimage.2004.07.051" TargetMode="External" /><Relationship Type="http://schemas.openxmlformats.org/officeDocument/2006/relationships/hyperlink" Id="rId148" Target="https://doi.org/10.1016/j.neuroimage.2004.10.044" TargetMode="External" /><Relationship Type="http://schemas.openxmlformats.org/officeDocument/2006/relationships/hyperlink" Id="rId346" Target="https://doi.org/10.1016/j.neuroimage.2005.02.001" TargetMode="External" /><Relationship Type="http://schemas.openxmlformats.org/officeDocument/2006/relationships/hyperlink" Id="rId348" Target="https://doi.org/10.1016/j.neuroimage.2009.09.007" TargetMode="External" /><Relationship Type="http://schemas.openxmlformats.org/officeDocument/2006/relationships/hyperlink" Id="rId312" Target="https://doi.org/10.1016/j.neuroimage.2012.02.018" TargetMode="External" /><Relationship Type="http://schemas.openxmlformats.org/officeDocument/2006/relationships/hyperlink" Id="rId137" Target="https://doi.org/10.1016/j.neuroimage.2014.03.047" TargetMode="External" /><Relationship Type="http://schemas.openxmlformats.org/officeDocument/2006/relationships/hyperlink" Id="rId326" Target="https://doi.org/10.1016/j.neuroimage.2014.11.032" TargetMode="External" /><Relationship Type="http://schemas.openxmlformats.org/officeDocument/2006/relationships/hyperlink" Id="rId322" Target="https://doi.org/10.1016/j.neuroimage.2015.06.015" TargetMode="External" /><Relationship Type="http://schemas.openxmlformats.org/officeDocument/2006/relationships/hyperlink" Id="rId342" Target="https://doi.org/10.1016/j.neuroimage.2017.03.033" TargetMode="External" /><Relationship Type="http://schemas.openxmlformats.org/officeDocument/2006/relationships/hyperlink" Id="rId223" Target="https://doi.org/10.1016/j.neuroimage.2017.04.030" TargetMode="External" /><Relationship Type="http://schemas.openxmlformats.org/officeDocument/2006/relationships/hyperlink" Id="rId96" Target="https://doi.org/10.1016/j.neuroimage.2017.06.078" TargetMode="External" /><Relationship Type="http://schemas.openxmlformats.org/officeDocument/2006/relationships/hyperlink" Id="rId279" Target="https://doi.org/10.1016/j.neuroimage.2017.07.021" TargetMode="External" /><Relationship Type="http://schemas.openxmlformats.org/officeDocument/2006/relationships/hyperlink" Id="rId277" Target="https://doi.org/10.1016/j.neuroimage.2019.02.059" TargetMode="External" /><Relationship Type="http://schemas.openxmlformats.org/officeDocument/2006/relationships/hyperlink" Id="rId336" Target="https://doi.org/10.1016/j.neuroimage.2020.116532" TargetMode="External" /><Relationship Type="http://schemas.openxmlformats.org/officeDocument/2006/relationships/hyperlink" Id="rId284" Target="https://doi.org/10.1016/j.neuroimage.2021.118191" TargetMode="External" /><Relationship Type="http://schemas.openxmlformats.org/officeDocument/2006/relationships/hyperlink" Id="rId334" Target="https://doi.org/10.1016/j.neuroimage.2021.118430" TargetMode="External" /><Relationship Type="http://schemas.openxmlformats.org/officeDocument/2006/relationships/hyperlink" Id="rId320" Target="https://doi.org/10.1016/j.neuroscience.2017.09.037" TargetMode="External" /><Relationship Type="http://schemas.openxmlformats.org/officeDocument/2006/relationships/hyperlink" Id="rId302" Target="https://doi.org/10.1016/j.physa.2012.08.002" TargetMode="External" /><Relationship Type="http://schemas.openxmlformats.org/officeDocument/2006/relationships/hyperlink" Id="rId176" Target="https://doi.org/10.1016/j.pnpbp.2018.09.010" TargetMode="External" /><Relationship Type="http://schemas.openxmlformats.org/officeDocument/2006/relationships/hyperlink" Id="rId162" Target="https://doi.org/10.1016/j.pscychresns.2013.09.008" TargetMode="External" /><Relationship Type="http://schemas.openxmlformats.org/officeDocument/2006/relationships/hyperlink" Id="rId360" Target="https://doi.org/10.1016/j.pscychresns.2018.07.003" TargetMode="External" /><Relationship Type="http://schemas.openxmlformats.org/officeDocument/2006/relationships/hyperlink" Id="rId316" Target="https://doi.org/10.1016/j.tics.2009.10.011" TargetMode="External" /><Relationship Type="http://schemas.openxmlformats.org/officeDocument/2006/relationships/hyperlink" Id="rId81" Target="https://doi.org/10.1016/j.tics.2011.03.006" TargetMode="External" /><Relationship Type="http://schemas.openxmlformats.org/officeDocument/2006/relationships/hyperlink" Id="rId77" Target="https://doi.org/10.1016/j.tins.2013.03.001" TargetMode="External" /><Relationship Type="http://schemas.openxmlformats.org/officeDocument/2006/relationships/hyperlink" Id="rId194" Target="https://doi.org/10.1016/j.tins.2022.08.007" TargetMode="External" /><Relationship Type="http://schemas.openxmlformats.org/officeDocument/2006/relationships/hyperlink" Id="rId251" Target="https://doi.org/10.1016/s1053-8119(02)91132-8" TargetMode="External" /><Relationship Type="http://schemas.openxmlformats.org/officeDocument/2006/relationships/hyperlink" Id="rId210" Target="https://doi.org/10.1038/jcbfm.2012.33" TargetMode="External" /><Relationship Type="http://schemas.openxmlformats.org/officeDocument/2006/relationships/hyperlink" Id="rId110" Target="https://doi.org/10.1038/s41380-019-0426-0" TargetMode="External" /><Relationship Type="http://schemas.openxmlformats.org/officeDocument/2006/relationships/hyperlink" Id="rId108" Target="https://doi.org/10.1038/s41467-021-22742-8" TargetMode="External" /><Relationship Type="http://schemas.openxmlformats.org/officeDocument/2006/relationships/hyperlink" Id="rId206" Target="https://doi.org/10.1038/s41467-023-41686-9" TargetMode="External" /><Relationship Type="http://schemas.openxmlformats.org/officeDocument/2006/relationships/hyperlink" Id="rId249" Target="https://doi.org/10.1038/s41592-018-0235-4" TargetMode="External" /><Relationship Type="http://schemas.openxmlformats.org/officeDocument/2006/relationships/hyperlink" Id="rId296" Target="https://doi.org/10.1038/s41592-019-0686-2" TargetMode="External" /><Relationship Type="http://schemas.openxmlformats.org/officeDocument/2006/relationships/hyperlink" Id="rId92" Target="https://doi.org/10.1038/s41598-020-65500-4" TargetMode="External" /><Relationship Type="http://schemas.openxmlformats.org/officeDocument/2006/relationships/hyperlink" Id="rId332" Target="https://doi.org/10.1038/s41598-020-76263-3" TargetMode="External" /><Relationship Type="http://schemas.openxmlformats.org/officeDocument/2006/relationships/hyperlink" Id="rId231" Target="https://doi.org/10.1038/sdata.2016.44" TargetMode="External" /><Relationship Type="http://schemas.openxmlformats.org/officeDocument/2006/relationships/hyperlink" Id="rId142" Target="https://doi.org/10.1038/srep30895" TargetMode="External" /><Relationship Type="http://schemas.openxmlformats.org/officeDocument/2006/relationships/hyperlink" Id="rId132" Target="https://doi.org/10.1061/TACEAT.0006518" TargetMode="External" /><Relationship Type="http://schemas.openxmlformats.org/officeDocument/2006/relationships/hyperlink" Id="rId88" Target="https://doi.org/10.1063/1.4979043" TargetMode="External" /><Relationship Type="http://schemas.openxmlformats.org/officeDocument/2006/relationships/hyperlink" Id="rId190" Target="https://doi.org/10.1073/pnas.0800537105" TargetMode="External" /><Relationship Type="http://schemas.openxmlformats.org/officeDocument/2006/relationships/hyperlink" Id="rId130" Target="https://doi.org/10.1088/0967-3334/23/1/201" TargetMode="External" /><Relationship Type="http://schemas.openxmlformats.org/officeDocument/2006/relationships/hyperlink" Id="rId146" Target="https://doi.org/10.1093/cercor/bhae426" TargetMode="External" /><Relationship Type="http://schemas.openxmlformats.org/officeDocument/2006/relationships/hyperlink" Id="rId186" Target="https://doi.org/10.1093/cercor/bhl049" TargetMode="External" /><Relationship Type="http://schemas.openxmlformats.org/officeDocument/2006/relationships/hyperlink" Id="rId158" Target="https://doi.org/10.1101/2022.05.24.22275531" TargetMode="External" /><Relationship Type="http://schemas.openxmlformats.org/officeDocument/2006/relationships/hyperlink" Id="rId204" Target="https://doi.org/10.1101/2024.04.22.590555" TargetMode="External" /><Relationship Type="http://schemas.openxmlformats.org/officeDocument/2006/relationships/hyperlink" Id="rId362" Target="https://doi.org/10.1101/2025.06.07.657685" TargetMode="External" /><Relationship Type="http://schemas.openxmlformats.org/officeDocument/2006/relationships/hyperlink" Id="rId90" Target="https://doi.org/10.1103/PhysRevE.100.010301" TargetMode="External" /><Relationship Type="http://schemas.openxmlformats.org/officeDocument/2006/relationships/hyperlink" Id="rId112" Target="https://doi.org/10.1103/RevModPhys.90.031001" TargetMode="External" /><Relationship Type="http://schemas.openxmlformats.org/officeDocument/2006/relationships/hyperlink" Id="rId241" Target="https://doi.org/10.1109/42.906424" TargetMode="External" /><Relationship Type="http://schemas.openxmlformats.org/officeDocument/2006/relationships/hyperlink" Id="rId294" Target="https://doi.org/10.1109/TAU.1967.1161901" TargetMode="External" /><Relationship Type="http://schemas.openxmlformats.org/officeDocument/2006/relationships/hyperlink" Id="rId235" Target="https://doi.org/10.1109/TMI.2010.2046908" TargetMode="External" /><Relationship Type="http://schemas.openxmlformats.org/officeDocument/2006/relationships/hyperlink" Id="rId184" Target="https://doi.org/10.1111/j.1460-9568.2011.07748.x" TargetMode="External" /><Relationship Type="http://schemas.openxmlformats.org/officeDocument/2006/relationships/hyperlink" Id="rId352" Target="https://doi.org/10.1111/sjop.12411" TargetMode="External" /><Relationship Type="http://schemas.openxmlformats.org/officeDocument/2006/relationships/hyperlink" Id="rId310" Target="https://doi.org/10.1152/jn.00338.2011" TargetMode="External" /><Relationship Type="http://schemas.openxmlformats.org/officeDocument/2006/relationships/hyperlink" Id="rId324" Target="https://doi.org/10.1152/jn.00346.2005" TargetMode="External" /><Relationship Type="http://schemas.openxmlformats.org/officeDocument/2006/relationships/hyperlink" Id="rId98" Target="https://doi.org/10.1162/netn_a_00269" TargetMode="External" /><Relationship Type="http://schemas.openxmlformats.org/officeDocument/2006/relationships/hyperlink" Id="rId212" Target="https://doi.org/10.1177/0271678X18795426" TargetMode="External" /><Relationship Type="http://schemas.openxmlformats.org/officeDocument/2006/relationships/hyperlink" Id="rId84" Target="https://doi.org/10.1177/10738584231221766" TargetMode="External" /><Relationship Type="http://schemas.openxmlformats.org/officeDocument/2006/relationships/hyperlink" Id="rId100" Target="https://doi.org/10.1371/journal.pcbi.1002038" TargetMode="External" /><Relationship Type="http://schemas.openxmlformats.org/officeDocument/2006/relationships/hyperlink" Id="rId247" Target="https://doi.org/10.1371/journal.pcbi.1005350" TargetMode="External" /><Relationship Type="http://schemas.openxmlformats.org/officeDocument/2006/relationships/hyperlink" Id="rId118" Target="https://doi.org/10.1371/journal.pone.0000439" TargetMode="External" /><Relationship Type="http://schemas.openxmlformats.org/officeDocument/2006/relationships/hyperlink" Id="rId314" Target="https://doi.org/10.1371/journal.pone.0006626" TargetMode="External" /><Relationship Type="http://schemas.openxmlformats.org/officeDocument/2006/relationships/hyperlink" Id="rId298" Target="https://doi.org/10.1371/journal.pone.0063448" TargetMode="External" /><Relationship Type="http://schemas.openxmlformats.org/officeDocument/2006/relationships/hyperlink" Id="rId166" Target="https://doi.org/10.1371/journal.pone.0095146" TargetMode="External" /><Relationship Type="http://schemas.openxmlformats.org/officeDocument/2006/relationships/hyperlink" Id="rId160" Target="https://doi.org/10.1371/journal.pone.0169647" TargetMode="External" /><Relationship Type="http://schemas.openxmlformats.org/officeDocument/2006/relationships/hyperlink" Id="rId152" Target="https://doi.org/10.1371/journal.pone.0190081" TargetMode="External" /><Relationship Type="http://schemas.openxmlformats.org/officeDocument/2006/relationships/hyperlink" Id="rId216" Target="https://doi.org/10.1523/JNEUROSCI.1214-18.2018" TargetMode="External" /><Relationship Type="http://schemas.openxmlformats.org/officeDocument/2006/relationships/hyperlink" Id="rId116" Target="https://doi.org/10.1523/JNEUROSCI.17-15-05666.1997" TargetMode="External" /><Relationship Type="http://schemas.openxmlformats.org/officeDocument/2006/relationships/hyperlink" Id="rId139" Target="https://doi.org/10.1523/JNEUROSCI.2111-11.2011" TargetMode="External" /><Relationship Type="http://schemas.openxmlformats.org/officeDocument/2006/relationships/hyperlink" Id="rId188" Target="https://doi.org/10.1523/JNEUROSCI.23-35-11167.2003" TargetMode="External" /><Relationship Type="http://schemas.openxmlformats.org/officeDocument/2006/relationships/hyperlink" Id="rId192" Target="https://doi.org/10.1523/JNEUROSCI.2771-11.2012" TargetMode="External" /><Relationship Type="http://schemas.openxmlformats.org/officeDocument/2006/relationships/hyperlink" Id="rId86" Target="https://doi.org/10.1523/JNEUROSCI.5990-11.2012" TargetMode="External" /><Relationship Type="http://schemas.openxmlformats.org/officeDocument/2006/relationships/hyperlink" Id="rId164" Target="https://doi.org/10.18632/oncotarget.19860" TargetMode="External" /><Relationship Type="http://schemas.openxmlformats.org/officeDocument/2006/relationships/hyperlink" Id="rId257" Target="https://doi.org/10.21105/joss.03669" TargetMode="External" /><Relationship Type="http://schemas.openxmlformats.org/officeDocument/2006/relationships/hyperlink" Id="rId307" Target="https://doi.org/10.2307/2331554" TargetMode="External" /><Relationship Type="http://schemas.openxmlformats.org/officeDocument/2006/relationships/hyperlink" Id="rId170" Target="https://doi.org/10.3109/15622975.2015.1085597" TargetMode="External" /><Relationship Type="http://schemas.openxmlformats.org/officeDocument/2006/relationships/hyperlink" Id="rId354" Target="https://doi.org/10.3389/fnhum.2021.644079" TargetMode="External" /><Relationship Type="http://schemas.openxmlformats.org/officeDocument/2006/relationships/hyperlink" Id="rId200" Target="https://doi.org/10.3389/fphy.2021.619661" TargetMode="External" /><Relationship Type="http://schemas.openxmlformats.org/officeDocument/2006/relationships/hyperlink" Id="rId196" Target="https://doi.org/10.3389/fphy.2021.639389" TargetMode="External" /><Relationship Type="http://schemas.openxmlformats.org/officeDocument/2006/relationships/hyperlink" Id="rId178" Target="https://doi.org/10.3389/fpsyt.2018.00076" TargetMode="External" /><Relationship Type="http://schemas.openxmlformats.org/officeDocument/2006/relationships/hyperlink" Id="rId239" Target="https://doi.org/10.5281/zenodo.50186" TargetMode="External" /><Relationship Type="http://schemas.openxmlformats.org/officeDocument/2006/relationships/hyperlink" Id="rId233" Target="https://doi.org/10.5281/zenodo.8436509" TargetMode="External" /><Relationship Type="http://schemas.openxmlformats.org/officeDocument/2006/relationships/hyperlink" Id="rId198" Target="https://doi.org/10.5463/thesis.144" TargetMode="External" /><Relationship Type="http://schemas.openxmlformats.org/officeDocument/2006/relationships/hyperlink" Id="rId214" Target="https://doi.org/10.58530/2024/1922" TargetMode="External" /><Relationship Type="http://schemas.openxmlformats.org/officeDocument/2006/relationships/hyperlink" Id="rId94" Target="https://doi.org/10.7554/eLife.55684" TargetMode="External" /><Relationship Type="http://schemas.openxmlformats.org/officeDocument/2006/relationships/hyperlink" Id="rId22" Target="https://github.com/WeberLab/EI_Hurst_Analysis" TargetMode="External" /><Relationship Type="http://schemas.openxmlformats.org/officeDocument/2006/relationships/hyperlink" Id="rId72" Target="https://weberlab.github.io/EI_Hurst_Manuscript/" TargetMode="External" /><Relationship Type="http://schemas.openxmlformats.org/officeDocument/2006/relationships/hyperlink" Id="rId106" Target="https://www.ncbi.nlm.nih.gov/pmc/articles/PMC6748642" TargetMode="External" /><Relationship Type="http://schemas.openxmlformats.org/officeDocument/2006/relationships/hyperlink" Id="rId9"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2026-04-22T21:29:09Z</dcterms:created>
  <dcterms:modified xsi:type="dcterms:W3CDTF">2026-04-22T21:29:09Z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2026-04-22</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line-numbers">
    <vt:lpwstr>False</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tbl-cap-location">
    <vt:lpwstr>bottom</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itlerunning">
    <vt:lpwstr/>
  </property>
  <property fmtid="{D5CDD505-2E9C-101B-9397-08002B2CF9AE}" pid="31" name="toc-title">
    <vt:lpwstr>Table of contents</vt:lpwstr>
  </property>
  <property fmtid="{D5CDD505-2E9C-101B-9397-08002B2CF9AE}" pid="32" name="unroll-markdown-cells">
    <vt:lpwstr>True</vt:lpwstr>
  </property>
</Properties>
</file>