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D6A735"/>
          <w:sz w:val="22"/>
        </w:rPr>
        <w:t>DOCUMENTAÇÃO TÉCNICA E FUNCIONAL</w:t>
      </w:r>
    </w:p>
    <w:p>
      <w:pPr>
        <w:keepNext/>
        <w:spacing w:after="160"/>
        <w:jc w:val="center"/>
      </w:pPr>
      <w:r>
        <w:rPr>
          <w:rFonts w:ascii="Calibri" w:hAnsi="Calibri" w:eastAsia="Calibri"/>
          <w:b/>
          <w:color w:val="17365D"/>
          <w:sz w:val="60"/>
        </w:rPr>
        <w:t>Software Hub / SGPI-NIT</w:t>
      </w:r>
    </w:p>
    <w:p>
      <w:pPr>
        <w:spacing w:after="120"/>
        <w:jc w:val="center"/>
      </w:pPr>
      <w:r>
        <w:rPr>
          <w:rFonts w:ascii="Calibri" w:hAnsi="Calibri" w:eastAsia="Calibri"/>
          <w:color w:val="2E74B5"/>
          <w:sz w:val="32"/>
        </w:rPr>
        <w:t>Sistema de Gestão da Propriedade Intelectual</w:t>
      </w:r>
    </w:p>
    <w:p>
      <w:pPr>
        <w:spacing w:after="560"/>
        <w:jc w:val="center"/>
      </w:pPr>
      <w:r>
        <w:rPr>
          <w:rFonts w:ascii="Calibri" w:hAnsi="Calibri" w:eastAsia="Calibri"/>
          <w:b/>
          <w:color w:val="5F6B73"/>
          <w:sz w:val="21"/>
        </w:rPr>
        <w:t>Universidade Estadual do Tocantins - Unitins | Núcleo de Inovação Tecnológica</w:t>
      </w:r>
    </w:p>
    <w:p>
      <w:pPr>
        <w:spacing w:after="960"/>
        <w:pBdr>
          <w:bottom w:val="single" w:sz="10" w:space="1" w:color="5B9BD5"/>
        </w:pBdr>
      </w:pPr>
    </w:p>
    <w:p>
      <w:pPr>
        <w:spacing w:after="100"/>
        <w:jc w:val="center"/>
      </w:pPr>
      <w:r>
        <w:rPr>
          <w:rFonts w:ascii="Calibri" w:hAnsi="Calibri" w:eastAsia="Calibri"/>
          <w:b/>
          <w:color w:val="17365D"/>
          <w:sz w:val="24"/>
        </w:rPr>
        <w:t>Versão 0.1 - Rascunho para validação</w:t>
      </w:r>
    </w:p>
    <w:p>
      <w:pPr>
        <w:spacing w:after="80"/>
        <w:jc w:val="center"/>
      </w:pPr>
      <w:r>
        <w:rPr>
          <w:rFonts w:ascii="Calibri" w:hAnsi="Calibri" w:eastAsia="Calibri"/>
          <w:color w:val="5F6B73"/>
          <w:sz w:val="20"/>
        </w:rPr>
        <w:t>Elaboração inicial: Weberth Erik Anolar Sirqueira</w:t>
      </w:r>
    </w:p>
    <w:p>
      <w:pPr>
        <w:jc w:val="center"/>
      </w:pPr>
      <w:r>
        <w:rPr>
          <w:rFonts w:ascii="Calibri" w:hAnsi="Calibri" w:eastAsia="Calibri"/>
          <w:color w:val="5F6B73"/>
          <w:sz w:val="20"/>
        </w:rPr>
        <w:t>12 de agosto de 2026</w:t>
      </w:r>
    </w:p>
    <w:p>
      <w:pPr>
        <w:sectPr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461" w:footer="461" w:gutter="0"/>
          <w:cols w:space="720"/>
          <w:docGrid w:linePitch="360"/>
        </w:sectPr>
      </w:pPr>
    </w:p>
    <w:p>
      <w:pPr>
        <w:pStyle w:val="Heading1"/>
      </w:pPr>
      <w:r>
        <w:t>Controle do documento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Campo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Informação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Documento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Documentação Técnica e Funcional do Software Hub / SGPI-NIT</w:t>
            </w:r>
          </w:p>
        </w:tc>
      </w:tr>
      <w:tr>
        <w:tc>
          <w:tcPr>
            <w:tcW w:type="dxa" w:w="2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Versão</w:t>
            </w:r>
          </w:p>
        </w:tc>
        <w:tc>
          <w:tcPr>
            <w:tcW w:type="dxa" w:w="7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0.1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Situação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Rascunho inicial para revisão e validação da equipe</w:t>
            </w:r>
          </w:p>
        </w:tc>
      </w:tr>
      <w:tr>
        <w:tc>
          <w:tcPr>
            <w:tcW w:type="dxa" w:w="2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Responsável inicial</w:t>
            </w:r>
          </w:p>
        </w:tc>
        <w:tc>
          <w:tcPr>
            <w:tcW w:type="dxa" w:w="7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Weberth Erik Anolar Sirqueira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Instituição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Universidade Estadual do Tocantins - Unitins / NIT</w:t>
            </w:r>
          </w:p>
        </w:tc>
      </w:tr>
      <w:tr>
        <w:tc>
          <w:tcPr>
            <w:tcW w:type="dxa" w:w="2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Data</w:t>
            </w:r>
          </w:p>
        </w:tc>
        <w:tc>
          <w:tcPr>
            <w:tcW w:type="dxa" w:w="7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12/08/2026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Importante: </w:t>
            </w:r>
            <w:r>
              <w:rPr>
                <w:rFonts w:ascii="Calibri" w:hAnsi="Calibri" w:eastAsia="Calibri"/>
                <w:color w:val="263238"/>
              </w:rPr>
              <w:t>Esta versão foi criada a partir das decisões e informações levantadas durante o desenvolvimento. Rotas, endpoints, nomes de diretórios e transições de status devem ser confrontados com a versão atual do código antes da publicação oficial.</w:t>
            </w:r>
          </w:p>
        </w:tc>
      </w:tr>
    </w:tbl>
    <w:p>
      <w:pPr>
        <w:spacing w:after="40"/>
      </w:pPr>
    </w:p>
    <w:p>
      <w:pPr>
        <w:pStyle w:val="Heading2"/>
      </w:pPr>
      <w:r>
        <w:t>Conteúdo desta versão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Visão geral, objetivos, escopo e perfis de usuário.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Funcionalidades e fluxo dos processos de propriedade intelectual.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Regras de negócio e estados do processo.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Arquitetura, tecnologias, backend, frontend e modelo de dados.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Infraestrutura Docker, configuração, execução local e segurança.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Decisões técnicas, problemas conhecidos, testes e próximos passos.</w:t>
      </w:r>
    </w:p>
    <w:p>
      <w:pPr>
        <w:pStyle w:val="Heading1"/>
      </w:pPr>
      <w:r>
        <w:t>1. Visão geral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Software Hub, também identificado durante o desenvolvimento como SGPI-NIT, é um sistema web destinado a organizar e acompanhar processos de propriedade intelectual conduzidos pelo Núcleo de Inovação Tecnológica da Unitins. A aplicação centraliza dados cadastrais, formulários específicos, autores, documentos, distribuição de royalties e etapas de análise administrativa.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nome definitivo do produto ainda pode ser alterado. RegistraPI e NexoPI foram avaliados como alternativas. Enquanto essa decisão não for formalizada, esta documentação usa Software Hub / SGPI-NIT para manter a rastreabilidade com os repositórios e conversas anteriores.</w:t>
      </w:r>
    </w:p>
    <w:p>
      <w:pPr>
        <w:pStyle w:val="Heading2"/>
      </w:pPr>
      <w:r>
        <w:t>1.1 Objetivo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Oferecer um fluxo digital, rastreável e padronizado para o registro, a revisão e a conclusão de solicitações relacionadas a propriedade intelectual, reduzindo controles dispersos e facilitando a comunicação entre inventores, pesquisadores e a equipe do NIT.</w:t>
      </w:r>
    </w:p>
    <w:p>
      <w:pPr>
        <w:pStyle w:val="Heading2"/>
      </w:pPr>
      <w:r>
        <w:t>1.2 Objetivos específicos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Cadastrar processos de diferentes tipos de propriedade intelectual, como software, marca e patente.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Apresentar formulários dinâmicos conforme o tipo de propriedade intelectual selecionado.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Registrar solicitante, autores internos, membros e autores externos.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Anexar documentos, justificativas, termos e evidências do processo.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Distribuir e validar as cotas de royalties entre os participantes.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Permitir análise administrativa, solicitação de correção, classificação e finalização.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Disponibilizar busca, consulta, paginação e acompanhamento de status.</w:t>
      </w:r>
    </w:p>
    <w:p>
      <w:pPr>
        <w:pStyle w:val="Heading2"/>
      </w:pPr>
      <w:r>
        <w:t>1.3 Perfis envolvidos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Perfil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Responsabilidades principais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Usuário / inventor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Criar processos, preencher dados, informar membros, anexar documentos, distribuir cotas e responder correções.</w:t>
            </w:r>
          </w:p>
        </w:tc>
      </w:tr>
      <w:tr>
        <w:tc>
          <w:tcPr>
            <w:tcW w:type="dxa" w:w="2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Administrador do NIT</w:t>
            </w:r>
          </w:p>
        </w:tc>
        <w:tc>
          <w:tcPr>
            <w:tcW w:type="dxa" w:w="69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Consultar processos, validar informações, solicitar ajustes, classificar, acompanhar documentação e concluir a tramitação.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Autor ou membro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9"/>
              </w:rPr>
              <w:t>Participar do processo, confirmar informações e aceitar termos quando o fluxo exigir.</w:t>
            </w:r>
          </w:p>
        </w:tc>
      </w:tr>
    </w:tbl>
    <w:p>
      <w:pPr>
        <w:spacing w:after="40"/>
      </w:pPr>
    </w:p>
    <w:p>
      <w:pPr>
        <w:pStyle w:val="Heading1"/>
      </w:pPr>
      <w:r>
        <w:t>2. Escopo funcional</w:t>
      </w:r>
    </w:p>
    <w:p>
      <w:pPr>
        <w:pStyle w:val="Heading2"/>
      </w:pPr>
      <w:r>
        <w:t>2.1 Modulos principais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Autenticação e usuários:</w:t>
      </w:r>
      <w:r>
        <w:rPr>
          <w:rFonts w:ascii="Calibri" w:hAnsi="Calibri" w:eastAsia="Calibri"/>
          <w:i w:val="0"/>
          <w:color w:val="263238"/>
        </w:rPr>
        <w:t xml:space="preserve"> Login por e-mail, cadastro, autorização por perfil e recuperação da identidade do usuário autenticado.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Tipos de PI:</w:t>
      </w:r>
      <w:r>
        <w:rPr>
          <w:rFonts w:ascii="Calibri" w:hAnsi="Calibri" w:eastAsia="Calibri"/>
          <w:i w:val="0"/>
          <w:color w:val="263238"/>
        </w:rPr>
        <w:t xml:space="preserve"> Cadastro e seleção dos tipos de propriedade intelectual e de seus formulários específicos.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Processos:</w:t>
      </w:r>
      <w:r>
        <w:rPr>
          <w:rFonts w:ascii="Calibri" w:hAnsi="Calibri" w:eastAsia="Calibri"/>
          <w:i w:val="0"/>
          <w:color w:val="263238"/>
        </w:rPr>
        <w:t xml:space="preserve"> Criação, edição, detalhamento, busca, paginação e acompanhamento do processo.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Participantes:</w:t>
      </w:r>
      <w:r>
        <w:rPr>
          <w:rFonts w:ascii="Calibri" w:hAnsi="Calibri" w:eastAsia="Calibri"/>
          <w:i w:val="0"/>
          <w:color w:val="263238"/>
        </w:rPr>
        <w:t xml:space="preserve"> Solicitante, autores, membros internos e membros externos.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Royalties:</w:t>
      </w:r>
      <w:r>
        <w:rPr>
          <w:rFonts w:ascii="Calibri" w:hAnsi="Calibri" w:eastAsia="Calibri"/>
          <w:i w:val="0"/>
          <w:color w:val="263238"/>
        </w:rPr>
        <w:t xml:space="preserve"> Registro e verificação da distribuição percentual entre os participantes.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Documentos:</w:t>
      </w:r>
      <w:r>
        <w:rPr>
          <w:rFonts w:ascii="Calibri" w:hAnsi="Calibri" w:eastAsia="Calibri"/>
          <w:i w:val="0"/>
          <w:color w:val="263238"/>
        </w:rPr>
        <w:t xml:space="preserve"> Anexos, justificativas, termos de consentimento e documentação complementar.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Classificação:</w:t>
      </w:r>
      <w:r>
        <w:rPr>
          <w:rFonts w:ascii="Calibri" w:hAnsi="Calibri" w:eastAsia="Calibri"/>
          <w:i w:val="0"/>
          <w:color w:val="263238"/>
        </w:rPr>
        <w:t xml:space="preserve"> Campos de aplicação e classificação de Nice quando aplicável.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Tramitação administrativa:</w:t>
      </w:r>
      <w:r>
        <w:rPr>
          <w:rFonts w:ascii="Calibri" w:hAnsi="Calibri" w:eastAsia="Calibri"/>
          <w:i w:val="0"/>
          <w:color w:val="263238"/>
        </w:rPr>
        <w:t xml:space="preserve"> Correção, validação, classificação, documentação e finalização.</w:t>
      </w:r>
    </w:p>
    <w:p>
      <w:pPr>
        <w:pStyle w:val="Heading2"/>
      </w:pPr>
      <w:r>
        <w:t>2.2 Formulários dinâmicos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Cada tipo de propriedade intelectual pode exigir um conjunto diferente de campos. Para evitar um modelo rígido e excessivamente amplo, os dados específicos do formulário são armazenados em formData, com persistência JSONB no PostgreSQL. Os dados comuns do processo permanecem em entidades relacionais.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A735"/>
          <w:left w:val="single" w:sz="8" w:space="0" w:color="D6A735"/>
          <w:bottom w:val="single" w:sz="8" w:space="0" w:color="D6A735"/>
          <w:right w:val="single" w:sz="8" w:space="0" w:color="D6A735"/>
          <w:insideH w:val="single" w:sz="8" w:space="0" w:color="D6A735"/>
          <w:insideV w:val="single" w:sz="8" w:space="0" w:color="D6A73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Regra de compatibilidade: </w:t>
            </w:r>
            <w:r>
              <w:rPr>
                <w:rFonts w:ascii="Calibri" w:hAnsi="Calibri" w:eastAsia="Calibri"/>
                <w:color w:val="263238"/>
              </w:rPr>
              <w:t>A estrutura do formulário deve ser versionada ou tratada com cuidado para que processos antigos continuem legíveis quando novos campos forem adicionados.</w:t>
            </w:r>
          </w:p>
        </w:tc>
      </w:tr>
    </w:tbl>
    <w:p>
      <w:pPr>
        <w:spacing w:after="40"/>
      </w:pPr>
    </w:p>
    <w:p>
      <w:pPr>
        <w:pStyle w:val="Heading1"/>
      </w:pPr>
      <w:r>
        <w:t>3. Fluxo do processo de propriedade intelectual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fluxo abaixo representa a sequência funcional esperada. O backend deve continuar sendo a fonte de verdade para validar quais transições são permitidas em cada status.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O usuário cria o processo e seleciona o tipo de propriedade intelectual.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O sistema apresenta os campos gerais e o formulário dinamico correspondente ao tipo selecionado.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O usuário informa solicitante, autores, membros internos e externos.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As cotas de royalties são distribuidas e validadas.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Documentos e termos necessários são anexados ou aceitos.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A equipe do NIT analisa o processo e pode solicitar correção.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Após a correção, o processo retorna para análise, classificação e verificação documental.</w:t>
      </w:r>
    </w:p>
    <w:p>
      <w:pPr>
        <w:pStyle w:val="ListNumber"/>
        <w:spacing w:after="80" w:line="300" w:lineRule="auto"/>
      </w:pPr>
      <w:r>
        <w:rPr>
          <w:rFonts w:ascii="Calibri" w:hAnsi="Calibri" w:eastAsia="Calibri"/>
          <w:color w:val="263238"/>
        </w:rPr>
        <w:t>O processo somente pode ser finalizado quando os requisitos obrigatórios estiverem satisfeitos.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461" w:footer="461" w:gutter="0"/>
          <w:cols w:space="720"/>
          <w:docGrid w:linePitch="360"/>
        </w:sectPr>
      </w:pPr>
    </w:p>
    <w:p>
      <w:pPr>
        <w:pStyle w:val="Heading2"/>
      </w:pPr>
      <w:r>
        <w:t>3.1 Estados conhecidos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Status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Significado funcional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PENDENTE_DISTRIBUICAO_COTAS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distribuição de royalties ainda precisa ser informada ou validada.</w:t>
            </w:r>
          </w:p>
        </w:tc>
      </w:tr>
      <w:tr>
        <w:tc>
          <w:tcPr>
            <w:tcW w:type="dxa" w:w="35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COTAS_DISTRIBUIDAS</w:t>
            </w:r>
          </w:p>
        </w:tc>
        <w:tc>
          <w:tcPr>
            <w:tcW w:type="dxa" w:w="58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distribuição foi concluída e o processo pode seguir para as demais verificacoes.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CORRECAO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NIT identificou pendencias e devolveu o processo para ajuste.</w:t>
            </w:r>
          </w:p>
        </w:tc>
      </w:tr>
      <w:tr>
        <w:tc>
          <w:tcPr>
            <w:tcW w:type="dxa" w:w="35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CORRIGIDO</w:t>
            </w:r>
          </w:p>
        </w:tc>
        <w:tc>
          <w:tcPr>
            <w:tcW w:type="dxa" w:w="58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usuário enviou as correções e o processo aguarda nova análise.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CLASSIFICADO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classificação aplicável ao processo foi definida.</w:t>
            </w:r>
          </w:p>
        </w:tc>
      </w:tr>
      <w:tr>
        <w:tc>
          <w:tcPr>
            <w:tcW w:type="dxa" w:w="35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PENDENTE_DOCUMENTACAO</w:t>
            </w:r>
          </w:p>
        </w:tc>
        <w:tc>
          <w:tcPr>
            <w:tcW w:type="dxa" w:w="58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Ainda existem documentos ou termos obrigatórios pendentes.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FINALIZADO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processo concluiu os requisitos de tramitação.</w:t>
            </w:r>
          </w:p>
        </w:tc>
      </w:tr>
      <w:tr>
        <w:tc>
          <w:tcPr>
            <w:tcW w:type="dxa" w:w="35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INATIVO</w:t>
            </w:r>
          </w:p>
        </w:tc>
        <w:tc>
          <w:tcPr>
            <w:tcW w:type="dxa" w:w="58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processo foi desativado e não deve compor buscas e contagens operacionais comuns.</w:t>
            </w:r>
          </w:p>
        </w:tc>
      </w:tr>
    </w:tbl>
    <w:p>
      <w:pPr>
        <w:spacing w:after="40"/>
      </w:pPr>
    </w:p>
    <w:p>
      <w:pPr>
        <w:pStyle w:val="Heading1"/>
      </w:pPr>
      <w:r>
        <w:t>4. Regras de negócio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Um processo deve possuir um criador identificado e um tipo de propriedade intelectual válido.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Os campos obrigatórios dependem do tipo de PI e da etapa atual do processo.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 soma das cotas de royalties deve respeitar o total definido pela regra institucional, normalmente 100%. Essa regra deve ser confirmada no código vigente.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Processos inativos devem ser excluídos das contagens, indicadores e pesquisas operacionais, salvo em consulta administrativa especifica.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O envio de uma correção deve alterar o status para CORRIGIDO.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FINALIZADO somente pode ser atribuido depois da distribuição de cotas, da documentação obrigatoria e da classificação aplicável.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O backend deve validar transições de status e não depender apenas de controles visuais do frontend.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O usuário deve acessar apenas as operações autorizadas pelo seu perfil e pela relação com o processo.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Anexos devem manter vínculo com o processo, metadados de identificação e tratamento seguro do nome do arquivo.</w:t>
      </w:r>
    </w:p>
    <w:p>
      <w:pPr>
        <w:pStyle w:val="Heading1"/>
      </w:pPr>
      <w:r>
        <w:t>5. Arquitetura da solução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A aplicação segue uma arquitetura web em camadas. O Flutter Web fornece a interface e consome uma API REST em Spring Boot. O backend concentra autenticação, regras de negócio e persistência. O PostgreSQL armazena dados relacionais e estruturas dinamicas em JSONB. A entrega utiliza containers e ferramentas de integração e implantação.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520154"/>
            <wp:docPr id="1" name="Picture 1" descr="Diagrama da arquitetura: usuarios acessam o frontend Flutter Web, que consome a API Spring Boot; a API persiste no PostgreSQL e integra servicos de e-mail, arquivos e entrega Dock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software_h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1 - Arquitetura lógica do Software Hub / SGPI-NIT.</w:t>
      </w:r>
    </w:p>
    <w:p>
      <w:pPr>
        <w:pStyle w:val="Heading2"/>
      </w:pPr>
      <w:r>
        <w:t>5.1 Tecnologias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Camada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Tecnologia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Finalidade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Frontend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Flutter Web / Dart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Interface web responsiva e componentes reutilizáveis.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Estado e navegação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GetX, Bindings e Controllers</w:t>
            </w:r>
          </w:p>
        </w:tc>
        <w:tc>
          <w:tcPr>
            <w:tcW w:type="dxa" w:w="4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Injeção, ciclo de vida, navegação e estado de tela.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Arquitetura frontend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Clean Architecture e dartz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Separação de responsabilidades e tratamento de resultados com Either.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Comunicação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Pacote http</w:t>
            </w:r>
          </w:p>
        </w:tc>
        <w:tc>
          <w:tcPr>
            <w:tcW w:type="dxa" w:w="4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Consumo da API REST e envio de token Bearer.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Java 21 / Spring Boot 3.3.4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API REST, segurança, validações e regras de negócio.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Mapeamento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MapStruct</w:t>
            </w:r>
          </w:p>
        </w:tc>
        <w:tc>
          <w:tcPr>
            <w:tcW w:type="dxa" w:w="4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Conversão entre entidades, requisições e respostas.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Persistência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Spring Data JPA / PostgreSQL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ORM, relacionamentos e dados dinâmicos JSONB.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Documentação da API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Swagger / OpenAPI</w:t>
            </w:r>
          </w:p>
        </w:tc>
        <w:tc>
          <w:tcPr>
            <w:tcW w:type="dxa" w:w="4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Consulta e teste dos contratos HTTP.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Infraestrutura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Docker, Compose e Nginx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Build, execução dos serviços e entrega do frontend.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Entrega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GitLab CI/CD e Portainer</w:t>
            </w:r>
          </w:p>
        </w:tc>
        <w:tc>
          <w:tcPr>
            <w:tcW w:type="dxa" w:w="4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Automação de imagens e administração dos containers.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440" w:right="1440" w:bottom="1440" w:left="1440" w:header="461" w:footer="461" w:gutter="0"/>
          <w:cols w:space="720"/>
          <w:docGrid w:linePitch="360"/>
        </w:sectPr>
      </w:pPr>
    </w:p>
    <w:p>
      <w:pPr>
        <w:pStyle w:val="Heading1"/>
      </w:pPr>
      <w:r>
        <w:t>6. Backend</w:t>
      </w:r>
    </w:p>
    <w:p>
      <w:pPr>
        <w:pStyle w:val="Heading2"/>
      </w:pPr>
      <w:r>
        <w:t>6.1 Organização em camadas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Controller:</w:t>
      </w:r>
      <w:r>
        <w:rPr>
          <w:rFonts w:ascii="Calibri" w:hAnsi="Calibri" w:eastAsia="Calibri"/>
          <w:i w:val="0"/>
          <w:color w:val="263238"/>
        </w:rPr>
        <w:t xml:space="preserve"> expõe endpoints REST, recebe parâmetros e devolve respostas HTTP.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Service:</w:t>
      </w:r>
      <w:r>
        <w:rPr>
          <w:rFonts w:ascii="Calibri" w:hAnsi="Calibri" w:eastAsia="Calibri"/>
          <w:i w:val="0"/>
          <w:color w:val="263238"/>
        </w:rPr>
        <w:t xml:space="preserve"> coordena casos de uso, regras de negócio e transações.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Repository:</w:t>
      </w:r>
      <w:r>
        <w:rPr>
          <w:rFonts w:ascii="Calibri" w:hAnsi="Calibri" w:eastAsia="Calibri"/>
          <w:i w:val="0"/>
          <w:color w:val="263238"/>
        </w:rPr>
        <w:t xml:space="preserve"> acessa o banco de dados por meio do Spring Data JPA.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Mapper:</w:t>
      </w:r>
      <w:r>
        <w:rPr>
          <w:rFonts w:ascii="Calibri" w:hAnsi="Calibri" w:eastAsia="Calibri"/>
          <w:i w:val="0"/>
          <w:color w:val="263238"/>
        </w:rPr>
        <w:t xml:space="preserve"> converte objetos de entrada, resposta e persistência com MapStruct.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Security:</w:t>
      </w:r>
      <w:r>
        <w:rPr>
          <w:rFonts w:ascii="Calibri" w:hAnsi="Calibri" w:eastAsia="Calibri"/>
          <w:i w:val="0"/>
          <w:color w:val="263238"/>
        </w:rPr>
        <w:t xml:space="preserve"> valida o JWT, carrega UserDetails e aplica autorização ADMIN/USER.</w:t>
      </w:r>
    </w:p>
    <w:p>
      <w:pPr>
        <w:keepLines w:val="0"/>
        <w:spacing w:after="80"/>
      </w:pPr>
      <w:r>
        <w:rPr>
          <w:rFonts w:ascii="Calibri" w:hAnsi="Calibri" w:eastAsia="Calibri"/>
          <w:b/>
          <w:color w:val="263238"/>
        </w:rPr>
        <w:t>Exception handling:</w:t>
      </w:r>
      <w:r>
        <w:rPr>
          <w:rFonts w:ascii="Calibri" w:hAnsi="Calibri" w:eastAsia="Calibri"/>
          <w:i w:val="0"/>
          <w:color w:val="263238"/>
        </w:rPr>
        <w:t xml:space="preserve"> padroniza erros por meio de ErrorResposta e exceções de domínio.</w:t>
      </w:r>
    </w:p>
    <w:p>
      <w:pPr>
        <w:pStyle w:val="Heading2"/>
      </w:pPr>
      <w:r>
        <w:t>6.2 Entidades e agregados principais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Responsabilidade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User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Identidade, credenciais e perfil de acesso.</w:t>
            </w:r>
          </w:p>
        </w:tc>
      </w:tr>
      <w:tr>
        <w:tc>
          <w:tcPr>
            <w:tcW w:type="dxa" w:w="26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Process</w:t>
            </w:r>
          </w:p>
        </w:tc>
        <w:tc>
          <w:tcPr>
            <w:tcW w:type="dxa" w:w="6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Agregado principal do pedido de propriedade intelectual.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IpType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Tipo de propriedade intelectual e configuração associada.</w:t>
            </w:r>
          </w:p>
        </w:tc>
      </w:tr>
      <w:tr>
        <w:tc>
          <w:tcPr>
            <w:tcW w:type="dxa" w:w="26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Author / Member</w:t>
            </w:r>
          </w:p>
        </w:tc>
        <w:tc>
          <w:tcPr>
            <w:tcW w:type="dxa" w:w="6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Participantes internos relacionados ao processo.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ExternalAuthor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Participante sem cadastro interno completo.</w:t>
            </w:r>
          </w:p>
        </w:tc>
      </w:tr>
      <w:tr>
        <w:tc>
          <w:tcPr>
            <w:tcW w:type="dxa" w:w="26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Attachment</w:t>
            </w:r>
          </w:p>
        </w:tc>
        <w:tc>
          <w:tcPr>
            <w:tcW w:type="dxa" w:w="6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Documento ou arquivo vinculado ao processo.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Justification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Motivo, observação ou solicitação de correção.</w:t>
            </w:r>
          </w:p>
        </w:tc>
      </w:tr>
      <w:tr>
        <w:tc>
          <w:tcPr>
            <w:tcW w:type="dxa" w:w="26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RoyaltyDistribution</w:t>
            </w:r>
          </w:p>
        </w:tc>
        <w:tc>
          <w:tcPr>
            <w:tcW w:type="dxa" w:w="6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Percentual ou cota atribuída a cada participante.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ApplicationField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Área ou campo de aplicação, incluindo classificações aplicáveis.</w:t>
            </w:r>
          </w:p>
        </w:tc>
      </w:tr>
      <w:tr>
        <w:tc>
          <w:tcPr>
            <w:tcW w:type="dxa" w:w="26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formData</w:t>
            </w:r>
          </w:p>
        </w:tc>
        <w:tc>
          <w:tcPr>
            <w:tcW w:type="dxa" w:w="6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Conteúdo específico do tipo de PI persistido em JSONB.</w:t>
            </w:r>
          </w:p>
        </w:tc>
      </w:tr>
    </w:tbl>
    <w:p>
      <w:pPr>
        <w:spacing w:after="40"/>
      </w:pPr>
    </w:p>
    <w:p>
      <w:pPr>
        <w:pStyle w:val="Heading2"/>
      </w:pPr>
      <w:r>
        <w:t>6.3 Autenticação e erros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Login por e-mail e emissão de JWT para uso no cabeçalho Authorization: Bearer &lt;token&gt;.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Senhas devem ser persistidas exclusivamente com hash seguro; o fluxo de criação ja recebeu correção para evitar gravação indevida.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Perfis conhecidos: ADMIN e USER.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Erros de domínio conhecidos: DuplicateRecordException, OperationNotAllowedException e EntityNotFoundException.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As respostas de erro devem manter estrutura padronizada por ErrorResposta.</w:t>
      </w:r>
    </w:p>
    <w:p>
      <w:pPr>
        <w:pStyle w:val="Heading2"/>
      </w:pPr>
      <w:r>
        <w:t>6.4 Áreas de API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Os caminhos exatos devem ser extraídos dos controllers atuais. A documentação da API deve abranger, no mínimo: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autenticação e cadastro de usuários;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tipos de propriedade intelectual;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criação, busca, consulta e edição de processos;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autores, membros internos e externos;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anexos, justificativas e termos;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distribuição de royalties;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classificação, correção e alteração de status.</w:t>
      </w:r>
    </w:p>
    <w:p>
      <w:pPr>
        <w:pStyle w:val="Heading1"/>
      </w:pPr>
      <w:r>
        <w:t>7. Frontend Flutter Web</w:t>
      </w:r>
    </w:p>
    <w:p>
      <w:pPr>
        <w:pStyle w:val="Heading2"/>
      </w:pPr>
      <w:r>
        <w:t>7.1 Estrutura arquitetural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frontend utiliza Clean Architecture com separação entre entidades de domínio, modelos de dados, casos de uso, fontes de dados, repositórios, controllers e páginas. Modelos de resposta permanecem separados das entidades e utilizam conversões como toEntity quando necessário.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GetX Bindings para registrar dependências por rota ou módulo.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Controllers para coordenar estado, validações, carregamento e ações da interface.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dartz Either para representar sucesso ou falha sem depender de exceções na camada de apresentação.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Pacote http para comunicação com a API REST.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Tema visual azul com cartões em tons de cinza, componentes reutilizáveis e recursos de acessibilidade.</w:t>
      </w:r>
    </w:p>
    <w:p>
      <w:pPr>
        <w:pStyle w:val="Heading2"/>
      </w:pPr>
      <w:r>
        <w:t>7.2 Navegação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As rotas são centralizadas em MyRoutes. O sistema evoluiu de caminhos como /, /register, /home e /ip_types para fluxos aninhados de processo, incluindo caminhos no formato /home/process/:id/.... O mapa definitivo deve ser gerado a partir do arquivo de rotas atual.</w:t>
      </w:r>
    </w:p>
    <w:p>
      <w:pPr>
        <w:pStyle w:val="Heading2"/>
      </w:pPr>
      <w:r>
        <w:t>7.3 Regra para edição de processo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Decisão técnica: </w:t>
            </w:r>
            <w:r>
              <w:rPr>
                <w:rFonts w:ascii="Calibri" w:hAnsi="Calibri" w:eastAsia="Calibri"/>
                <w:color w:val="263238"/>
              </w:rPr>
              <w:t>Ao abrir a tela de edição, a rota deve transportar o identificador do processo. O controller deve consultar novamente o processo por ID, evitando reutilizar um ProcessResponseEntity antigo e impedindo que membros, royalties e formData fiquem desatualizados em edições sucessivas.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440" w:right="1440" w:bottom="1440" w:left="1440" w:header="461" w:footer="461" w:gutter="0"/>
          <w:cols w:space="720"/>
          <w:docGrid w:linePitch="360"/>
        </w:sectPr>
      </w:pPr>
    </w:p>
    <w:p>
      <w:pPr>
        <w:pStyle w:val="Heading1"/>
      </w:pPr>
      <w:r>
        <w:t>8. Persistência de dados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Banco principal: PostgreSQL 16.3 no ambiente Docker conhecido.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Banco e schema utilizados no desenvolvimento: nitsrpi e schema public.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Relacionamentos do processo incluem criador, autores, membros externos, anexos, justificativas, royalties, campos de aplicação e tipo de PI.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formData utiliza JSONB para os campos variáveis de cada modalidade de propriedade intelectual.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Consultas de busca e contagem devem desconsiderar o status INATIVO por padrão.</w:t>
      </w:r>
    </w:p>
    <w:p>
      <w:pPr>
        <w:pStyle w:val="Heading2"/>
      </w:pPr>
      <w:r>
        <w:t>8.1 Classificações iniciais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projeto prevê dados iniciais para ApplicationArea e ApplicationField, incluindo classificação de Nice quando aplicável. As sementes devem usar descrições reais, identificadores estáveis e um mecanismo idempotente para evitar duplicidade a cada inicialização.</w:t>
      </w:r>
    </w:p>
    <w:p>
      <w:pPr>
        <w:pStyle w:val="Heading1"/>
      </w:pPr>
      <w:r>
        <w:t>9. Infraestrutura e execução</w:t>
      </w:r>
    </w:p>
    <w:p>
      <w:pPr>
        <w:pStyle w:val="Heading2"/>
      </w:pPr>
      <w:r>
        <w:t>9.1 Serviços do ambiente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800"/>
        <w:gridCol w:w="3550"/>
        <w:gridCol w:w="401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Serviço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Configuração conhecida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Observação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postgres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PostgreSQL 16.3 / banco nitsrpi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Volume persistente e senha fornecida por secret.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pgadmin</w:t>
            </w:r>
          </w:p>
        </w:tc>
        <w:tc>
          <w:tcPr>
            <w:tcW w:type="dxa" w:w="355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Administração do PostgreSQL</w:t>
            </w:r>
          </w:p>
        </w:tc>
        <w:tc>
          <w:tcPr>
            <w:tcW w:type="dxa" w:w="401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Uso opcional no desenvolvimento.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backend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Spring Boot na porta interna 8080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Depende da saúde do banco.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frontend</w:t>
            </w:r>
          </w:p>
        </w:tc>
        <w:tc>
          <w:tcPr>
            <w:tcW w:type="dxa" w:w="355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Flutter Web servido por Nginx</w:t>
            </w:r>
          </w:p>
        </w:tc>
        <w:tc>
          <w:tcPr>
            <w:tcW w:type="dxa" w:w="401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Porta externa definida no compose do ambiente.</w:t>
            </w:r>
          </w:p>
        </w:tc>
      </w:tr>
    </w:tbl>
    <w:p>
      <w:pPr>
        <w:spacing w:after="40"/>
      </w:pPr>
    </w:p>
    <w:p>
      <w:pPr>
        <w:pStyle w:val="Heading2"/>
      </w:pPr>
      <w:r>
        <w:t>9.2 Subida local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Na raiz que contém o docker-compose.yml, executar: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44054"/>
                <w:sz w:val="18"/>
              </w:rPr>
              <w:t>docker compose up --build -d</w:t>
            </w:r>
            <w:r>
              <w:br/>
            </w:r>
            <w:r>
              <w:rPr>
                <w:rFonts w:ascii="DejaVu Sans Mono" w:hAnsi="DejaVu Sans Mono" w:eastAsia="DejaVu Sans Mono"/>
                <w:color w:val="344054"/>
                <w:sz w:val="18"/>
              </w:rPr>
              <w:t>docker compose ps</w:t>
            </w:r>
            <w:r>
              <w:br/>
            </w:r>
            <w:r>
              <w:rPr>
                <w:rFonts w:ascii="DejaVu Sans Mono" w:hAnsi="DejaVu Sans Mono" w:eastAsia="DejaVu Sans Mono"/>
                <w:color w:val="344054"/>
                <w:sz w:val="18"/>
              </w:rPr>
              <w:t>docker compose logs -f backend</w:t>
            </w:r>
            <w:r>
              <w:br/>
            </w:r>
            <w:r>
              <w:rPr>
                <w:rFonts w:ascii="DejaVu Sans Mono" w:hAnsi="DejaVu Sans Mono" w:eastAsia="DejaVu Sans Mono"/>
                <w:color w:val="344054"/>
                <w:sz w:val="18"/>
              </w:rPr>
              <w:t>docker compose logs -f frontend</w:t>
            </w:r>
          </w:p>
        </w:tc>
      </w:tr>
    </w:tbl>
    <w:p>
      <w:pPr>
        <w:spacing w:after="40"/>
      </w:pP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backend e conhecido por utilizar a porta 8080. No desenvolvimento sem Nginx, o Flutter Web foi executado na porta 3000. A porta publicada do frontend containerizado deve ser confirmada no compose atual.</w:t>
      </w:r>
    </w:p>
    <w:p>
      <w:pPr>
        <w:pStyle w:val="Heading2"/>
      </w:pPr>
      <w:r>
        <w:t>9.3 Estrutura de diretórios conhecida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344054"/>
                <w:sz w:val="18"/>
              </w:rPr>
              <w:t>software-hub/</w:t>
            </w:r>
            <w:r>
              <w:br/>
            </w:r>
            <w:r>
              <w:rPr>
                <w:rFonts w:ascii="DejaVu Sans Mono" w:hAnsi="DejaVu Sans Mono" w:eastAsia="DejaVu Sans Mono"/>
                <w:color w:val="344054"/>
                <w:sz w:val="18"/>
              </w:rPr>
              <w:t>|-- docker-compose.yml</w:t>
            </w:r>
            <w:r>
              <w:br/>
            </w:r>
            <w:r>
              <w:rPr>
                <w:rFonts w:ascii="DejaVu Sans Mono" w:hAnsi="DejaVu Sans Mono" w:eastAsia="DejaVu Sans Mono"/>
                <w:color w:val="344054"/>
                <w:sz w:val="18"/>
              </w:rPr>
              <w:t>|-- softwarehub-backend/        # backend atual</w:t>
            </w:r>
            <w:r>
              <w:br/>
            </w:r>
            <w:r>
              <w:rPr>
                <w:rFonts w:ascii="DejaVu Sans Mono" w:hAnsi="DejaVu Sans Mono" w:eastAsia="DejaVu Sans Mono"/>
                <w:color w:val="344054"/>
                <w:sz w:val="18"/>
              </w:rPr>
              <w:t>|-- softwarehub_frontend/       # nome usado no ambiente Windows atual</w:t>
            </w:r>
            <w:r>
              <w:br/>
            </w:r>
            <w:r>
              <w:rPr>
                <w:rFonts w:ascii="DejaVu Sans Mono" w:hAnsi="DejaVu Sans Mono" w:eastAsia="DejaVu Sans Mono"/>
                <w:color w:val="344054"/>
                <w:sz w:val="18"/>
              </w:rPr>
              <w:t>`-- nit_sgpi_frontend/          # nome histórico do frontend</w:t>
            </w:r>
          </w:p>
        </w:tc>
      </w:tr>
    </w:tbl>
    <w:p>
      <w:pPr>
        <w:spacing w:after="40"/>
      </w:pPr>
    </w:p>
    <w:p>
      <w:pPr>
        <w:keepLines w:val="0"/>
        <w:spacing w:after="120"/>
      </w:pPr>
      <w:r>
        <w:rPr>
          <w:rFonts w:ascii="Calibri" w:hAnsi="Calibri" w:eastAsia="Calibri"/>
          <w:i/>
          <w:color w:val="263238"/>
        </w:rPr>
        <w:t>O diretorio nit-sgpi-backend apareceu em versões anteriores. A documentação definitiva deve manter somente os nomes que existirem no repositório atual.</w:t>
      </w:r>
    </w:p>
    <w:p>
      <w:pPr>
        <w:pStyle w:val="Heading2"/>
      </w:pPr>
      <w:r>
        <w:t>9.4 Configuração e segredos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Não registrar senhas, JWT_SECRET, credenciais de e-mail ou tokens no repositório.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Usar variáveis protegidas do GitLab CI/CD, Docker secrets ou arquivo .env ignorado pelo Git.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Manter .dockerignore para excluir .git, caches, builds locais, .gradle e arquivos desnecessários do contexto de build.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O PostgreSQL conhecido utiliza POSTGRES_PASSWORD_FILE apontando para /run/secrets/db_password.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 integração de e-mail utiliza Brevo e deve receber as credenciais pelo ambiente.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O diretorio de uploads conhecido é ./uploads e precisa de estratégia persistente no ambiente implantado.</w:t>
      </w:r>
    </w:p>
    <w:p>
      <w:pPr>
        <w:pStyle w:val="Heading1"/>
      </w:pPr>
      <w:r>
        <w:t>10. Entrega e versionamento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projeto utiliza Git/GitLab, Docker, pipeline de CI/CD e Portainer. As branches principais conhecidas são main e develop. Também foram usadas branches de funcionalidade como feature-frontend/weas-create-theme-files, weas-implement-process-search e weas-login-refactor.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Executar build e testes antes de gerar a imagem.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Publicar imagens com tags identificáveis, evitando depender apenas de latest.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Armazenar segredos como variáveis protegidas do ambiente de CI/CD.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Validar migrations antes do deploy e manter procedimento de backup do banco.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Separar configurações de desenvolvimento, homologação e produção.</w:t>
      </w:r>
    </w:p>
    <w:p>
      <w:pPr>
        <w:sectPr>
          <w:pgSz w:w="12240" w:h="15840"/>
          <w:pgMar w:top="1440" w:right="1440" w:bottom="1440" w:left="1440" w:header="461" w:footer="461" w:gutter="0"/>
          <w:cols w:space="720"/>
          <w:docGrid w:linePitch="360"/>
        </w:sectPr>
      </w:pPr>
    </w:p>
    <w:p>
      <w:pPr>
        <w:pStyle w:val="Heading1"/>
      </w:pPr>
      <w:r>
        <w:t>11. Problemas conhecidos e decisões técnicas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Tema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Tratamento definido ou proposto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Dados antigos na segunda edição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Passar o ID pela rota e recarregar o processo completo antes de preencher a tela.</w:t>
            </w:r>
          </w:p>
        </w:tc>
      </w:tr>
      <w:tr>
        <w:tc>
          <w:tcPr>
            <w:tcW w:type="dxa" w:w="30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Membros, formData e royalties desatualizados</w:t>
            </w:r>
          </w:p>
        </w:tc>
        <w:tc>
          <w:tcPr>
            <w:tcW w:type="dxa" w:w="63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Evitar navegar com uma resposta completa armazenada por muito tempo no estado do frontend.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Status após correção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envio de ajustes deve definir CORRIGIDO.</w:t>
            </w:r>
          </w:p>
        </w:tc>
      </w:tr>
      <w:tr>
        <w:tc>
          <w:tcPr>
            <w:tcW w:type="dxa" w:w="30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Contagens com processos inativos</w:t>
            </w:r>
          </w:p>
        </w:tc>
        <w:tc>
          <w:tcPr>
            <w:tcW w:type="dxa" w:w="63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Excluir INATIVO por padrão nas consultas e indicadores.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Finalização antecipada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Bloquear FINALIZADO enquanto faltarem cotas, documentação ou classificação.</w:t>
            </w:r>
          </w:p>
        </w:tc>
      </w:tr>
      <w:tr>
        <w:tc>
          <w:tcPr>
            <w:tcW w:type="dxa" w:w="30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Hash de senha</w:t>
            </w:r>
          </w:p>
        </w:tc>
        <w:tc>
          <w:tcPr>
            <w:tcW w:type="dxa" w:w="63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Garantir que todo caminho de criação use o codificador de senha.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Build Flutter no Windows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Excluir .gradle do contexto com .dockerignore e encerrar o processo que mantém checksums.lock aberto antes de reconstruir.</w:t>
            </w:r>
          </w:p>
        </w:tc>
      </w:tr>
      <w:tr>
        <w:tc>
          <w:tcPr>
            <w:tcW w:type="dxa" w:w="30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Nome do produto</w:t>
            </w:r>
          </w:p>
        </w:tc>
        <w:tc>
          <w:tcPr>
            <w:tcW w:type="dxa" w:w="63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Formalizar a escolha entre Software Hub, SGPI-NIT, RegistraPI ou NexoPI e atualizar código e documentação.</w:t>
            </w:r>
          </w:p>
        </w:tc>
      </w:tr>
    </w:tbl>
    <w:p>
      <w:pPr>
        <w:spacing w:after="40"/>
      </w:pPr>
    </w:p>
    <w:p>
      <w:pPr>
        <w:pStyle w:val="Heading1"/>
      </w:pPr>
      <w:r>
        <w:t>12. Testes e critérios de aceite</w:t>
      </w:r>
    </w:p>
    <w:p>
      <w:pPr>
        <w:pStyle w:val="Heading2"/>
      </w:pPr>
      <w:r>
        <w:t>12.1 Backend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Autenticação valida, token expirado e acesso sem permissão.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Criação e edição de processo para cada tipo de PI.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Validação da distribuição de royalties.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Transições de status permitidas e bloqueadas.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Persistência e leitura de formData JSONB.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Inclusao, remoção e atualização de membros e anexos.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Exclusao de INATIVO nas buscas e contagens operacionais.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Tratamento de duplicidade, entidade inexistente e operação proibida.</w:t>
      </w:r>
    </w:p>
    <w:p>
      <w:pPr>
        <w:pStyle w:val="Heading2"/>
      </w:pPr>
      <w:r>
        <w:t>12.2 Frontend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Login, logout e redirecionamento por autenticação.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Carregamento, erro e estado vazio nas listas.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Validação dos formulários dinâmicos.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Primeira e segunda edição do mesmo processo sem dados antigos.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Inclusao e remoção de membros internos e externos.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Distribuição das cotas e apresentação de mensagens de validação.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Upload, exibição e remoção de anexos.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Paginação, pesquisa e retorno a tela mantendo o comportamento esperado.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Navegação por teclado, contraste e recursos de acessibilidade.</w:t>
      </w:r>
    </w:p>
    <w:p>
      <w:pPr>
        <w:pStyle w:val="Heading2"/>
      </w:pPr>
      <w:r>
        <w:t>12.3 Aceite de implantação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Containers iniciam sem reinícios continuos.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Healthcheck do banco e disponibilidade da API estão válidos.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Frontend acessa a URL correta do backend no ambiente implantado.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Segredos não aparecem no compose versionado nem nos logs.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Uploads sobrevivem a recriação do container quando exigido.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Backup e restauração do banco possuem procedimento testado.</w:t>
      </w:r>
    </w:p>
    <w:p>
      <w:pPr>
        <w:pStyle w:val="Heading1"/>
      </w:pPr>
      <w:r>
        <w:t>13. Pontos a confirmar no repositório atual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Objetivo desta lista: </w:t>
            </w:r>
            <w:r>
              <w:rPr>
                <w:rFonts w:ascii="Calibri" w:hAnsi="Calibri" w:eastAsia="Calibri"/>
                <w:color w:val="263238"/>
              </w:rPr>
              <w:t>Transformar este rascunho em documentação oficial sem manter informações historicas que ja não correspondam ao código.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Nome oficial do sistema e identidade visual.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Versões exatas do Java, Spring Boot, Flutter, Dart e PostgreSQL.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Nomes atuais das pastas, repositórios e imagens Docker.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Mapa completo de endpoints e contratos de requisição e resposta.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Diagrama atualizado das entidades e cardinalidades do banco.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Ordem e pré-condições oficiais das transições de status.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Regra institucional exata para a soma e o aceite das cotas de royalties.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Tipos de PI implementados e seus campos dinâmicos obrigatórios.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Portas e URLs de desenvolvimento, homologação e produção.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Procedimento oficial de migrations, backup, restauração e deploy.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Cobertura de testes e critérios de qualidade adotados pela equipe.</w:t>
      </w:r>
    </w:p>
    <w:p>
      <w:pPr>
        <w:pStyle w:val="Heading1"/>
      </w:pPr>
      <w:r>
        <w:t>14. Próximas melhorias da documentação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Gerar automaticamente a referência da API a partir do OpenAPI/Swagger.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Adicionar diagrama entidade-relacionamento extraido do banco atual.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Adicionar capturas das telas principais e exemplos de preenchimento.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Documentar cada tipo de PI e os respectivos campos dinâmicos.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Criar um manual separado para usuários e administradores do NIT.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Criar guia de operação, deploy, monitoramento, backup e recuperação.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Manter histórico de alterações a cada versão publicada.</w:t>
      </w:r>
    </w:p>
    <w:p>
      <w:pPr>
        <w:pStyle w:val="Heading1"/>
      </w:pPr>
      <w:r>
        <w:t>15. Glossário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Termo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Definição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PI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Propriedade Intelectual.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NIT</w:t>
            </w:r>
          </w:p>
        </w:tc>
        <w:tc>
          <w:tcPr>
            <w:tcW w:type="dxa" w:w="75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Núcleo de Inovação Tecnológica.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SGPI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Sistema de Gestão da Propriedade Intelectual.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JWT</w:t>
            </w:r>
          </w:p>
        </w:tc>
        <w:tc>
          <w:tcPr>
            <w:tcW w:type="dxa" w:w="75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Token assinado utilizado para autenticação e autorização.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JSONB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Formato binário do PostgreSQL para armazenar documentos JSON consultáveis.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DTO</w:t>
            </w:r>
          </w:p>
        </w:tc>
        <w:tc>
          <w:tcPr>
            <w:tcW w:type="dxa" w:w="75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Objeto usado para transportar dados entre camadas ou pela API.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ORM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Mapeamento entre objetos da aplicação e tabelas relacionais.</w:t>
            </w:r>
          </w:p>
        </w:tc>
      </w:tr>
      <w:tr>
        <w:tc>
          <w:tcPr>
            <w:tcW w:type="dxa" w:w="1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CI/CD</w:t>
            </w:r>
          </w:p>
        </w:tc>
        <w:tc>
          <w:tcPr>
            <w:tcW w:type="dxa" w:w="75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Automação de integração, construção, testes e implantação.</w:t>
            </w:r>
          </w:p>
        </w:tc>
      </w:tr>
    </w:tbl>
    <w:p>
      <w:pPr>
        <w:spacing w:after="40"/>
      </w:pPr>
    </w:p>
    <w:p>
      <w:pPr>
        <w:pStyle w:val="Heading1"/>
      </w:pPr>
      <w:r>
        <w:t>16. Histórico de revisões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100"/>
        <w:gridCol w:w="1600"/>
        <w:gridCol w:w="4660"/>
        <w:gridCol w:w="20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Versão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Data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Descrição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Responsável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0.1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12/08/2026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Criação do rascunho técnico e funcional consolidando o contexto conhecido do projeto.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Weberth Erik Anolar Sirqueira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7EE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Status: </w:t>
            </w:r>
            <w:r>
              <w:rPr>
                <w:rFonts w:ascii="Calibri" w:hAnsi="Calibri" w:eastAsia="Calibri"/>
                <w:color w:val="263238"/>
              </w:rPr>
              <w:t>Documento aberto para revisão. A próxima versão deve incorporar informações extraídas diretamente dos repositórios atuais do backend e do frontend.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4" w:space="2" w:color="C9D3DD"/>
      </w:pBdr>
    </w:pPr>
    <w:r>
      <w:rPr>
        <w:rFonts w:ascii="Calibri" w:hAnsi="Calibri" w:eastAsia="Calibri"/>
        <w:color w:val="5F6B73"/>
        <w:sz w:val="18"/>
      </w:rPr>
      <w:t xml:space="preserve">Versão 0.1 - Rascunho  |  Página </w:t>
    </w:r>
    <w:r>
      <w:rPr>
        <w:rFonts w:ascii="Calibri" w:hAnsi="Calibri" w:eastAsia="Calibri"/>
        <w:color w:val="5F6B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2" w:color="C9D3DD"/>
      </w:pBdr>
    </w:pPr>
    <w:r>
      <w:rPr>
        <w:rFonts w:ascii="Calibri" w:hAnsi="Calibri" w:eastAsia="Calibri"/>
        <w:b/>
        <w:color w:val="5F6B73"/>
        <w:sz w:val="17"/>
      </w:rPr>
      <w:t>SOFTWARE HUB / SGPI-NIT</w:t>
    </w:r>
    <w:r>
      <w:rPr>
        <w:rFonts w:ascii="Calibri" w:hAnsi="Calibri" w:eastAsia="Calibri"/>
        <w:color w:val="5F6B73"/>
        <w:sz w:val="17"/>
      </w:rPr>
      <w:t xml:space="preserve">  |  DOCUMENTAÇÃO TÉCNICA E FUNCIONAL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F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e Funcional - Software Hub / SGPI-NIT</dc:title>
  <dc:subject>Sistema de gestão de propriedade intelectual do NIT/Unitins</dc:subject>
  <dc:creator>Weberth Erik Anolar Sirqueira</dc:creator>
  <cp:keywords>Software Hub, SGPI-NIT, propriedade intelectual, Flutter, Spring Boot, NIT, Unitins</cp:keywords>
  <dc:description>Versão inicial gerada como rascunho para validação e evolução.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