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00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D6A735"/>
          <w:sz w:val="22"/>
        </w:rPr>
        <w:t>ESPECIFICAÇÃO DE REQUISITOS</w:t>
      </w:r>
    </w:p>
    <w:p>
      <w:pPr>
        <w:keepNext/>
        <w:spacing w:after="160"/>
        <w:jc w:val="center"/>
      </w:pPr>
      <w:r>
        <w:rPr>
          <w:rFonts w:ascii="Calibri" w:hAnsi="Calibri" w:eastAsia="Calibri"/>
          <w:b/>
          <w:color w:val="17365D"/>
          <w:sz w:val="60"/>
        </w:rPr>
        <w:t>Software Hub / SGPI-NIT</w:t>
      </w:r>
    </w:p>
    <w:p>
      <w:pPr>
        <w:spacing w:after="120"/>
        <w:jc w:val="center"/>
      </w:pPr>
      <w:r>
        <w:rPr>
          <w:rFonts w:ascii="Calibri" w:hAnsi="Calibri" w:eastAsia="Calibri"/>
          <w:color w:val="2E74B5"/>
          <w:sz w:val="32"/>
        </w:rPr>
        <w:t>Requisitos Funcionais e Não Funcionais</w:t>
      </w:r>
    </w:p>
    <w:p>
      <w:pPr>
        <w:spacing w:after="560"/>
        <w:jc w:val="center"/>
      </w:pPr>
      <w:r>
        <w:rPr>
          <w:rFonts w:ascii="Calibri" w:hAnsi="Calibri" w:eastAsia="Calibri"/>
          <w:b/>
          <w:color w:val="5F6B73"/>
          <w:sz w:val="21"/>
        </w:rPr>
        <w:t>Universidade Estadual do Tocantins - Unitins | Núcleo de Inovação Tecnológica</w:t>
      </w:r>
    </w:p>
    <w:p>
      <w:pPr>
        <w:spacing w:after="920"/>
        <w:pBdr>
          <w:bottom w:val="single" w:sz="10" w:space="1" w:color="2E74B5"/>
        </w:pBdr>
      </w:pPr>
    </w:p>
    <w:p>
      <w:pPr>
        <w:spacing w:after="100"/>
        <w:jc w:val="center"/>
      </w:pPr>
      <w:r>
        <w:rPr>
          <w:rFonts w:ascii="Calibri" w:hAnsi="Calibri" w:eastAsia="Calibri"/>
          <w:b/>
          <w:color w:val="17365D"/>
          <w:sz w:val="24"/>
        </w:rPr>
        <w:t>Versão 0.1 - Rascunho para validação</w:t>
      </w:r>
    </w:p>
    <w:p>
      <w:pPr>
        <w:spacing w:after="80"/>
        <w:jc w:val="center"/>
      </w:pPr>
      <w:r>
        <w:rPr>
          <w:rFonts w:ascii="Calibri" w:hAnsi="Calibri" w:eastAsia="Calibri"/>
          <w:color w:val="5F6B73"/>
          <w:sz w:val="20"/>
        </w:rPr>
        <w:t>Elaboração inicial: Weberth Erik Anolar Sirqueira</w:t>
      </w:r>
    </w:p>
    <w:p>
      <w:pPr>
        <w:jc w:val="center"/>
      </w:pPr>
      <w:r>
        <w:rPr>
          <w:rFonts w:ascii="Calibri" w:hAnsi="Calibri" w:eastAsia="Calibri"/>
          <w:color w:val="5F6B73"/>
          <w:sz w:val="20"/>
        </w:rPr>
        <w:t>12 de agosto de 2026</w:t>
      </w:r>
    </w:p>
    <w:p>
      <w:pPr>
        <w:sectPr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461" w:footer="461" w:gutter="0"/>
          <w:cols w:space="720"/>
          <w:docGrid w:linePitch="360"/>
        </w:sectPr>
      </w:pPr>
    </w:p>
    <w:p>
      <w:pPr>
        <w:pStyle w:val="Heading1"/>
      </w:pPr>
      <w:r>
        <w:t>Controle do documento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Campo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Informação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Documento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Especificação de Requisitos Funcionais e Não Funcionais</w:t>
            </w:r>
          </w:p>
        </w:tc>
      </w:tr>
      <w:tr>
        <w:tc>
          <w:tcPr>
            <w:tcW w:type="dxa" w:w="19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Sistema</w:t>
            </w:r>
          </w:p>
        </w:tc>
        <w:tc>
          <w:tcPr>
            <w:tcW w:type="dxa" w:w="74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Software Hub / SGPI-NIT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Versão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0.1</w:t>
            </w:r>
          </w:p>
        </w:tc>
      </w:tr>
      <w:tr>
        <w:tc>
          <w:tcPr>
            <w:tcW w:type="dxa" w:w="19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Situação</w:t>
            </w:r>
          </w:p>
        </w:tc>
        <w:tc>
          <w:tcPr>
            <w:tcW w:type="dxa" w:w="74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Rascunho inicial para revisão e validação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Responsável inicial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Weberth Erik Anolar Sirqueira</w:t>
            </w:r>
          </w:p>
        </w:tc>
      </w:tr>
      <w:tr>
        <w:tc>
          <w:tcPr>
            <w:tcW w:type="dxa" w:w="19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Instituição</w:t>
            </w:r>
          </w:p>
        </w:tc>
        <w:tc>
          <w:tcPr>
            <w:tcW w:type="dxa" w:w="74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Universidade Estadual do Tocantins - Unitins / NIT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Data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12/08/2026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single" w:sz="8" w:space="0" w:color="5B9BD5"/>
          <w:insideV w:val="single" w:sz="8" w:space="0" w:color="5B9BD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7365D"/>
              </w:rPr>
              <w:t xml:space="preserve">Importante: </w:t>
            </w:r>
            <w:r>
              <w:rPr>
                <w:rFonts w:ascii="Calibri" w:hAnsi="Calibri" w:eastAsia="Calibri"/>
                <w:color w:val="263238"/>
              </w:rPr>
              <w:t>Este documento consolida o contexto já levantado. Itens marcados como 'A confirmar' representam requisitos propostos ou detalhes que ainda precisam ser confrontados com a equipe do NIT e os repositórios atuais.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Introdução</w:t>
      </w:r>
    </w:p>
    <w:p>
      <w:pPr>
        <w:pStyle w:val="Heading2"/>
      </w:pPr>
      <w:r>
        <w:t>1.1 Objetivo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Definir os requisitos funcionais, os requisitos não funcionais e as regras de negócio iniciais do Software Hub / SGPI-NIT, estabelecendo uma base rastreável para desenvolvimento, testes, homologação e evolução do sistema.</w:t>
      </w:r>
    </w:p>
    <w:p>
      <w:pPr>
        <w:pStyle w:val="Heading2"/>
      </w:pPr>
      <w:r>
        <w:t>1.2 Escopo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 sistema atende ao registro e à tramitação de processos de propriedade intelectual conduzidos pelo NIT da Unitins. O escopo conhecido inclui tipos de PI, formulários dinâmicos, participantes internos e externos, termos, documentos, justificativas, royalties, classificação, correções, validação administrativa, finalização, pesquisa, paginação e acompanhamento de status.</w:t>
      </w:r>
    </w:p>
    <w:p>
      <w:pPr>
        <w:pStyle w:val="Heading2"/>
      </w:pPr>
      <w:r>
        <w:t>1.3 Fora do escopo desta versão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Definição definitiva do nome comercial e da identidade visual do produto.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Catálogo completo de endpoints, rotas e contratos HTTP do repositório atual.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Detalhamento jurídico dos termos e das regras institucionais de royalties.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Metas numéricas de desempenho, disponibilidade, retenção e cobertura de testes.</w:t>
      </w:r>
    </w:p>
    <w:p>
      <w:pPr>
        <w:pStyle w:val="Heading1"/>
      </w:pPr>
      <w:r>
        <w:t>2. Atores e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Ator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Responsabilidades principais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Usuário / inventor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Cria e edita processos, informa participantes, anexa documentos, distribui cotas e responde a correções.</w:t>
            </w:r>
          </w:p>
        </w:tc>
      </w:tr>
      <w:tr>
        <w:tc>
          <w:tcPr>
            <w:tcW w:type="dxa" w:w="22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Administrador do NIT</w:t>
            </w:r>
          </w:p>
        </w:tc>
        <w:tc>
          <w:tcPr>
            <w:tcW w:type="dxa" w:w="7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Consulta processos, valida informações, solicita ajustes, classifica, controla a tramitação e finaliza.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Autor ou membro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Participa do processo, confirma informações e aceita termos quando exigido.</w:t>
            </w:r>
          </w:p>
        </w:tc>
      </w:tr>
      <w:tr>
        <w:tc>
          <w:tcPr>
            <w:tcW w:type="dxa" w:w="22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Sistema</w:t>
            </w:r>
          </w:p>
        </w:tc>
        <w:tc>
          <w:tcPr>
            <w:tcW w:type="dxa" w:w="7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Aplica validações, permissões, regras de status, persistência e integrações.</w:t>
            </w:r>
          </w:p>
        </w:tc>
      </w:tr>
    </w:tbl>
    <w:p>
      <w:pPr>
        <w:spacing w:after="40"/>
      </w:pPr>
    </w:p>
    <w:p>
      <w:pPr>
        <w:pStyle w:val="Heading1"/>
      </w:pPr>
      <w:r>
        <w:t>3. Convenções da especificação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Elemento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8"/>
              </w:rPr>
              <w:t>Convenção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RF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Requisito funcional: comportamento ou capacidade entregue pelo sistema.</w:t>
            </w:r>
          </w:p>
        </w:tc>
      </w:tr>
      <w:tr>
        <w:tc>
          <w:tcPr>
            <w:tcW w:type="dxa" w:w="22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RNF</w:t>
            </w:r>
          </w:p>
        </w:tc>
        <w:tc>
          <w:tcPr>
            <w:tcW w:type="dxa" w:w="7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Requisito não funcional: atributo de qualidade, restrição técnica ou operacional.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RN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Regra de negócio: condição do domínio que governa os processos de PI.</w:t>
            </w:r>
          </w:p>
        </w:tc>
      </w:tr>
      <w:tr>
        <w:tc>
          <w:tcPr>
            <w:tcW w:type="dxa" w:w="22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Prioridade Alta</w:t>
            </w:r>
          </w:p>
        </w:tc>
        <w:tc>
          <w:tcPr>
            <w:tcW w:type="dxa" w:w="7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Necessário para o fluxo principal, segurança, integridade ou implantação.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Prioridade Média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Importante para a operação, mas pode depender de validação ou evolução.</w:t>
            </w:r>
          </w:p>
        </w:tc>
      </w:tr>
      <w:tr>
        <w:tc>
          <w:tcPr>
            <w:tcW w:type="dxa" w:w="22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Levantado</w:t>
            </w:r>
          </w:p>
        </w:tc>
        <w:tc>
          <w:tcPr>
            <w:tcW w:type="dxa" w:w="7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Presente no contexto conhecido do projeto.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A confirmar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8"/>
              </w:rPr>
              <w:t>Proposto ou dependente de validação institucional/técnica.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single" w:sz="8" w:space="0" w:color="70AD47"/>
          <w:insideV w:val="single" w:sz="8" w:space="0" w:color="70AD4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8EE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7365D"/>
              </w:rPr>
              <w:t xml:space="preserve">Resumo desta versão: </w:t>
            </w:r>
            <w:r>
              <w:rPr>
                <w:rFonts w:ascii="Calibri" w:hAnsi="Calibri" w:eastAsia="Calibri"/>
                <w:color w:val="263238"/>
              </w:rPr>
              <w:t>Foram catalogados 33 requisitos funcionais e 26 requisitos não funcionais. A prioridade indica impacto atual, não uma estimativa de esforço.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461" w:footer="461" w:gutter="0"/>
          <w:cols w:space="720"/>
          <w:docGrid w:linePitch="360"/>
        </w:sectPr>
      </w:pPr>
    </w:p>
    <w:p>
      <w:pPr>
        <w:pStyle w:val="Heading1"/>
      </w:pPr>
      <w:r>
        <w:t>4. Requisitos funcionais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Os requisitos abaixo descrevem as capacidades esperadas do sistema. Os critérios de aceite são verificações iniciais e podem ser detalhados em cenários de teste separados.</w:t>
      </w:r>
    </w:p>
    <w:p>
      <w:pPr>
        <w:pStyle w:val="Heading2"/>
      </w:pPr>
      <w:r>
        <w:t>4.1 Acesso e identidade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760"/>
        <w:gridCol w:w="5840"/>
        <w:gridCol w:w="1520"/>
        <w:gridCol w:w="1240"/>
      </w:tblGrid>
      <w:tr>
        <w:trPr>
          <w:tblHeader w:val="true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Ator principal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RF-001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Cadastrar usuário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o cadastro de usuário com os dados de identificação e credenciais exigidos pela instituição.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ao enviar dados válidos e um e-mail ainda não utilizado, o cadastro é criado e a senha é armazenada somente como hash seguro.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RF-002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Autenticar por e-mail e senha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autenticar o usuário por e-mail e senha e emitir um token JWT para as requisições protegidas.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credenciais válidas retornam acesso autenticado; credenciais inválidas produzem resposta padronizada sem expor informações sensíveis.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RF-003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Controlar acesso por perfil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autorizar funcionalidades de acordo com os perfis conhecidos ADMIN e USER.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 usuário sem o perfil necessário não acessa a operação e recebe resposta de acesso negado.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Sistema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RF-004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Recuperar acesso à conta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disponibilizar um fluxo seguro de recuperação de acesso utilizando o e-mail cadastrado.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usuário solicita a recuperação, recebe uma instrução temporária e consegue definir nova senha sem revelar a senha anterior.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D6A735"/>
                <w:sz w:val="16"/>
              </w:rPr>
              <w:t>A confirmar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</w:tr>
    </w:tbl>
    <w:p>
      <w:pPr>
        <w:spacing w:after="60"/>
      </w:pPr>
    </w:p>
    <w:p>
      <w:pPr>
        <w:pStyle w:val="Heading2"/>
      </w:pPr>
      <w:r>
        <w:t>4.2 Tipos de propriedade intelectual e formulários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760"/>
        <w:gridCol w:w="5840"/>
        <w:gridCol w:w="1520"/>
        <w:gridCol w:w="1240"/>
      </w:tblGrid>
      <w:tr>
        <w:trPr>
          <w:tblHeader w:val="true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Ator principal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RF-005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Listar tipos de propriedade intelectual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apresentar os tipos de propriedade intelectual disponíveis, como software, marca e patente, conforme os cadastros vigentes.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somente tipos ativos são exibidos e o usuário consegue selecionar um deles para iniciar o processo.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RF-006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Apresentar formulário dinâmico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montar o formulário específico de acordo com o tipo de propriedade intelectual selecionado.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 seleção do tipo carrega seus campos configurados sem remover os campos comuns do processo.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Sistema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RF-007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Validar campos do tipo de PI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validar obrigatoriedade, formato e domínio dos campos dinâmicos antes do envio do processo.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envio é bloqueado quando um campo obrigatório ou inválido é detectado, com indicação compreensível do ajuste necessário.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Sistema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</w:tbl>
    <w:p>
      <w:pPr>
        <w:spacing w:after="60"/>
      </w:pPr>
    </w:p>
    <w:p>
      <w:pPr>
        <w:pStyle w:val="Heading2"/>
      </w:pPr>
      <w:r>
        <w:t>4.3 Cadastro, consulta e edição de processos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760"/>
        <w:gridCol w:w="5840"/>
        <w:gridCol w:w="1520"/>
        <w:gridCol w:w="1240"/>
      </w:tblGrid>
      <w:tr>
        <w:trPr>
          <w:tblHeader w:val="true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Ator principal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RF-008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Criar processo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que um usuário autenticado crie um processo associado ao seu criador e a um tipo de propriedade intelectual.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 processo válido recebe identificador, data de criação e estado inicial definido pelo fluxo vigente.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 / inventor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RF-009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Persistir dados comuns e dinâmicos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armazenar os dados relacionais comuns e o conteúdo variável do formulário em formData JSONB.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após salvar e consultar o processo, os dados comuns e os campos específicos retornam íntegros e associados ao tipo correto.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Sistema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RF-010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Consultar detalhes do processo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apresentar os detalhes do processo, incluindo participantes, anexos, justificativas, royalties, classificação, tipo de PI e formData.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 usuário autorizado consulta o processo pelo identificador e recebe o agregado completo disponível.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 / administrador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RF-011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Editar processo com recarga por ID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Ao abrir a edição, o sistema deve recarregar o processo pelo identificador, sem reutilizar uma resposta antiga mantida no estado da interface.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edições sucessivas exibem os dados mais recentes de membros, royalties, anexos e formData.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Decisão técnica definida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RF-012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Listar processos do usuário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listar os processos vinculados ao usuário autenticado, respeitando as permissões aplicáveis.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usuário visualiza apenas os registros autorizados e consegue abrir seus detalhes.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RF-013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Pesquisar e paginar processos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oferecer busca, filtros e paginação para a consulta de processos.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 alteração de página ou filtro atualiza os resultados sem perder o comportamento previsto de navegação e recarga.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 / administrador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RF-014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Exibir situação do processo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exibir o status atual do processo nas listagens e nos detalhes.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status apresentado corresponde ao valor persistido e é atualizado após uma transição válida.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 / administrador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</w:tbl>
    <w:p>
      <w:pPr>
        <w:spacing w:after="60"/>
      </w:pPr>
    </w:p>
    <w:p>
      <w:pPr>
        <w:pStyle w:val="Heading2"/>
      </w:pPr>
      <w:r>
        <w:t>4.4 Participantes e termos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760"/>
        <w:gridCol w:w="5840"/>
        <w:gridCol w:w="1520"/>
        <w:gridCol w:w="1240"/>
      </w:tblGrid>
      <w:tr>
        <w:trPr>
          <w:tblHeader w:val="true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Ator principal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RF-015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Gerenciar autores e membros internos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incluir, consultar, atualizar e remover autores ou membros internos vinculados ao processo.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cada participante válido permanece associado ao processo após salvar e reabrir a edição.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RF-016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Gerenciar autores externos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o cadastro de participantes externos que não possuam registro interno completo.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os dados mínimos definidos para o participante externo são validados e persistidos no processo.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RF-017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Registrar aceite de termos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registrar o aceite dos termos de consentimento ou participação quando o fluxo exigir.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aceite identifica o participante, o termo e o momento da confirmação, impedindo finalização quando houver aceite obrigatório pendente.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Autor / membro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</w:tbl>
    <w:p>
      <w:pPr>
        <w:spacing w:after="60"/>
      </w:pPr>
    </w:p>
    <w:p>
      <w:pPr>
        <w:pStyle w:val="Heading2"/>
      </w:pPr>
      <w:r>
        <w:t>4.5 Documentos, justificativas e royalties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760"/>
        <w:gridCol w:w="5840"/>
        <w:gridCol w:w="1520"/>
        <w:gridCol w:w="1240"/>
      </w:tblGrid>
      <w:tr>
        <w:trPr>
          <w:tblHeader w:val="true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Ator principal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RF-018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Gerenciar anexos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enviar, consultar, baixar e remover arquivos vinculados ao processo, conforme as permissões do usuário.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 arquivo válido é armazenado, possui metadados e pode ser recuperado pelo processo sem colisão de nome físico.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 / administrador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RF-019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Registrar justificativas e solicitações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registrar justificativas, observações e solicitações de correção vinculadas ao processo.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registro identifica seu conteúdo e processo e permanece disponível nas consultas autorizadas.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 / administrador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RF-020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Disponibilizar modelos de documentos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disponibilizar os arquivos-modelo necessários ao preenchimento de documentos e termos do processo.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usuário autorizado consegue baixar o modelo vigente e o sistema informa claramente quando o arquivo não estiver disponível.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D6A735"/>
                <w:sz w:val="16"/>
              </w:rPr>
              <w:t>A confirmar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RF-021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Distribuir cotas de royalties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atribuir percentual ou cota de royalties a cada participante elegível do processo.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as cotas são persistidas por participante e retornam corretamente em consultas e edições posteriores.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 / inventor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RF-022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Validar distribuição de royalties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validar a soma e as condições institucionais da distribuição de royalties antes de permitir o avanço do processo.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 distribuição inválida é rejeitada; o total institucional exato, presumido como 100%, deve ser confirmado com o NIT.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D6A735"/>
                <w:sz w:val="16"/>
              </w:rPr>
              <w:t>Regra exata a confirmar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Sistema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</w:tbl>
    <w:p>
      <w:pPr>
        <w:spacing w:after="60"/>
      </w:pPr>
    </w:p>
    <w:p>
      <w:pPr>
        <w:pStyle w:val="Heading2"/>
      </w:pPr>
      <w:r>
        <w:t>4.6 Análise e tramitação administrativa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760"/>
        <w:gridCol w:w="5840"/>
        <w:gridCol w:w="1520"/>
        <w:gridCol w:w="1240"/>
      </w:tblGrid>
      <w:tr>
        <w:trPr>
          <w:tblHeader w:val="true"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Ator principal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RF-023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Consultar fila administrativa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que o administrador consulte e pesquise os processos submetidos à análise do NIT.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administrador visualiza os processos autorizados, seus estados e as informações necessárias para análise.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Administrador do NIT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RF-024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Analisar processo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a conferência dos dados, participantes, documentos, royalties e classificação do processo.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administrador acessa o agregado completo e consegue executar somente ações permitidas pelo estado atual.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Administrador do NIT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RF-025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Solicitar correção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que o administrador devolva o processo para ajustes, informando a correção necessária.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 solicitação é vinculada ao processo e o status é alterado para o estado de correção definido no fluxo.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Administrador do NIT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RF-026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Enviar processo corrigido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que o usuário responda às solicitações e reenvie o processo após os ajustes.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reenvio válido atualiza o processo e define o status CORRIGIDO para nova análise.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Decisão técnica definida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Usuário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RF-027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Classificar o processo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associar áreas e campos de aplicação, incluindo classificação de Nice quando aplicável.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 classificação válida é persistida e exibida no processo; o avanço é bloqueado quando a etapa obrigatória estiver incompleta.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Administrador do NIT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RF-028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Aplicar transições de status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somente as transições de status previstas pelas regras de negócio, mantendo o backend como fonte de verdade.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uma transição permitida é persistida; uma transição inválida é recusada com resposta padronizada.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D6A735"/>
                <w:sz w:val="16"/>
              </w:rPr>
              <w:t>Sequência exata a confirmar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Sistema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RF-029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Bloquear finalização incompleta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impedir a finalização enquanto houver distribuição de cotas, documentos, termos, classificação ou outro requisito obrigatório pendente.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uma tentativa antecipada não altera o status e informa quais condições ainda não foram satisfeitas.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Sistema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RF-030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Finalizar processo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a finalização administrativa quando todas as condições obrigatórias estiverem satisfeitas.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processo passa para FINALIZADO somente após validação integral das pré-condições no backend.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Administrador do NIT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RF-031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Inativar processo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permitir a inativação controlada de um processo sem apagar seu registro histórico.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processo passa para INATIVO, permanece consultável no contexto autorizado e não é excluído fisicamente.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Administrador do NIT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</w:tr>
      <w:tr>
        <w:trPr>
          <w:cantSplit/>
        </w:trPr>
        <w:tc>
          <w:tcPr>
            <w:tcW w:type="dxa" w:w="7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RF-032</w:t>
            </w:r>
          </w:p>
        </w:tc>
        <w:tc>
          <w:tcPr>
            <w:tcW w:type="dxa" w:w="58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Excluir inativos das consultas operacionais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desconsiderar processos INATIVOS nas buscas, contagens e indicadores operacionais por padrão.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consultas operacionais comuns não retornam INATIVO, salvo quando houver filtro administrativo explícito.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  <w:tc>
          <w:tcPr>
            <w:tcW w:type="dxa" w:w="15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Sistema</w:t>
            </w:r>
          </w:p>
        </w:tc>
        <w:tc>
          <w:tcPr>
            <w:tcW w:type="dxa" w:w="124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RF-033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Enviar notificações por e-mail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utilizar o serviço de e-mail configurado para comunicar eventos relevantes do processo.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evento configurado gera envio ao destinatário correto, registra falha de integração sem expor credenciais e não bloqueia indevidamente a persistência principal.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5F6B73"/>
                <w:sz w:val="16"/>
              </w:rPr>
              <w:t xml:space="preserve">Situação: </w:t>
            </w:r>
            <w:r>
              <w:rPr>
                <w:rFonts w:ascii="Calibri" w:hAnsi="Calibri" w:eastAsia="Calibri"/>
                <w:i/>
                <w:color w:val="D6A735"/>
                <w:sz w:val="16"/>
              </w:rPr>
              <w:t>Eventos a confirmar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263238"/>
                <w:sz w:val="16"/>
              </w:rPr>
              <w:t>Sistema</w:t>
            </w:r>
          </w:p>
        </w:tc>
        <w:tc>
          <w:tcPr>
            <w:tcW w:type="dxa" w:w="1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</w:tr>
    </w:tbl>
    <w:p>
      <w:pPr>
        <w:spacing w:after="60"/>
      </w:pPr>
    </w:p>
    <w:p>
      <w:pPr>
        <w:pStyle w:val="Heading1"/>
      </w:pPr>
      <w:r>
        <w:t>5. Requisitos não funcionais</w:t>
      </w:r>
    </w:p>
    <w:p>
      <w:pPr>
        <w:keepLines w:val="0"/>
        <w:spacing w:after="120"/>
      </w:pPr>
      <w:r>
        <w:rPr>
          <w:rFonts w:ascii="Calibri" w:hAnsi="Calibri" w:eastAsia="Calibri"/>
          <w:i w:val="0"/>
          <w:color w:val="263238"/>
        </w:rPr>
        <w:t>Os requisitos não funcionais estabelecem condições de qualidade, segurança, desempenho, confiabilidade e manutenção. Metas ainda não definidas estão explicitamente marcadas para confirmação.</w:t>
      </w:r>
    </w:p>
    <w:p>
      <w:pPr>
        <w:pStyle w:val="Heading2"/>
      </w:pPr>
      <w:r>
        <w:t>5.1 Usabilidade, acessibilidade e compatibilidade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980"/>
        <w:gridCol w:w="5820"/>
        <w:gridCol w:w="1160"/>
        <w:gridCol w:w="1400"/>
      </w:tblGrid>
      <w:tr>
        <w:trPr>
          <w:tblHeader w:val="true"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RNF-001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Interface web responsiva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interface Flutter Web deve adaptar seus componentes às resoluções usadas no ambiente institucional.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telas principais permanecem utilizáveis sem perda de conteúdo ou sobreposição nos tamanhos homologados.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RNF-002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Acessibilidade de navegação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interface deve oferecer navegação por teclado, foco visível, contraste adequado e componentes compreensíveis por tecnologias assistivas.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os fluxos principais podem ser executados por teclado e os controles apresentam nome, estado e foco perceptíveis.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RNF-003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Compatibilidade com navegadores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sistema deve funcionar nos navegadores e versões homologados pela Unitins.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cadastro, autenticação, consulta, edição e anexos são aprovados na matriz de navegadores definida pela equipe.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Matriz a confirmar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RNF-004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Mensagens compreensíveis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Erros de validação e de negócio devem ser apresentados em linguagem clara, sem revelar detalhes internos desnecessários.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usuário recebe orientação acionável e a resposta técnica preserva o formato padronizado de erro.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</w:tbl>
    <w:p>
      <w:pPr>
        <w:spacing w:after="60"/>
      </w:pPr>
    </w:p>
    <w:p>
      <w:pPr>
        <w:pStyle w:val="Heading2"/>
      </w:pPr>
      <w:r>
        <w:t>5.2 Segurança e privacidade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980"/>
        <w:gridCol w:w="5820"/>
        <w:gridCol w:w="1160"/>
        <w:gridCol w:w="1400"/>
      </w:tblGrid>
      <w:tr>
        <w:trPr>
          <w:tblHeader w:val="true"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RNF-005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Autenticação JWT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As rotas protegidas devem exigir token JWT Bearer válido, com expiração e validação no backend.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tokens ausentes, inválidos ou expirados não autorizam a operação.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RNF-006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Proteção de senhas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Senhas devem ser persistidas exclusivamente com algoritmo de hash seguro e nunca retornadas pela API.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nenhuma senha em texto puro é encontrada no banco, logs ou respostas HTTP.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RNF-007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Privilégio mínimo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autorização deve limitar cada operação ao perfil e ao vínculo do usuário com o processo.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operações administrativas são recusadas para USER e dados alheios não são expostos sem permissão.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RNF-008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Gestão externa de segredos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Senhas, JWT_SECRET, credenciais de e-mail e tokens devem ser fornecidos por variáveis protegidas, Docker secrets ou arquivo ignorado pelo Git.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nenhum segredo real consta no repositório, imagem, compose versionado ou logs.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RNF-009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CORS por ambiente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backend deve aceitar origens somente conforme a configuração de cada ambiente.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origens autorizadas funcionam e uma origem não permitida é bloqueada.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Configuração final a confirmar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RNF-010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Transporte seguro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ambiente implantado deve usar HTTPS para proteger credenciais, tokens e dados dos processos em trânsito.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acesso HTTP é redirecionado ou bloqueado e o certificado válido é apresentado no endereço oficial.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Implantação a confirmar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RNF-011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Proteção de dados pessoais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Dados pessoais de inventores e participantes devem ser coletados, exibidos e mantidos somente para finalidades autorizadas, conforme as normas institucionais e a LGPD.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perfis sem necessidade não acessam dados pessoais e os procedimentos de retenção e atendimento ao titular estão documentados.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Regras institucionais a confirmar</w:t>
            </w:r>
          </w:p>
        </w:tc>
      </w:tr>
    </w:tbl>
    <w:p>
      <w:pPr>
        <w:spacing w:after="60"/>
      </w:pPr>
    </w:p>
    <w:p>
      <w:pPr>
        <w:pStyle w:val="Heading2"/>
      </w:pPr>
      <w:r>
        <w:t>5.3 Desempenho e escalabilidade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980"/>
        <w:gridCol w:w="5820"/>
        <w:gridCol w:w="1160"/>
        <w:gridCol w:w="1400"/>
      </w:tblGrid>
      <w:tr>
        <w:trPr>
          <w:tblHeader w:val="true"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RNF-012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Paginação obrigatória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Listagens de processos devem utilizar paginação e evitar o carregamento integral da base.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backend retorna páginas limitadas e a interface preserva filtro, página e estado de carregamento.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RNF-013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Tempo de resposta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Consultas e operações interativas devem responder dentro de metas definidas para a carga institucional prevista.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os percentis e limites de tempo acordados são atendidos em teste de carga representativo.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Meta numérica a confirmar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RNF-014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Consultas operacionais eficientes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Filtros, contagens e pesquisas devem excluir INATIVO por padrão e utilizar consultas compatíveis com o volume esperado.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as consultas retornam somente o escopo operacional e não apresentam degradação desproporcional com o crescimento da base.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</w:tbl>
    <w:p>
      <w:pPr>
        <w:spacing w:after="60"/>
      </w:pPr>
    </w:p>
    <w:p>
      <w:pPr>
        <w:pStyle w:val="Heading2"/>
      </w:pPr>
      <w:r>
        <w:t>5.4 Confiabilidade, dados e arquivos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980"/>
        <w:gridCol w:w="5820"/>
        <w:gridCol w:w="1160"/>
        <w:gridCol w:w="1400"/>
      </w:tblGrid>
      <w:tr>
        <w:trPr>
          <w:tblHeader w:val="true"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RNF-015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Integridade transacional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Alterações de processo, participantes, royalties e status devem preservar integridade relacional e transacional.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uma falha no meio da operação não deixa o agregado parcialmente atualizado.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RNF-016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Compatibilidade do formData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evolução dos formulários dinâmicos deve preservar a leitura de processos antigos ou aplicar migração versionada.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 processo criado em versão anterior continua consultável após a inclusão ou alteração controlada de campos.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Estratégia a confirmar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RNF-017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Persistência de anexos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Arquivos enviados devem sobreviver à recriação dos containers e manter associação consistente com o processo.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após recriar o serviço, anexos previamente persistidos continuam disponíveis e íntegros.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Estratégia de produção a confirmar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RNF-018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Backup e restauração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Banco de dados e arquivos persistentes devem possuir rotina documentada de backup e restauração.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uma restauração de teste recupera dados e anexos dentro dos objetivos definidos pela instituição.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Procedimento a confirmar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RNF-019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Sementes idempotentes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carga inicial de áreas e campos de aplicação deve poder ser executada mais de uma vez sem criar duplicidades.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duas execuções consecutivas mantêm os mesmos registros e identificadores funcionais.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</w:tbl>
    <w:p>
      <w:pPr>
        <w:spacing w:after="60"/>
      </w:pPr>
    </w:p>
    <w:p>
      <w:pPr>
        <w:pStyle w:val="Heading2"/>
      </w:pPr>
      <w:r>
        <w:t>5.5 Arquitetura, manutenção e operação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980"/>
        <w:gridCol w:w="5820"/>
        <w:gridCol w:w="1160"/>
        <w:gridCol w:w="1400"/>
      </w:tblGrid>
      <w:tr>
        <w:trPr>
          <w:tblHeader w:val="true"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Requisito e critério de aceite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Prioridade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RNF-020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Separação arquitetural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Backend e frontend devem manter separação de responsabilidades conforme as arquiteturas em camadas e Clean Architecture adotadas.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regras de negócio não dependem diretamente da camada visual e entidades permanecem separadas dos modelos de resposta.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RNF-021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Portabilidade por containers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Aplicação, banco e frontend devem ser executáveis por containers com configuração externa ao código.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o ambiente homologado sobe com o compose vigente e os serviços atingem estado saudável.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RNF-022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Disponibilidade dos serviços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Os containers devem possuir política de reinício e verificações de saúde compatíveis com o ambiente de implantação.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banco e API reportam saúde corretamente e uma falha recuperável não causa reinícios contínuos.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Metas a confirmar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RNF-023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Integração e entrega contínuas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pipeline deve executar build, testes e geração de imagens identificáveis antes da implantação.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uma falha de build ou teste impede a publicação e uma versão aprovada produz imagem com tag rastreável.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Pipeline atual a confirmar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RNF-024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Logs operacionais seguros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Os serviços devem registrar falhas e eventos operacionais suficientes para diagnóstico, sem incluir senhas, tokens ou dados pessoais desnecessários.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um erro pode ser correlacionado por data e contexto, e a inspeção dos logs não revela segredos.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Alta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  <w:tr>
        <w:trPr>
          <w:cantSplit/>
        </w:trPr>
        <w:tc>
          <w:tcPr>
            <w:tcW w:type="dxa" w:w="98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RNF-025</w:t>
            </w:r>
          </w:p>
        </w:tc>
        <w:tc>
          <w:tcPr>
            <w:tcW w:type="dxa" w:w="582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Testes automatizados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Regras críticas de autenticação, status, royalties, persistência e edição devem possuir testes automatizados.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 suíte cobre os cenários críticos e a meta de cobertura adotada pela equipe é registrada no pipeline.</w:t>
            </w:r>
          </w:p>
        </w:tc>
        <w:tc>
          <w:tcPr>
            <w:tcW w:type="dxa" w:w="11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  <w:tc>
          <w:tcPr>
            <w:tcW w:type="dxa" w:w="14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D6A735"/>
                <w:sz w:val="16"/>
              </w:rPr>
              <w:t>Cobertura a confirmar</w:t>
            </w:r>
          </w:p>
        </w:tc>
      </w:tr>
      <w:tr>
        <w:trPr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RNF-026</w:t>
            </w:r>
          </w:p>
        </w:tc>
        <w:tc>
          <w:tcPr>
            <w:tcW w:type="dxa" w:w="5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Contratos de API documentados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Os endpoints e modelos de requisição e resposta devem ser documentados por OpenAPI/Swagger e mantidos compatíveis com a implementação.</w:t>
            </w:r>
          </w:p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 xml:space="preserve">Aceite: </w:t>
            </w:r>
            <w:r>
              <w:rPr>
                <w:rFonts w:ascii="Calibri" w:hAnsi="Calibri" w:eastAsia="Calibri"/>
                <w:color w:val="263238"/>
                <w:sz w:val="16"/>
              </w:rPr>
              <w:t>a documentação gerada permite consultar e testar os contratos disponíveis no ambiente autorizado.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63238"/>
                <w:sz w:val="16"/>
              </w:rPr>
              <w:t>Média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5F6B73"/>
                <w:sz w:val="16"/>
              </w:rPr>
              <w:t>Levantado</w:t>
            </w:r>
          </w:p>
        </w:tc>
      </w:tr>
    </w:tbl>
    <w:p>
      <w:pPr>
        <w:spacing w:after="60"/>
      </w:pPr>
    </w:p>
    <w:p>
      <w:pPr>
        <w:pStyle w:val="Heading1"/>
      </w:pPr>
      <w:r>
        <w:t>6. Regras de negócio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ID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Regra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RN-001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Todo processo deve possuir criador identificado e tipo de propriedade intelectual válido.</w:t>
            </w:r>
          </w:p>
        </w:tc>
      </w:tr>
      <w:tr>
        <w:tc>
          <w:tcPr>
            <w:tcW w:type="dxa" w:w="11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RN-002</w:t>
            </w:r>
          </w:p>
        </w:tc>
        <w:tc>
          <w:tcPr>
            <w:tcW w:type="dxa" w:w="82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Os dados comuns permanecem relacionais; os campos específicos do tipo de PI são persistidos em formData JSONB.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RN-003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obrigatoriedade e a validação dos campos dependem do tipo de PI e da etapa atual do processo.</w:t>
            </w:r>
          </w:p>
        </w:tc>
      </w:tr>
      <w:tr>
        <w:tc>
          <w:tcPr>
            <w:tcW w:type="dxa" w:w="11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RN-004</w:t>
            </w:r>
          </w:p>
        </w:tc>
        <w:tc>
          <w:tcPr>
            <w:tcW w:type="dxa" w:w="82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soma das cotas de royalties deve respeitar o total institucional; o valor exato, presumido como 100%, precisa ser confirmado.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RN-005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processo deve iniciar na etapa de distribuição de cotas ou no estado inicial oficialmente definido pelo fluxo vigente.</w:t>
            </w:r>
          </w:p>
        </w:tc>
      </w:tr>
      <w:tr>
        <w:tc>
          <w:tcPr>
            <w:tcW w:type="dxa" w:w="11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RN-006</w:t>
            </w:r>
          </w:p>
        </w:tc>
        <w:tc>
          <w:tcPr>
            <w:tcW w:type="dxa" w:w="82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reenvio após uma solicitação de correção deve alterar o status para CORRIGIDO.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RN-007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FINALIZADO somente pode ser atribuído quando distribuição, documentação, termos, classificação e demais requisitos estiverem satisfeitos.</w:t>
            </w:r>
          </w:p>
        </w:tc>
      </w:tr>
      <w:tr>
        <w:tc>
          <w:tcPr>
            <w:tcW w:type="dxa" w:w="11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RN-008</w:t>
            </w:r>
          </w:p>
        </w:tc>
        <w:tc>
          <w:tcPr>
            <w:tcW w:type="dxa" w:w="82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Processos INATIVOS devem ser excluídos por padrão das buscas, contagens e indicadores operacionais.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RN-009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O backend é a fonte de verdade para validação das transições de status e permissões.</w:t>
            </w:r>
          </w:p>
        </w:tc>
      </w:tr>
      <w:tr>
        <w:tc>
          <w:tcPr>
            <w:tcW w:type="dxa" w:w="11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RN-010</w:t>
            </w:r>
          </w:p>
        </w:tc>
        <w:tc>
          <w:tcPr>
            <w:tcW w:type="dxa" w:w="82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Anexos devem permanecer vinculados ao processo e utilizar armazenamento que evite colisão ou perda do nome físico.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RN-011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 tela de edição deve buscar novamente o processo pelo ID para evitar dados antigos em edições sucessivas.</w:t>
            </w:r>
          </w:p>
        </w:tc>
      </w:tr>
      <w:tr>
        <w:tc>
          <w:tcPr>
            <w:tcW w:type="dxa" w:w="11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RN-012</w:t>
            </w:r>
          </w:p>
        </w:tc>
        <w:tc>
          <w:tcPr>
            <w:tcW w:type="dxa" w:w="82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Sementes de áreas e campos de aplicação devem ser idempotentes.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RN-013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Autores externos podem participar sem cadastro interno completo, desde que forneçam os dados mínimos obrigatórios.</w:t>
            </w:r>
          </w:p>
        </w:tc>
      </w:tr>
      <w:tr>
        <w:tc>
          <w:tcPr>
            <w:tcW w:type="dxa" w:w="11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RN-014</w:t>
            </w:r>
          </w:p>
        </w:tc>
        <w:tc>
          <w:tcPr>
            <w:tcW w:type="dxa" w:w="82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Somente atores autorizados podem consultar ou alterar um processo conforme perfil, vínculo e estado.</w:t>
            </w:r>
          </w:p>
        </w:tc>
      </w:tr>
    </w:tbl>
    <w:p>
      <w:pPr>
        <w:spacing w:after="40"/>
      </w:pPr>
    </w:p>
    <w:p>
      <w:pPr>
        <w:pStyle w:val="Heading1"/>
      </w:pPr>
      <w:r>
        <w:t>7. Matriz resumida de rastreabilidade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200"/>
        <w:gridCol w:w="2500"/>
        <w:gridCol w:w="2800"/>
        <w:gridCol w:w="18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Área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Requisitos funcionais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Requisitos não funcionais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6"/>
              </w:rPr>
              <w:t>Regras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Acesso e segurança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RF-001 a RF-004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RNF-005 a RNF-011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RN-014</w:t>
            </w:r>
          </w:p>
        </w:tc>
      </w:tr>
      <w:tr>
        <w:tc>
          <w:tcPr>
            <w:tcW w:type="dxa" w:w="22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Tipos de PI e formulários</w:t>
            </w:r>
          </w:p>
        </w:tc>
        <w:tc>
          <w:tcPr>
            <w:tcW w:type="dxa" w:w="25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RF-005 a RF-007</w:t>
            </w:r>
          </w:p>
        </w:tc>
        <w:tc>
          <w:tcPr>
            <w:tcW w:type="dxa" w:w="2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RNF-016, RNF-019</w:t>
            </w:r>
          </w:p>
        </w:tc>
        <w:tc>
          <w:tcPr>
            <w:tcW w:type="dxa" w:w="18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RN-002, RN-003, RN-012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Processos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RF-008 a RF-014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RNF-012 a RNF-016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RN-001, RN-011</w:t>
            </w:r>
          </w:p>
        </w:tc>
      </w:tr>
      <w:tr>
        <w:tc>
          <w:tcPr>
            <w:tcW w:type="dxa" w:w="22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Participantes e termos</w:t>
            </w:r>
          </w:p>
        </w:tc>
        <w:tc>
          <w:tcPr>
            <w:tcW w:type="dxa" w:w="25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RF-015 a RF-017</w:t>
            </w:r>
          </w:p>
        </w:tc>
        <w:tc>
          <w:tcPr>
            <w:tcW w:type="dxa" w:w="2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RNF-007, RNF-011, RNF-015</w:t>
            </w:r>
          </w:p>
        </w:tc>
        <w:tc>
          <w:tcPr>
            <w:tcW w:type="dxa" w:w="18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RN-013, RN-014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Documentos e royalties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RF-018 a RF-022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RNF-017, RNF-018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RN-004, RN-010</w:t>
            </w:r>
          </w:p>
        </w:tc>
      </w:tr>
      <w:tr>
        <w:tc>
          <w:tcPr>
            <w:tcW w:type="dxa" w:w="22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Tramitação administrativa</w:t>
            </w:r>
          </w:p>
        </w:tc>
        <w:tc>
          <w:tcPr>
            <w:tcW w:type="dxa" w:w="25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RF-023 a RF-033</w:t>
            </w:r>
          </w:p>
        </w:tc>
        <w:tc>
          <w:tcPr>
            <w:tcW w:type="dxa" w:w="280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RNF-004, RNF-024 a RNF-026</w:t>
            </w:r>
          </w:p>
        </w:tc>
        <w:tc>
          <w:tcPr>
            <w:tcW w:type="dxa" w:w="1860"/>
            <w:shd w:fill="F5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6"/>
              </w:rPr>
              <w:t>RN-005 a RN-009</w:t>
            </w:r>
          </w:p>
        </w:tc>
      </w:tr>
    </w:tbl>
    <w:p>
      <w:pPr>
        <w:spacing w:after="40"/>
      </w:pPr>
    </w:p>
    <w:p>
      <w:pPr>
        <w:pStyle w:val="Heading1"/>
      </w:pPr>
      <w:r>
        <w:t>8. Estratégia inicial de validação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Testes funcionais por requisito e por perfil de acesso.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Testes de integração da API, PostgreSQL, armazenamento de anexos e serviço de e-mail.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Testes de regras de status, royalties, finalização e exclusão lógica de INATIVO.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Testes de interface para recarga por ID, formulários dinâmicos, paginação e acessibilidade.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Testes de infraestrutura para containers, healthchecks, segredos, backup e restauração.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Homologação com inventores e equipe administrativa do NIT usando dados realistas.</w:t>
      </w:r>
    </w:p>
    <w:p>
      <w:pPr>
        <w:pStyle w:val="Heading1"/>
      </w:pPr>
      <w:r>
        <w:t>9. Pontos pendentes de confirmação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Nome oficial do sistema: Software Hub, SGPI-NIT, RegistraPI, NexoPI ou outra definição institucional.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Tipos de propriedade intelectual ativos e campos obrigatórios de cada formulário.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Sequência oficial de status, permissões e pré-condições de cada transição.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Total e regras exatas da distribuição de royalties.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Eventos que geram notificações e destinatários de cada e-mail.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Existência e regras do fluxo de recuperação de senha e dos modelos de documentos.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Matriz de navegadores, metas de desempenho, disponibilidade e recuperação de desastre.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Política de retenção, privacidade e atendimento à LGPD.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Mapa de endpoints, rotas, diretórios, portas, migrations e configuração dos ambientes atuais.</w:t>
      </w:r>
    </w:p>
    <w:p>
      <w:pPr>
        <w:pStyle w:val="ListBullet"/>
        <w:spacing w:after="80" w:line="300" w:lineRule="auto"/>
      </w:pPr>
      <w:r>
        <w:rPr>
          <w:rFonts w:ascii="Calibri" w:hAnsi="Calibri" w:eastAsia="Calibri"/>
          <w:color w:val="263238"/>
        </w:rPr>
        <w:t xml:space="preserve"> Meta de cobertura de testes e critérios formais de homologação e aceite.</w:t>
      </w:r>
    </w:p>
    <w:p>
      <w:pPr>
        <w:pStyle w:val="Heading1"/>
      </w:pPr>
      <w:r>
        <w:t>10. Histórico de revisões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100"/>
        <w:gridCol w:w="1600"/>
        <w:gridCol w:w="4660"/>
        <w:gridCol w:w="2000"/>
      </w:tblGrid>
      <w:tr>
        <w:trPr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Versão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Data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Descrição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7365D"/>
                <w:sz w:val="17"/>
              </w:rPr>
              <w:t>Responsável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0.1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12/08/2026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Criação do rascunho inicial de requisitos funcionais, não funcionais e regras de negócio.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263238"/>
                <w:sz w:val="17"/>
              </w:rPr>
              <w:t>Weberth Erik Anolar Sirqueira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single" w:sz="8" w:space="0" w:color="70AD47"/>
          <w:insideV w:val="single" w:sz="8" w:space="0" w:color="70AD47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8EE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17365D"/>
              </w:rPr>
              <w:t xml:space="preserve">Status: </w:t>
            </w:r>
            <w:r>
              <w:rPr>
                <w:rFonts w:ascii="Calibri" w:hAnsi="Calibri" w:eastAsia="Calibri"/>
                <w:color w:val="263238"/>
              </w:rPr>
              <w:t>Documento aberto para revisão. A próxima versão deve incorporar as validações da equipe do NIT e evidências extraídas dos repositórios atuais.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  <w:pBdr>
        <w:top w:val="single" w:sz="4" w:space="2" w:color="C9D3DD"/>
      </w:pBdr>
    </w:pPr>
    <w:r>
      <w:rPr>
        <w:rFonts w:ascii="Calibri" w:hAnsi="Calibri" w:eastAsia="Calibri"/>
        <w:color w:val="5F6B73"/>
        <w:sz w:val="18"/>
      </w:rPr>
      <w:t xml:space="preserve">Versão 0.1 - Rascunho  |  Página </w:t>
    </w:r>
    <w:r>
      <w:rPr>
        <w:rFonts w:ascii="Calibri" w:hAnsi="Calibri" w:eastAsia="Calibri"/>
        <w:color w:val="5F6B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2" w:color="C9D3DD"/>
      </w:pBdr>
    </w:pPr>
    <w:r>
      <w:rPr>
        <w:rFonts w:ascii="Calibri" w:hAnsi="Calibri" w:eastAsia="Calibri"/>
        <w:b/>
        <w:color w:val="5F6B73"/>
        <w:sz w:val="17"/>
      </w:rPr>
      <w:t>SOFTWARE HUB / SGPI-NIT</w:t>
    </w:r>
    <w:r>
      <w:rPr>
        <w:rFonts w:ascii="Calibri" w:hAnsi="Calibri" w:eastAsia="Calibri"/>
        <w:color w:val="5F6B73"/>
        <w:sz w:val="17"/>
      </w:rPr>
      <w:t xml:space="preserve">  |  ESPECIFICAÇÃO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5F6B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Funcionais e Não Funcionais - Software Hub / SGPI-NIT</dc:title>
  <dc:subject>Especificação inicial de requisitos do sistema de propriedade intelectual do NIT/Unitins</dc:subject>
  <dc:creator>Weberth Erik Anolar Sirqueira</dc:creator>
  <cp:keywords>Software Hub, SGPI-NIT, requisitos funcionais, requisitos não funcionais, Unitins, NIT</cp:keywords>
  <dc:description>Versão 0.1 em rascunho, sujeita à validação com a equipe e os repositórios atuais.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