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2304"/>
      </w:tblGrid>
      <w:tr w:rsidR="008818ED" w:rsidTr="008818ED">
        <w:tc>
          <w:tcPr>
            <w:tcW w:w="7230" w:type="dxa"/>
            <w:shd w:val="clear" w:color="auto" w:fill="FFFFFF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bookmarkStart w:id="0" w:name="_GoBack"/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ИНФОРМАЦИОННАЯ ТЕХНОЛОГИЯ.</w:t>
            </w: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br/>
              <w:t>Комплекс стандартов на автоматизированные системы</w:t>
            </w:r>
          </w:p>
        </w:tc>
        <w:tc>
          <w:tcPr>
            <w:tcW w:w="2304" w:type="dxa"/>
            <w:vMerge w:val="restart"/>
            <w:shd w:val="clear" w:color="auto" w:fill="FFFFFF"/>
            <w:vAlign w:val="center"/>
            <w:hideMark/>
          </w:tcPr>
          <w:p w:rsidR="008818ED" w:rsidRDefault="008818ED">
            <w:pPr>
              <w:pStyle w:val="1"/>
              <w:spacing w:before="0" w:beforeAutospacing="0" w:after="0" w:afterAutospacing="0"/>
              <w:jc w:val="center"/>
              <w:rPr>
                <w:rFonts w:ascii="Tahoma" w:hAnsi="Tahoma" w:cs="Tahoma"/>
                <w:b w:val="0"/>
                <w:bCs w:val="0"/>
                <w:color w:val="444444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</w:rPr>
              <w:t>34.602-89</w:t>
            </w:r>
          </w:p>
        </w:tc>
      </w:tr>
      <w:tr w:rsidR="008818ED" w:rsidTr="008818ED">
        <w:tc>
          <w:tcPr>
            <w:tcW w:w="7230" w:type="dxa"/>
            <w:shd w:val="clear" w:color="auto" w:fill="FFFFFF"/>
            <w:vAlign w:val="center"/>
            <w:hideMark/>
          </w:tcPr>
          <w:p w:rsidR="008818ED" w:rsidRDefault="008818ED">
            <w:pPr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2304" w:type="dxa"/>
            <w:vMerge/>
            <w:shd w:val="clear" w:color="auto" w:fill="FFFFFF"/>
            <w:vAlign w:val="center"/>
            <w:hideMark/>
          </w:tcPr>
          <w:p w:rsidR="008818ED" w:rsidRDefault="008818ED">
            <w:pPr>
              <w:rPr>
                <w:rFonts w:ascii="Tahoma" w:hAnsi="Tahoma" w:cs="Tahoma"/>
                <w:color w:val="444444"/>
                <w:kern w:val="36"/>
                <w:sz w:val="48"/>
                <w:szCs w:val="48"/>
              </w:rPr>
            </w:pPr>
          </w:p>
        </w:tc>
      </w:tr>
      <w:tr w:rsidR="008818ED" w:rsidTr="008818ED">
        <w:tc>
          <w:tcPr>
            <w:tcW w:w="7230" w:type="dxa"/>
            <w:shd w:val="clear" w:color="auto" w:fill="FFFFFF"/>
            <w:vAlign w:val="center"/>
            <w:hideMark/>
          </w:tcPr>
          <w:p w:rsidR="008818ED" w:rsidRDefault="008818ED">
            <w:pPr>
              <w:pStyle w:val="2"/>
              <w:spacing w:before="0"/>
              <w:jc w:val="center"/>
              <w:rPr>
                <w:rFonts w:ascii="Tahoma" w:hAnsi="Tahoma" w:cs="Tahoma"/>
                <w:color w:val="444444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444444"/>
              </w:rPr>
              <w:t>ТЕХНИЧЕСКОЕ ЗАДАНИЕ НА СОЗДАНИЕ АВТОМАТИЗИРОВАННОЙ СИСТЕМЫ</w:t>
            </w:r>
          </w:p>
        </w:tc>
        <w:tc>
          <w:tcPr>
            <w:tcW w:w="2304" w:type="dxa"/>
            <w:vMerge/>
            <w:shd w:val="clear" w:color="auto" w:fill="FFFFFF"/>
            <w:vAlign w:val="center"/>
            <w:hideMark/>
          </w:tcPr>
          <w:p w:rsidR="008818ED" w:rsidRDefault="008818ED">
            <w:pPr>
              <w:rPr>
                <w:rFonts w:ascii="Tahoma" w:hAnsi="Tahoma" w:cs="Tahoma"/>
                <w:color w:val="444444"/>
                <w:kern w:val="36"/>
                <w:sz w:val="48"/>
                <w:szCs w:val="48"/>
              </w:rPr>
            </w:pPr>
          </w:p>
        </w:tc>
      </w:tr>
      <w:tr w:rsidR="008818ED" w:rsidRPr="008818ED" w:rsidTr="008818ED">
        <w:tc>
          <w:tcPr>
            <w:tcW w:w="7230" w:type="dxa"/>
            <w:shd w:val="clear" w:color="auto" w:fill="FFFFFF"/>
            <w:vAlign w:val="center"/>
            <w:hideMark/>
          </w:tcPr>
          <w:p w:rsidR="008818ED" w:rsidRPr="008818ED" w:rsidRDefault="008818ED">
            <w:pPr>
              <w:pStyle w:val="a3"/>
              <w:spacing w:before="0" w:beforeAutospacing="0" w:after="0" w:afterAutospacing="0"/>
              <w:jc w:val="center"/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</w:pPr>
            <w:r w:rsidRPr="008818ED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Information technology. Set of standards for automated systems. Technical directions for developing of automated system</w:t>
            </w:r>
          </w:p>
        </w:tc>
        <w:tc>
          <w:tcPr>
            <w:tcW w:w="2304" w:type="dxa"/>
            <w:vMerge/>
            <w:shd w:val="clear" w:color="auto" w:fill="FFFFFF"/>
            <w:vAlign w:val="center"/>
            <w:hideMark/>
          </w:tcPr>
          <w:p w:rsidR="008818ED" w:rsidRPr="008818ED" w:rsidRDefault="008818ED">
            <w:pPr>
              <w:rPr>
                <w:rFonts w:ascii="Tahoma" w:hAnsi="Tahoma" w:cs="Tahoma"/>
                <w:color w:val="444444"/>
                <w:kern w:val="36"/>
                <w:sz w:val="48"/>
                <w:szCs w:val="48"/>
                <w:lang w:val="en-US"/>
              </w:rPr>
            </w:pPr>
          </w:p>
        </w:tc>
      </w:tr>
      <w:tr w:rsidR="008818ED" w:rsidTr="008818ED">
        <w:tc>
          <w:tcPr>
            <w:tcW w:w="7230" w:type="dxa"/>
            <w:shd w:val="clear" w:color="auto" w:fill="FFFFFF"/>
            <w:vAlign w:val="center"/>
            <w:hideMark/>
          </w:tcPr>
          <w:p w:rsidR="008818ED" w:rsidRDefault="008818ED">
            <w:pPr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ОКСТУ 0034</w:t>
            </w:r>
          </w:p>
        </w:tc>
        <w:tc>
          <w:tcPr>
            <w:tcW w:w="2304" w:type="dxa"/>
            <w:vMerge/>
            <w:shd w:val="clear" w:color="auto" w:fill="FFFFFF"/>
            <w:vAlign w:val="center"/>
            <w:hideMark/>
          </w:tcPr>
          <w:p w:rsidR="008818ED" w:rsidRDefault="008818ED">
            <w:pPr>
              <w:rPr>
                <w:rFonts w:ascii="Tahoma" w:hAnsi="Tahoma" w:cs="Tahoma"/>
                <w:color w:val="444444"/>
                <w:kern w:val="36"/>
                <w:sz w:val="48"/>
                <w:szCs w:val="48"/>
              </w:rPr>
            </w:pPr>
          </w:p>
        </w:tc>
      </w:tr>
    </w:tbl>
    <w:p w:rsidR="008818ED" w:rsidRDefault="008818ED" w:rsidP="008818E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444" stroked="f"/>
        </w:pic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18"/>
          <w:szCs w:val="18"/>
        </w:rPr>
        <w:t>Дата введения </w:t>
      </w:r>
      <w:r>
        <w:rPr>
          <w:rFonts w:ascii="Tahoma" w:hAnsi="Tahoma" w:cs="Tahoma"/>
          <w:b/>
          <w:bCs/>
          <w:color w:val="444444"/>
          <w:sz w:val="18"/>
          <w:szCs w:val="18"/>
          <w:u w:val="single"/>
        </w:rPr>
        <w:t>с 01.01.1990г.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 п.), включая их сочетания, и устанавливает состав, содержание, правила оформления документа «Техническое задание на создание (развитие или модернизацию) системы» (далее - ТЗ на АС).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Рекомендуемый порядок разработки, согласования и утверждения ТЗ на АС приведен в приложении 1.</w:t>
      </w:r>
    </w:p>
    <w:p w:rsidR="008818ED" w:rsidRDefault="008818ED" w:rsidP="008818ED">
      <w:pPr>
        <w:pStyle w:val="3"/>
        <w:shd w:val="clear" w:color="auto" w:fill="FFFFFF"/>
        <w:spacing w:before="0" w:line="450" w:lineRule="atLeast"/>
        <w:jc w:val="center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b/>
          <w:bCs/>
          <w:color w:val="444444"/>
        </w:rPr>
        <w:t>1. ОБЩИЕ ПОЛОЖЕНИЯ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1.1. 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1.2. ТЗ на АС разрабатывают на систему в целом, предназначенную для работы самостоятельно или в составе другой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Дополнительно могут быть разработаны ТЗ на части АС:</w:t>
      </w:r>
    </w:p>
    <w:p w:rsidR="008818ED" w:rsidRDefault="008818ED" w:rsidP="00881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на подсистемы АС, комплексы задач АС и т. п. в соответствии с требованиями настоящего стандарта;</w:t>
      </w:r>
    </w:p>
    <w:p w:rsidR="008818ED" w:rsidRDefault="008818ED" w:rsidP="00881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на комплектующие средства технического обеспечения и программно-технические комплексы в соответствии со стандартами ЕСКД и СРПП;</w:t>
      </w:r>
    </w:p>
    <w:p w:rsidR="008818ED" w:rsidRDefault="008818ED" w:rsidP="00881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на программные средства в соответствии со стандартами ЕСПД;</w:t>
      </w:r>
    </w:p>
    <w:p w:rsidR="008818ED" w:rsidRDefault="008818ED" w:rsidP="00881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на информационные изделия в соответствии с </w:t>
      </w:r>
      <w:r w:rsidRPr="008818ED">
        <w:rPr>
          <w:rFonts w:ascii="Tahoma" w:hAnsi="Tahoma" w:cs="Tahoma"/>
          <w:color w:val="444444"/>
          <w:sz w:val="18"/>
          <w:szCs w:val="18"/>
        </w:rPr>
        <w:t>ГОСТ 19.201</w:t>
      </w:r>
      <w:r>
        <w:rPr>
          <w:rFonts w:ascii="Tahoma" w:hAnsi="Tahoma" w:cs="Tahoma"/>
          <w:color w:val="444444"/>
          <w:sz w:val="18"/>
          <w:szCs w:val="18"/>
        </w:rPr>
        <w:t> и НТД, действующей в ведомстве заказчика АС.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14"/>
          <w:szCs w:val="14"/>
        </w:rPr>
        <w:t>Примечание.</w:t>
      </w:r>
      <w:r>
        <w:rPr>
          <w:rFonts w:ascii="Tahoma" w:hAnsi="Tahoma" w:cs="Tahoma"/>
          <w:color w:val="444444"/>
          <w:sz w:val="14"/>
          <w:szCs w:val="14"/>
        </w:rPr>
        <w:t> 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1.3. 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1.4. Включаемые в ТЗ на АС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 Задаваемые в ТЗ на АС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1.5. ТЗ на АС разрабатывают на основании исходных данных в том числе содержащихся в итоговой документации стадии «Исследование и обоснование создания АС», установленной ГОСТ 24.601.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1.6. В ТЗ на АС включают только те требования, которые дополняют требования к системам данного вида (АСУ, САПР, АСНИ и т. д.), содержащиеся в действующих НТД, и определяются спецификой конкретного объекта, для которого создается система.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1.7. 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«Действует с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... »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8818ED" w:rsidRDefault="008818ED" w:rsidP="008818ED">
      <w:pPr>
        <w:pStyle w:val="3"/>
        <w:shd w:val="clear" w:color="auto" w:fill="FFFFFF"/>
        <w:spacing w:before="0" w:line="450" w:lineRule="atLeast"/>
        <w:jc w:val="center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b/>
          <w:bCs/>
          <w:color w:val="444444"/>
        </w:rPr>
        <w:t>2. СОСТАВ И СОДЕРЖАНИЕ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2.1. ТЗ на АС содержит следующие разделы, которые могут быть разделены на подразделы: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общие сведения;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назначение и цели создания (развития) системы;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характеристика объектов автоматизации;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требования к системе;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5) состав и содержание работ по созданию системы;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6) порядок контроля и приемки системы;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7) требования к составу и содержанию работ по подготовке объекта автоматизации к вводу системы в действие;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8) требования к документированию;</w:t>
      </w:r>
    </w:p>
    <w:p w:rsidR="008818ED" w:rsidRDefault="008818ED" w:rsidP="008818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9) источники разработки.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 ТЗ на АС могут включаться приложения.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 ТЗ на части системы не включают разделы, дублирующие содержание разделов ТЗ на АС в целом.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2.3. В разделе «Общие сведения» указывают: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полное наименование системы и ее условное обозначение;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шифр темы или шифр (номер) договора;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наименование предприятий (объединений) разработчика и заказчика (пользователя) системы и их реквизиты;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перечень документов, на основании которых создается система, кем и когда утверждены эти документы;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5) плановые сроки начала и окончания работы по созданию системы;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6) сведения об источниках и порядке финансирования работ;</w:t>
      </w:r>
    </w:p>
    <w:p w:rsidR="008818ED" w:rsidRDefault="008818ED" w:rsidP="00881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2.4. Раздел «Назначение и цели создания (развития) системы» состоит из подразделов:</w:t>
      </w:r>
    </w:p>
    <w:p w:rsidR="008818ED" w:rsidRDefault="008818ED" w:rsidP="00881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назначение системы;</w:t>
      </w:r>
    </w:p>
    <w:p w:rsidR="008818ED" w:rsidRDefault="008818ED" w:rsidP="008818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цели создания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2.4.1. 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Для АСУ дополнительно указывают перечень автоматизируемых органов (пунктов) управления и управляемых объектов.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2.5. В разделе «Характеристики объекта автоматизации» приводят:</w:t>
      </w:r>
    </w:p>
    <w:p w:rsidR="008818ED" w:rsidRDefault="008818ED" w:rsidP="00881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краткие сведения об объекте автоматизации или ссылки на документы, содержащие такую информацию;</w:t>
      </w:r>
    </w:p>
    <w:p w:rsidR="008818ED" w:rsidRDefault="008818ED" w:rsidP="008818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сведения об условиях эксплуатации объекта автоматизации и характеристиках окружающей среды.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14"/>
          <w:szCs w:val="14"/>
        </w:rPr>
        <w:t>Примечание</w:t>
      </w:r>
      <w:r>
        <w:rPr>
          <w:rFonts w:ascii="Tahoma" w:hAnsi="Tahoma" w:cs="Tahoma"/>
          <w:color w:val="444444"/>
          <w:sz w:val="14"/>
          <w:szCs w:val="14"/>
        </w:rPr>
        <w:t>: Для САПР в разделе дополнительно приводят основные параметры и характеристики объектов проектирования.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 Раздел «Требования к системе» состоит из следующих подразделов:</w:t>
      </w:r>
    </w:p>
    <w:p w:rsidR="008818ED" w:rsidRDefault="008818ED" w:rsidP="00881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требования к системе в целом;</w:t>
      </w:r>
    </w:p>
    <w:p w:rsidR="008818ED" w:rsidRDefault="008818ED" w:rsidP="00881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требования к функциям (задачам), выполняемым системой;</w:t>
      </w:r>
    </w:p>
    <w:p w:rsidR="008818ED" w:rsidRDefault="008818ED" w:rsidP="00881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требования к видам обеспечения.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 В подразделе «Требования к системе в целом» указывают: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требования к структуре и функционированию системы;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численности и квалификации персонала системы и режиму его работы;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показатели назначения;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надежности;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безопасности;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эргономике и технической эстетике;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транспортабельности для подвижных АС;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эксплуатации, техническому обслуживанию, ремонту и хранению компонентов системы;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защите информации от несанкционированного доступа;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по сохранности информации при авариях;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защите от влияния внешних воздействий;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патентной чистоте;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по стандартизации и унификации;</w:t>
      </w:r>
    </w:p>
    <w:p w:rsidR="008818ED" w:rsidRDefault="008818ED" w:rsidP="008818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дополнительные требования.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2.6.1.1. В требованиях к структуре и функционированию системы приводят: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требования к способам и средствам связи для информационного обмена между компонентами системы;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требования к режимам функционирования системы;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5) требования по диагностированию системы;</w:t>
      </w:r>
    </w:p>
    <w:p w:rsidR="008818ED" w:rsidRDefault="008818ED" w:rsidP="008818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6) перспективы развития, модернизации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2.6.1.2. В требованиях к численности и квалификации персонала на АС приводят:</w:t>
      </w:r>
    </w:p>
    <w:p w:rsidR="008818ED" w:rsidRDefault="008818ED" w:rsidP="00881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численности персонала (пользователей) АС;</w:t>
      </w:r>
    </w:p>
    <w:p w:rsidR="008818ED" w:rsidRDefault="008818ED" w:rsidP="00881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требования к квалификации персонала, порядку его подготовки и контроля знаний и навыков;</w:t>
      </w:r>
    </w:p>
    <w:p w:rsidR="008818ED" w:rsidRDefault="008818ED" w:rsidP="00881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требуемый режим работы персонала АС.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2.6.1.3. 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Для АСУ указывают:</w:t>
      </w:r>
    </w:p>
    <w:p w:rsidR="008818ED" w:rsidRDefault="008818ED" w:rsidP="008818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степень приспособляемости системы к изменению процессов и методов управления, к отклонениям параметров объекта управления;</w:t>
      </w:r>
    </w:p>
    <w:p w:rsidR="008818ED" w:rsidRDefault="008818ED" w:rsidP="008818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допустимые пределы модернизации и развития системы;</w:t>
      </w:r>
    </w:p>
    <w:p w:rsidR="008818ED" w:rsidRDefault="008818ED" w:rsidP="008818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вероятностно-временные характеристики, при которых сохраняется целевое назначение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2.6.1.4. В требования к надежности включают:</w:t>
      </w:r>
    </w:p>
    <w:p w:rsidR="008818ED" w:rsidRDefault="008818ED" w:rsidP="008818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состав и количественные значения показателей надежности для системы в целом или ее подсистем;</w:t>
      </w:r>
    </w:p>
    <w:p w:rsidR="008818ED" w:rsidRDefault="008818ED" w:rsidP="008818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:rsidR="008818ED" w:rsidRDefault="008818ED" w:rsidP="008818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требования к надежности технических средств и программного обеспечения;</w:t>
      </w:r>
    </w:p>
    <w:p w:rsidR="008818ED" w:rsidRDefault="008818ED" w:rsidP="008818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2.6.1.8. В требования к эксплуатации, техническому обслуживанию, ремонту и хранению включают:</w:t>
      </w:r>
    </w:p>
    <w:p w:rsidR="008818ED" w:rsidRDefault="008818ED" w:rsidP="008818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</w:p>
    <w:p w:rsidR="008818ED" w:rsidRDefault="008818ED" w:rsidP="008818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предварительные требования к допустимым площадям для размещения персонала и ТС системы, к параметрам сетей энергоснабжения и т. п.;</w:t>
      </w:r>
    </w:p>
    <w:p w:rsidR="008818ED" w:rsidRDefault="008818ED" w:rsidP="008818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требования по количеству, квалификации обслуживающего персонала и режимам его работы;</w:t>
      </w:r>
    </w:p>
    <w:p w:rsidR="008818ED" w:rsidRDefault="008818ED" w:rsidP="008818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требования к составу, размещению и условиям хранения комплекта запасных изделий и приборов;</w:t>
      </w:r>
    </w:p>
    <w:p w:rsidR="008818ED" w:rsidRDefault="008818ED" w:rsidP="008818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5) требования к регламенту обслуживания.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2.6.1.10.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2.6.1.11. В требованиях к средствам защиты от внешних воздействий приводят:</w:t>
      </w:r>
    </w:p>
    <w:p w:rsidR="008818ED" w:rsidRDefault="008818ED" w:rsidP="008818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требования к радиоэлектронной защите средств АС;</w:t>
      </w:r>
    </w:p>
    <w:p w:rsidR="008818ED" w:rsidRDefault="008818ED" w:rsidP="008818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требования по стойкости, устойчивости и прочности к внешним воздействиям (среде применения).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2.6.1.13. 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2.6.1.14. В дополнительные требования включают:</w:t>
      </w:r>
    </w:p>
    <w:p w:rsidR="008818ED" w:rsidRDefault="008818ED" w:rsidP="008818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</w:p>
    <w:p w:rsidR="008818ED" w:rsidRDefault="008818ED" w:rsidP="008818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2) требования к сервисной аппаратуре, стендам для проверки элементов системы;</w:t>
      </w:r>
    </w:p>
    <w:p w:rsidR="008818ED" w:rsidRDefault="008818ED" w:rsidP="008818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3) требования к системе, связанные с особыми условиями эксплуатации;</w:t>
      </w:r>
    </w:p>
    <w:p w:rsidR="008818ED" w:rsidRDefault="008818ED" w:rsidP="008818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4) специальные требования по усмотрению разработчика или заказчика системы.</w:t>
      </w:r>
    </w:p>
    <w:p w:rsidR="008818ED" w:rsidRDefault="008818ED" w:rsidP="008818E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2.6.2. В подразделе «Требование к функциям (задачам)», выполняемым системой, приводят:</w:t>
      </w:r>
    </w:p>
    <w:p w:rsidR="008818ED" w:rsidRDefault="008818ED" w:rsidP="008818ED">
      <w:pPr>
        <w:rPr>
          <w:rFonts w:ascii="Times New Roman" w:hAnsi="Times New Roman" w:cs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 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8818ED" w:rsidRDefault="008818ED" w:rsidP="008818ED">
      <w:r>
        <w:rPr>
          <w:rFonts w:hAnsi="Symbol"/>
        </w:rPr>
        <w:t></w:t>
      </w:r>
      <w:r>
        <w:t xml:space="preserve">  2) временной регламент реализации каждой функции, задачи (или комплекса задач);</w:t>
      </w:r>
    </w:p>
    <w:p w:rsidR="008818ED" w:rsidRDefault="008818ED" w:rsidP="008818ED">
      <w:r>
        <w:rPr>
          <w:rFonts w:hAnsi="Symbol"/>
        </w:rPr>
        <w:t></w:t>
      </w:r>
      <w:r>
        <w:t xml:space="preserve">  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</w:t>
      </w:r>
      <w:r>
        <w:lastRenderedPageBreak/>
        <w:t>выполнения, требования одновременности выполнения группы функций, достоверности выдачи результатов;</w:t>
      </w:r>
    </w:p>
    <w:p w:rsidR="008818ED" w:rsidRDefault="008818ED" w:rsidP="008818ED">
      <w:r>
        <w:rPr>
          <w:rFonts w:hAnsi="Symbol"/>
        </w:rPr>
        <w:t></w:t>
      </w:r>
      <w:r>
        <w:t xml:space="preserve">  4) перечень и критерии отказов для каждой функции, по которой задаются требования по надежности.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 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2.6.3.1. 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2.6.3.2. Для информационного обеспечения системы приводят требования: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1) к составу, структуре и способам организации данных в системе;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2) к информационному обмену между компонентами системы;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3) к информационной совместимости со смежными системами;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5) по применению систем управления базами данных;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6) к структуре процесса сбора, обработки, передачи данных в системе и представлению данных;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7) к защите данных от разрушений при авариях и сбоях в электропитании системы;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8) к контролю, хранению, обновлению и восстановлению данных;</w:t>
      </w:r>
    </w:p>
    <w:p w:rsidR="008818ED" w:rsidRDefault="008818ED" w:rsidP="008818ED">
      <w:pPr>
        <w:numPr>
          <w:ilvl w:val="0"/>
          <w:numId w:val="15"/>
        </w:numPr>
        <w:spacing w:before="100" w:beforeAutospacing="1" w:after="100" w:afterAutospacing="1" w:line="300" w:lineRule="atLeast"/>
        <w:ind w:left="0"/>
      </w:pPr>
      <w:r>
        <w:t>9) к процедуре придания юридической силы документам, продуцируемым техническими средствами АС (в соответствии с ГОСТ 6.10.4).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2.6.3.4. Для программного обеспечения системы приводят перечень покупных программных средств, а также требования:</w:t>
      </w:r>
    </w:p>
    <w:p w:rsidR="008818ED" w:rsidRDefault="008818ED" w:rsidP="008818ED">
      <w:pPr>
        <w:numPr>
          <w:ilvl w:val="0"/>
          <w:numId w:val="16"/>
        </w:numPr>
        <w:spacing w:before="100" w:beforeAutospacing="1" w:after="100" w:afterAutospacing="1" w:line="300" w:lineRule="atLeast"/>
        <w:ind w:left="0"/>
      </w:pPr>
      <w:r>
        <w:t>1) к независимости программных средств от используемых СВТ и операционной среды;</w:t>
      </w:r>
    </w:p>
    <w:p w:rsidR="008818ED" w:rsidRDefault="008818ED" w:rsidP="008818ED">
      <w:pPr>
        <w:numPr>
          <w:ilvl w:val="0"/>
          <w:numId w:val="16"/>
        </w:numPr>
        <w:spacing w:before="100" w:beforeAutospacing="1" w:after="100" w:afterAutospacing="1" w:line="300" w:lineRule="atLeast"/>
        <w:ind w:left="0"/>
      </w:pPr>
      <w:r>
        <w:t>2) к качеству программных средств, а также к способам его обеспечения и контроля;</w:t>
      </w:r>
    </w:p>
    <w:p w:rsidR="008818ED" w:rsidRDefault="008818ED" w:rsidP="008818ED">
      <w:pPr>
        <w:numPr>
          <w:ilvl w:val="0"/>
          <w:numId w:val="16"/>
        </w:numPr>
        <w:spacing w:before="100" w:beforeAutospacing="1" w:after="100" w:afterAutospacing="1" w:line="300" w:lineRule="atLeast"/>
        <w:ind w:left="0"/>
      </w:pPr>
      <w:r>
        <w:t>3) по необходимости согласования вновь разрабатываемых программных средств с фондом алгоритмов и программ.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2.6.3.5. Для технического обеспечения системы приводят требования:</w:t>
      </w:r>
    </w:p>
    <w:p w:rsidR="008818ED" w:rsidRDefault="008818ED" w:rsidP="008818ED">
      <w:pPr>
        <w:numPr>
          <w:ilvl w:val="0"/>
          <w:numId w:val="17"/>
        </w:numPr>
        <w:spacing w:before="100" w:beforeAutospacing="1" w:after="100" w:afterAutospacing="1" w:line="300" w:lineRule="atLeast"/>
        <w:ind w:left="0"/>
      </w:pPr>
      <w: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8818ED" w:rsidRDefault="008818ED" w:rsidP="008818ED">
      <w:pPr>
        <w:numPr>
          <w:ilvl w:val="0"/>
          <w:numId w:val="17"/>
        </w:numPr>
        <w:spacing w:before="100" w:beforeAutospacing="1" w:after="100" w:afterAutospacing="1" w:line="300" w:lineRule="atLeast"/>
        <w:ind w:left="0"/>
      </w:pPr>
      <w:r>
        <w:t>2) к функциональным, конструктивным и эксплуатационным характеристикам средств технического обеспечения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2.6.3.6. В требованиях к метрологическому обеспечению приводят: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lastRenderedPageBreak/>
        <w:t>1) предварительный перечень измерительных каналов;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t>2) требования к точности измерений параметров и (или) к метрологическим характеристикам измерительных каналов;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t>3) требования к метрологической совместимости технических средств системы;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t xml:space="preserve">4) 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характеристики;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t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8818ED" w:rsidRDefault="008818ED" w:rsidP="008818ED">
      <w:pPr>
        <w:numPr>
          <w:ilvl w:val="0"/>
          <w:numId w:val="18"/>
        </w:numPr>
        <w:spacing w:before="100" w:beforeAutospacing="1" w:after="100" w:afterAutospacing="1" w:line="300" w:lineRule="atLeast"/>
        <w:ind w:left="0"/>
      </w:pPr>
      <w:r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2.6.3.7. Для организационного обеспечения приводят требования:</w:t>
      </w:r>
    </w:p>
    <w:p w:rsidR="008818ED" w:rsidRDefault="008818ED" w:rsidP="008818ED">
      <w:r>
        <w:rPr>
          <w:rFonts w:hAnsi="Symbol"/>
        </w:rPr>
        <w:t></w:t>
      </w:r>
      <w:r>
        <w:t xml:space="preserve">  1) к структуре и функциям подразделений, участвующих в функционировании системы или обеспечивающих эксплуатацию;</w:t>
      </w:r>
    </w:p>
    <w:p w:rsidR="008818ED" w:rsidRDefault="008818ED" w:rsidP="008818ED">
      <w:r>
        <w:rPr>
          <w:rFonts w:hAnsi="Symbol"/>
        </w:rPr>
        <w:t></w:t>
      </w:r>
      <w:r>
        <w:t xml:space="preserve">  2) к организации функционирования системы и порядку взаимодействия персонала АС и персонала объекта автоматизации;</w:t>
      </w:r>
    </w:p>
    <w:p w:rsidR="008818ED" w:rsidRDefault="008818ED" w:rsidP="008818ED">
      <w:r>
        <w:rPr>
          <w:rFonts w:hAnsi="Symbol"/>
        </w:rPr>
        <w:t></w:t>
      </w:r>
      <w:r>
        <w:t xml:space="preserve">  3) к защите от ошибочных действий персонала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2.7. 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В данном разделе также приводят:</w:t>
      </w:r>
    </w:p>
    <w:p w:rsidR="008818ED" w:rsidRDefault="008818ED" w:rsidP="008818ED">
      <w:pPr>
        <w:numPr>
          <w:ilvl w:val="0"/>
          <w:numId w:val="19"/>
        </w:numPr>
        <w:spacing w:before="100" w:beforeAutospacing="1" w:after="100" w:afterAutospacing="1" w:line="300" w:lineRule="atLeast"/>
        <w:ind w:left="0"/>
      </w:pPr>
      <w:r>
        <w:t>1) перечень документов, по </w:t>
      </w:r>
      <w:r w:rsidRPr="008818ED">
        <w:t>ГОСТ 34.201-89</w:t>
      </w:r>
      <w:r>
        <w:t>, предъявляемых по окончании соответствующих стадий и этапов работ;</w:t>
      </w:r>
    </w:p>
    <w:p w:rsidR="008818ED" w:rsidRDefault="008818ED" w:rsidP="008818ED">
      <w:pPr>
        <w:numPr>
          <w:ilvl w:val="0"/>
          <w:numId w:val="19"/>
        </w:numPr>
        <w:spacing w:before="100" w:beforeAutospacing="1" w:after="100" w:afterAutospacing="1" w:line="300" w:lineRule="atLeast"/>
        <w:ind w:left="0"/>
      </w:pPr>
      <w:r>
        <w:t>2) вид и порядок проведения экспертизы технической документации (стадия, этап, объем проверяемой документации, организация-эксперт);</w:t>
      </w:r>
    </w:p>
    <w:p w:rsidR="008818ED" w:rsidRDefault="008818ED" w:rsidP="008818ED">
      <w:pPr>
        <w:numPr>
          <w:ilvl w:val="0"/>
          <w:numId w:val="19"/>
        </w:numPr>
        <w:spacing w:before="100" w:beforeAutospacing="1" w:after="100" w:afterAutospacing="1" w:line="300" w:lineRule="atLeast"/>
        <w:ind w:left="0"/>
      </w:pPr>
      <w: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:rsidR="008818ED" w:rsidRDefault="008818ED" w:rsidP="008818ED">
      <w:pPr>
        <w:numPr>
          <w:ilvl w:val="0"/>
          <w:numId w:val="19"/>
        </w:numPr>
        <w:spacing w:before="100" w:beforeAutospacing="1" w:after="100" w:afterAutospacing="1" w:line="300" w:lineRule="atLeast"/>
        <w:ind w:left="0"/>
      </w:pPr>
      <w:r>
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2.8. В разделе «Порядок контроля и приемки системы» указывают:</w:t>
      </w:r>
    </w:p>
    <w:p w:rsidR="008818ED" w:rsidRDefault="008818ED" w:rsidP="008818ED">
      <w:pPr>
        <w:numPr>
          <w:ilvl w:val="0"/>
          <w:numId w:val="20"/>
        </w:numPr>
        <w:spacing w:before="100" w:beforeAutospacing="1" w:after="100" w:afterAutospacing="1" w:line="300" w:lineRule="atLeast"/>
        <w:ind w:left="0"/>
      </w:pPr>
      <w: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8818ED" w:rsidRDefault="008818ED" w:rsidP="008818ED">
      <w:pPr>
        <w:numPr>
          <w:ilvl w:val="0"/>
          <w:numId w:val="20"/>
        </w:numPr>
        <w:spacing w:before="100" w:beforeAutospacing="1" w:after="100" w:afterAutospacing="1" w:line="300" w:lineRule="atLeast"/>
        <w:ind w:left="0"/>
      </w:pPr>
      <w: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8818ED" w:rsidRDefault="008818ED" w:rsidP="008818ED">
      <w:pPr>
        <w:numPr>
          <w:ilvl w:val="0"/>
          <w:numId w:val="20"/>
        </w:numPr>
        <w:spacing w:before="100" w:beforeAutospacing="1" w:after="100" w:afterAutospacing="1" w:line="300" w:lineRule="atLeast"/>
        <w:ind w:left="0"/>
      </w:pPr>
      <w:r>
        <w:t>З) статус приемочной комиссии (государственная, межведомственная, ведомственная).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lastRenderedPageBreak/>
        <w:t>2.9. 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В перечень основных мероприятий включают:</w:t>
      </w:r>
    </w:p>
    <w:p w:rsidR="008818ED" w:rsidRDefault="008818ED" w:rsidP="008818ED">
      <w:pPr>
        <w:numPr>
          <w:ilvl w:val="0"/>
          <w:numId w:val="21"/>
        </w:numPr>
        <w:spacing w:before="100" w:beforeAutospacing="1" w:after="100" w:afterAutospacing="1" w:line="300" w:lineRule="atLeast"/>
        <w:ind w:left="0"/>
      </w:pPr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8818ED" w:rsidRDefault="008818ED" w:rsidP="008818ED">
      <w:pPr>
        <w:numPr>
          <w:ilvl w:val="0"/>
          <w:numId w:val="21"/>
        </w:numPr>
        <w:spacing w:before="100" w:beforeAutospacing="1" w:after="100" w:afterAutospacing="1" w:line="300" w:lineRule="atLeast"/>
        <w:ind w:left="0"/>
      </w:pPr>
      <w:r>
        <w:t>2) изменения, которые необходимо осуществить в объекте автоматизации;</w:t>
      </w:r>
    </w:p>
    <w:p w:rsidR="008818ED" w:rsidRDefault="008818ED" w:rsidP="008818ED">
      <w:pPr>
        <w:numPr>
          <w:ilvl w:val="0"/>
          <w:numId w:val="21"/>
        </w:numPr>
        <w:spacing w:before="100" w:beforeAutospacing="1" w:after="100" w:afterAutospacing="1" w:line="300" w:lineRule="atLeast"/>
        <w:ind w:left="0"/>
      </w:pPr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8818ED" w:rsidRDefault="008818ED" w:rsidP="008818ED">
      <w:pPr>
        <w:numPr>
          <w:ilvl w:val="0"/>
          <w:numId w:val="21"/>
        </w:numPr>
        <w:spacing w:before="100" w:beforeAutospacing="1" w:after="100" w:afterAutospacing="1" w:line="300" w:lineRule="atLeast"/>
        <w:ind w:left="0"/>
      </w:pPr>
      <w:r>
        <w:t>4) создание необходимых для функционирования системы подразделений и служб;</w:t>
      </w:r>
    </w:p>
    <w:p w:rsidR="008818ED" w:rsidRDefault="008818ED" w:rsidP="008818ED">
      <w:pPr>
        <w:numPr>
          <w:ilvl w:val="0"/>
          <w:numId w:val="21"/>
        </w:numPr>
        <w:spacing w:before="100" w:beforeAutospacing="1" w:after="100" w:afterAutospacing="1" w:line="300" w:lineRule="atLeast"/>
        <w:ind w:left="0"/>
      </w:pPr>
      <w:r>
        <w:t>5) сроки и порядок комплектования штатов и обучения персонала.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Например, для АСУ приводят:</w:t>
      </w:r>
    </w:p>
    <w:p w:rsidR="008818ED" w:rsidRDefault="008818ED" w:rsidP="008818ED">
      <w:pPr>
        <w:numPr>
          <w:ilvl w:val="0"/>
          <w:numId w:val="22"/>
        </w:numPr>
        <w:spacing w:before="100" w:beforeAutospacing="1" w:after="100" w:afterAutospacing="1" w:line="300" w:lineRule="atLeast"/>
        <w:ind w:left="0"/>
      </w:pPr>
      <w:r>
        <w:t>изменения применяемых методов управления;</w:t>
      </w:r>
    </w:p>
    <w:p w:rsidR="008818ED" w:rsidRDefault="008818ED" w:rsidP="008818ED">
      <w:pPr>
        <w:numPr>
          <w:ilvl w:val="0"/>
          <w:numId w:val="22"/>
        </w:numPr>
        <w:spacing w:before="100" w:beforeAutospacing="1" w:after="100" w:afterAutospacing="1" w:line="300" w:lineRule="atLeast"/>
        <w:ind w:left="0"/>
      </w:pPr>
      <w: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2.10. В разделе «Требования к документированию» приводят:</w:t>
      </w:r>
    </w:p>
    <w:p w:rsidR="008818ED" w:rsidRDefault="008818ED" w:rsidP="008818ED">
      <w:pPr>
        <w:numPr>
          <w:ilvl w:val="0"/>
          <w:numId w:val="23"/>
        </w:numPr>
        <w:spacing w:before="100" w:beforeAutospacing="1" w:after="100" w:afterAutospacing="1" w:line="300" w:lineRule="atLeast"/>
        <w:ind w:left="0"/>
      </w:pPr>
      <w: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 </w:t>
      </w:r>
      <w:r w:rsidRPr="008818ED">
        <w:t>ГОСТ 34.201-89</w:t>
      </w:r>
      <w:r>
        <w:t xml:space="preserve"> и НТД отрасли </w:t>
      </w:r>
      <w:proofErr w:type="gramStart"/>
      <w:r>
        <w:t>заказчика;</w:t>
      </w:r>
      <w:r>
        <w:br/>
        <w:t>перечень</w:t>
      </w:r>
      <w:proofErr w:type="gramEnd"/>
      <w:r>
        <w:t xml:space="preserve"> документов, выпускаемых на машинных носителях;</w:t>
      </w:r>
      <w:r>
        <w:br/>
        <w:t>требования к микрофильмированию документации;</w:t>
      </w:r>
    </w:p>
    <w:p w:rsidR="008818ED" w:rsidRDefault="008818ED" w:rsidP="008818ED">
      <w:pPr>
        <w:numPr>
          <w:ilvl w:val="0"/>
          <w:numId w:val="23"/>
        </w:numPr>
        <w:spacing w:before="100" w:beforeAutospacing="1" w:after="100" w:afterAutospacing="1" w:line="300" w:lineRule="atLeast"/>
        <w:ind w:left="0"/>
      </w:pPr>
      <w: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8818ED" w:rsidRDefault="008818ED" w:rsidP="008818ED">
      <w:pPr>
        <w:numPr>
          <w:ilvl w:val="0"/>
          <w:numId w:val="23"/>
        </w:numPr>
        <w:spacing w:before="100" w:beforeAutospacing="1" w:after="100" w:afterAutospacing="1" w:line="300" w:lineRule="atLeast"/>
        <w:ind w:left="0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2.11. 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2.12. В состав ТЗ на АС при наличии утвержденных методик включают приложения, содержащие:</w:t>
      </w:r>
    </w:p>
    <w:p w:rsidR="008818ED" w:rsidRDefault="008818ED" w:rsidP="008818ED">
      <w:pPr>
        <w:numPr>
          <w:ilvl w:val="0"/>
          <w:numId w:val="24"/>
        </w:numPr>
        <w:spacing w:before="100" w:beforeAutospacing="1" w:after="100" w:afterAutospacing="1" w:line="300" w:lineRule="atLeast"/>
        <w:ind w:left="0"/>
      </w:pPr>
      <w:r>
        <w:t>1) расчет ожидаемой эффективности системы;</w:t>
      </w:r>
    </w:p>
    <w:p w:rsidR="008818ED" w:rsidRDefault="008818ED" w:rsidP="008818ED">
      <w:pPr>
        <w:numPr>
          <w:ilvl w:val="0"/>
          <w:numId w:val="24"/>
        </w:numPr>
        <w:spacing w:before="100" w:beforeAutospacing="1" w:after="100" w:afterAutospacing="1" w:line="300" w:lineRule="atLeast"/>
        <w:ind w:left="0"/>
      </w:pPr>
      <w:r>
        <w:t>2) оценку научно-технического уровня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Приложения включают в состав ТЗ на АС по согласованию между разработчиком и заказчиком системы.</w:t>
      </w:r>
    </w:p>
    <w:p w:rsidR="008818ED" w:rsidRDefault="008818ED" w:rsidP="008818ED">
      <w:pPr>
        <w:pStyle w:val="3"/>
        <w:spacing w:before="0" w:line="450" w:lineRule="atLeast"/>
        <w:jc w:val="center"/>
        <w:rPr>
          <w:color w:val="444444"/>
        </w:rPr>
      </w:pPr>
      <w:r>
        <w:rPr>
          <w:b/>
          <w:bCs/>
          <w:color w:val="444444"/>
        </w:rPr>
        <w:t>3. ПРАВИЛА ОФОРМЛЕНИЯ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3.1. Разделы и подразделы ТЗ на АС должны быть размещены в порядке, установленном в разд. 2 настоящего стандарта.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lastRenderedPageBreak/>
        <w:t>3.2. ТЗ на АС оформляют в соответствии с требованиями ГОСТ 2.105.95 на листах формата А4 по ГОСТ 2.301 без рамки, основной надписи и дополнительных граф к ней.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АС.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3.3. 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на АС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на АС, в нем следует сделать запись о порядке установления и согласования этих показателей, норм и требований:</w:t>
      </w:r>
    </w:p>
    <w:p w:rsidR="008818ED" w:rsidRDefault="008818ED" w:rsidP="008818ED">
      <w:pPr>
        <w:pStyle w:val="HTML"/>
        <w:shd w:val="clear" w:color="auto" w:fill="F5F5F5"/>
        <w:wordWrap w:val="0"/>
        <w:spacing w:line="270" w:lineRule="atLeast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«Окончательное требование (значение) уточняется в процессе ...и согласовывается протоколом с ... на стадии ...».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При этом в текст ТЗ на АС изменений не вносят.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3.4. 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на АС и должностных лиц, участвующих в согласовании и рассмотрении проекта ТЗ на АС, помещают на последнем листе.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Форма титульного листа ТЗ на АС приведена в приложении 2. Форма последнего листа ТЗ на АС приведена в приложении 3.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 xml:space="preserve">3.5. При необходимости на титульном листе ТЗ на АС допускается помещать установленные в отрасли коды, </w:t>
      </w:r>
      <w:proofErr w:type="gramStart"/>
      <w:r>
        <w:t>например</w:t>
      </w:r>
      <w:proofErr w:type="gramEnd"/>
      <w:r>
        <w:t>: гриф секретности, код работы, регистрационный номер ТЗ и др.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 xml:space="preserve">3.6. Титульный лист дополнения к ТЗ на АС оформляют аналогично титульному листу технического задания. Вместо наименования «Техническое задание» пишут «Дополнение № ... к ТЗ на AC </w:t>
      </w:r>
      <w:proofErr w:type="gramStart"/>
      <w:r>
        <w:t>... »</w:t>
      </w:r>
      <w:proofErr w:type="gramEnd"/>
      <w:r>
        <w:t>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3.7. На последующих листах дополнения к ТЗ на АС помещают основание для изменения, содержание изменения и ссылки на документы, в соответствии с которыми вносятся эти изменения.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3.8. При изложении текста дополнения к ТЗ следует указывать номера соответствующих пунктов, подпунктов, таблиц основного ТЗ на АС и т. п. и применять слова: «заменить», «дополнить», «исключить», «изложить в новой редакции».</w:t>
      </w:r>
    </w:p>
    <w:p w:rsidR="008818ED" w:rsidRDefault="008818ED" w:rsidP="008818ED">
      <w:pPr>
        <w:spacing w:before="300" w:after="300"/>
      </w:pPr>
      <w:r>
        <w:pict>
          <v:rect id="_x0000_i1026" style="width:0;height:0" o:hralign="center" o:hrstd="t" o:hr="t" fillcolor="#a0a0a0" stroked="f"/>
        </w:pict>
      </w:r>
    </w:p>
    <w:p w:rsidR="008818ED" w:rsidRDefault="008818ED" w:rsidP="008818ED">
      <w:pPr>
        <w:pStyle w:val="a3"/>
        <w:spacing w:before="0" w:beforeAutospacing="0" w:after="0" w:afterAutospacing="0"/>
        <w:jc w:val="right"/>
      </w:pPr>
      <w:r>
        <w:rPr>
          <w:i/>
          <w:iCs/>
        </w:rPr>
        <w:t>ПРИЛОЖЕНИЕ 1</w:t>
      </w:r>
      <w:r>
        <w:rPr>
          <w:i/>
          <w:iCs/>
        </w:rPr>
        <w:br/>
        <w:t>Рекомендуемое</w:t>
      </w:r>
    </w:p>
    <w:p w:rsidR="008818ED" w:rsidRDefault="008818ED" w:rsidP="008818ED">
      <w:pPr>
        <w:pStyle w:val="3"/>
        <w:spacing w:before="0" w:line="450" w:lineRule="atLeast"/>
        <w:jc w:val="center"/>
        <w:rPr>
          <w:color w:val="444444"/>
        </w:rPr>
      </w:pPr>
      <w:r>
        <w:rPr>
          <w:b/>
          <w:bCs/>
          <w:color w:val="444444"/>
        </w:rPr>
        <w:t>ПОРЯДОК РАЗРАБОТКИ, СОГЛАСОВАНИЯ И УТВЕРЖДЕНИЯ ТЗ НА АС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 Проект ТЗ на АС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При конкурсной организации работ варианты проекта ТЗ на АС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АС,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lastRenderedPageBreak/>
        <w:t>Работу по согласованию проекта ТЗ на AC осуществляют совместно разработчик ТЗ на АС и заказчик системы, каждый в организациях своего министерства (ведомства).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3. Срок согласования проекта ТЗ на АС в каждой организации не должен превышать 15 дней со дня его получения. Рекомендуется рассылать на согласование экземпляры проекта ТЗ на АС (копий) одновременно во все организации (подразделения).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4. Замечания по проекту ТЗ на АС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на АС.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5. Если при согласовании проекта ТЗ на АС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6. Согласование проекта ТЗ на АС разрешается оформлять отдельным документом (письмом). В этом случае под грифом «Согласовано» делают ссылку на этот документ.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7. Утверждение ТЗ на АС осуществляют руководители предприятий (организаций) разработчика и заказчика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 xml:space="preserve">8. ТЗ на АС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 - разработчика ТЗ и, при необходимости, подвергнуто метрологической экспертизе.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9. Копии, утвержденного ТЗ на АС в 10-дневный срок после утверждения высылаются разработчиком ТЗ на АС участникам создания системы.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10. Согласование и утверждение дополнений к ТЗ на АС проводят в порядке, установленном для ТЗ на АС.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11. Изменения к ТЗ на АС не допускается утверждать после представления системы или ее очереди на приемо-сдаточные испытания.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12. Регистрация, учет и хранение ТЗ на АС и дополнений к нему проводят в соответствии, с требованиями ГОСТ 2.501.</w:t>
      </w:r>
    </w:p>
    <w:p w:rsidR="008818ED" w:rsidRDefault="008818ED" w:rsidP="008818ED">
      <w:pPr>
        <w:spacing w:before="300" w:after="300"/>
      </w:pPr>
      <w:r>
        <w:pict>
          <v:rect id="_x0000_i1027" style="width:0;height:0" o:hralign="center" o:hrstd="t" o:hr="t" fillcolor="#a0a0a0" stroked="f"/>
        </w:pict>
      </w:r>
    </w:p>
    <w:p w:rsidR="008818ED" w:rsidRDefault="008818ED" w:rsidP="008818ED">
      <w:pPr>
        <w:pStyle w:val="a3"/>
        <w:spacing w:before="0" w:beforeAutospacing="0" w:after="0" w:afterAutospacing="0"/>
        <w:jc w:val="right"/>
      </w:pPr>
      <w:r>
        <w:rPr>
          <w:i/>
          <w:iCs/>
        </w:rPr>
        <w:t>ПРИЛОЖЕНИЕ 2</w:t>
      </w:r>
      <w:r>
        <w:rPr>
          <w:i/>
          <w:iCs/>
        </w:rPr>
        <w:br/>
        <w:t>Рекомендуемое</w:t>
      </w:r>
    </w:p>
    <w:p w:rsidR="008818ED" w:rsidRDefault="008818ED" w:rsidP="008818ED">
      <w:pPr>
        <w:pStyle w:val="3"/>
        <w:spacing w:before="0" w:line="450" w:lineRule="atLeast"/>
        <w:jc w:val="center"/>
        <w:rPr>
          <w:color w:val="444444"/>
        </w:rPr>
      </w:pPr>
      <w:r>
        <w:rPr>
          <w:b/>
          <w:bCs/>
          <w:color w:val="444444"/>
        </w:rPr>
        <w:t>ФОРМА ТИТУЛЬНОГО ЛИСТА ТЗ НА АС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________________________________________________________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7481"/>
      </w:tblGrid>
      <w:tr w:rsidR="008818ED" w:rsidTr="008818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br/>
              <w:t>________________________________________________________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наименование</w:t>
            </w:r>
            <w:r>
              <w:rPr>
                <w:rFonts w:ascii="Verdana" w:hAnsi="Verdana"/>
                <w:sz w:val="20"/>
                <w:szCs w:val="20"/>
              </w:rPr>
              <w:br/>
              <w:t>организации - разработчика ТЗ на АС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УТВЕРЖДАЮ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Руководитель</w:t>
            </w:r>
            <w:r>
              <w:rPr>
                <w:rFonts w:ascii="Verdana" w:hAnsi="Verdana"/>
                <w:sz w:val="20"/>
                <w:szCs w:val="20"/>
              </w:rPr>
              <w:br/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должность, наименование предприятия - заказчика АС)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Личная подпись</w:t>
            </w:r>
            <w:r>
              <w:rPr>
                <w:rFonts w:ascii="Verdana" w:hAnsi="Verdana"/>
                <w:sz w:val="20"/>
                <w:szCs w:val="20"/>
              </w:rPr>
              <w:br/>
              <w:t>Расшифровка подписи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Печать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УТВЕРЖДАЮ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Руководитель</w:t>
            </w:r>
            <w:r>
              <w:rPr>
                <w:rFonts w:ascii="Verdana" w:hAnsi="Verdana"/>
                <w:sz w:val="20"/>
                <w:szCs w:val="20"/>
              </w:rPr>
              <w:br/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должность, наименование предприятия - разработчик” АС)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Личная подпись</w:t>
            </w:r>
            <w:r>
              <w:rPr>
                <w:rFonts w:ascii="Verdana" w:hAnsi="Verdana"/>
                <w:sz w:val="20"/>
                <w:szCs w:val="20"/>
              </w:rPr>
              <w:br/>
              <w:t>Расшифровка подписи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Печать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Дата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br/>
              <w:t>________________________________________________________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наименование вида АС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br/>
              <w:t>________________________________________________________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наименование объекта</w:t>
            </w:r>
            <w:r>
              <w:rPr>
                <w:rFonts w:ascii="Verdana" w:hAnsi="Verdana"/>
                <w:sz w:val="20"/>
                <w:szCs w:val="20"/>
              </w:rPr>
              <w:br/>
              <w:t>автоматизации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br/>
              <w:t>________________________________________________________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сокращенное</w:t>
            </w:r>
            <w:r>
              <w:rPr>
                <w:rFonts w:ascii="Verdana" w:hAnsi="Verdana"/>
                <w:sz w:val="20"/>
                <w:szCs w:val="20"/>
              </w:rPr>
              <w:br/>
              <w:t>наименование АС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ТЕХНИЧЕСКОЕ ЗАДАНИЕ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На ____ листах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Действует</w:t>
            </w:r>
            <w:r>
              <w:rPr>
                <w:rFonts w:ascii="Verdana" w:hAnsi="Verdana"/>
                <w:sz w:val="20"/>
                <w:szCs w:val="20"/>
              </w:rPr>
              <w:br/>
              <w:t>с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СОГЛАСОВАНО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Руководитель</w:t>
            </w:r>
            <w:r>
              <w:rPr>
                <w:rFonts w:ascii="Verdana" w:hAnsi="Verdana"/>
                <w:sz w:val="20"/>
                <w:szCs w:val="20"/>
              </w:rPr>
              <w:br/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должность, наименование согласующей организации)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Личная подпись</w:t>
            </w:r>
            <w:r>
              <w:rPr>
                <w:rFonts w:ascii="Verdana" w:hAnsi="Verdana"/>
                <w:sz w:val="20"/>
                <w:szCs w:val="20"/>
              </w:rPr>
              <w:br/>
              <w:t>Расшифровка подписи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Печать</w:t>
            </w:r>
          </w:p>
          <w:p w:rsidR="008818ED" w:rsidRDefault="008818ED">
            <w:pPr>
              <w:pStyle w:val="a3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</w:tr>
    </w:tbl>
    <w:p w:rsidR="008818ED" w:rsidRDefault="008818ED" w:rsidP="008818ED">
      <w:pPr>
        <w:spacing w:before="300" w:after="300"/>
      </w:pPr>
      <w:r>
        <w:lastRenderedPageBreak/>
        <w:pict>
          <v:rect id="_x0000_i1028" style="width:0;height:0" o:hralign="center" o:hrstd="t" o:hr="t" fillcolor="#a0a0a0" stroked="f"/>
        </w:pict>
      </w:r>
    </w:p>
    <w:p w:rsidR="008818ED" w:rsidRDefault="008818ED" w:rsidP="008818ED">
      <w:pPr>
        <w:pStyle w:val="a3"/>
        <w:spacing w:before="0" w:beforeAutospacing="0" w:after="0" w:afterAutospacing="0"/>
        <w:jc w:val="right"/>
      </w:pPr>
      <w:r>
        <w:rPr>
          <w:i/>
          <w:iCs/>
        </w:rPr>
        <w:t>ПРИЛОЖЕНИЕ 3</w:t>
      </w:r>
      <w:r>
        <w:rPr>
          <w:i/>
          <w:iCs/>
        </w:rPr>
        <w:br/>
        <w:t>Рекомендуемое</w:t>
      </w:r>
    </w:p>
    <w:p w:rsidR="008818ED" w:rsidRDefault="008818ED" w:rsidP="008818ED">
      <w:pPr>
        <w:pStyle w:val="3"/>
        <w:spacing w:before="0" w:line="450" w:lineRule="atLeast"/>
        <w:jc w:val="center"/>
        <w:rPr>
          <w:color w:val="444444"/>
        </w:rPr>
      </w:pPr>
      <w:r>
        <w:rPr>
          <w:b/>
          <w:bCs/>
          <w:color w:val="444444"/>
        </w:rPr>
        <w:t>ФОРМА ПОСЛЕДНЕГО ЛИСТА ТЗ НА АС</w:t>
      </w:r>
    </w:p>
    <w:p w:rsidR="008818ED" w:rsidRDefault="008818ED" w:rsidP="008818ED">
      <w:r>
        <w:t xml:space="preserve">(код </w:t>
      </w:r>
      <w:proofErr w:type="gramStart"/>
      <w:r>
        <w:t>ТЗ)</w:t>
      </w:r>
      <w:r>
        <w:br/>
      </w:r>
      <w:r>
        <w:br/>
        <w:t>СОСТАВИЛИ</w:t>
      </w:r>
      <w:proofErr w:type="gramEnd"/>
    </w:p>
    <w:tbl>
      <w:tblPr>
        <w:tblW w:w="896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93"/>
        <w:gridCol w:w="1513"/>
        <w:gridCol w:w="2265"/>
        <w:gridCol w:w="1554"/>
        <w:gridCol w:w="1036"/>
      </w:tblGrid>
      <w:tr w:rsidR="008818ED" w:rsidTr="008818ED">
        <w:tc>
          <w:tcPr>
            <w:tcW w:w="1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Должность исполнителя</w:t>
            </w:r>
          </w:p>
        </w:tc>
        <w:tc>
          <w:tcPr>
            <w:tcW w:w="12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Фамилия имя, отчество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Подпись</w:t>
            </w:r>
          </w:p>
        </w:tc>
        <w:tc>
          <w:tcPr>
            <w:tcW w:w="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Дата</w:t>
            </w:r>
          </w:p>
        </w:tc>
      </w:tr>
      <w:tr w:rsidR="008818ED" w:rsidTr="008818ED">
        <w:tc>
          <w:tcPr>
            <w:tcW w:w="1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12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</w:tr>
    </w:tbl>
    <w:p w:rsidR="008818ED" w:rsidRDefault="008818ED" w:rsidP="008818ED">
      <w:r>
        <w:t>СОГЛАСОВАНО</w:t>
      </w:r>
    </w:p>
    <w:tbl>
      <w:tblPr>
        <w:tblW w:w="896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93"/>
        <w:gridCol w:w="1513"/>
        <w:gridCol w:w="2265"/>
        <w:gridCol w:w="1554"/>
        <w:gridCol w:w="1036"/>
      </w:tblGrid>
      <w:tr w:rsidR="008818ED" w:rsidTr="008818ED">
        <w:tc>
          <w:tcPr>
            <w:tcW w:w="1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Должность исполнителя</w:t>
            </w:r>
          </w:p>
        </w:tc>
        <w:tc>
          <w:tcPr>
            <w:tcW w:w="12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Фамилия имя, отчество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Подпись</w:t>
            </w:r>
          </w:p>
        </w:tc>
        <w:tc>
          <w:tcPr>
            <w:tcW w:w="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pPr>
              <w:pStyle w:val="a3"/>
              <w:spacing w:before="0" w:beforeAutospacing="0" w:after="0" w:afterAutospacing="0"/>
              <w:jc w:val="center"/>
            </w:pPr>
            <w:r>
              <w:t>Дата</w:t>
            </w:r>
          </w:p>
        </w:tc>
      </w:tr>
      <w:tr w:rsidR="008818ED" w:rsidTr="008818ED">
        <w:tc>
          <w:tcPr>
            <w:tcW w:w="1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12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  <w:tc>
          <w:tcPr>
            <w:tcW w:w="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8818ED" w:rsidRDefault="008818ED">
            <w:r>
              <w:t> </w:t>
            </w:r>
          </w:p>
        </w:tc>
      </w:tr>
    </w:tbl>
    <w:p w:rsidR="008818ED" w:rsidRDefault="008818ED" w:rsidP="008818ED">
      <w:pPr>
        <w:spacing w:before="300" w:after="300"/>
      </w:pPr>
      <w:r>
        <w:pict>
          <v:rect id="_x0000_i1029" style="width:0;height:0" o:hralign="center" o:hrstd="t" o:hr="t" fillcolor="#a0a0a0" stroked="f"/>
        </w:pict>
      </w:r>
    </w:p>
    <w:p w:rsidR="008818ED" w:rsidRDefault="008818ED" w:rsidP="008818ED">
      <w:pPr>
        <w:pStyle w:val="a3"/>
        <w:spacing w:before="0" w:beforeAutospacing="0" w:after="0" w:afterAutospacing="0"/>
        <w:jc w:val="right"/>
      </w:pPr>
      <w:r>
        <w:rPr>
          <w:i/>
          <w:iCs/>
        </w:rPr>
        <w:t>ПРИЛОЖЕНИЕ 4</w:t>
      </w:r>
      <w:r>
        <w:rPr>
          <w:i/>
          <w:iCs/>
        </w:rPr>
        <w:br/>
        <w:t>Справочное</w:t>
      </w:r>
    </w:p>
    <w:p w:rsidR="008818ED" w:rsidRDefault="008818ED" w:rsidP="008818ED">
      <w:pPr>
        <w:pStyle w:val="3"/>
        <w:spacing w:before="0" w:line="450" w:lineRule="atLeast"/>
        <w:jc w:val="center"/>
        <w:rPr>
          <w:color w:val="444444"/>
        </w:rPr>
      </w:pPr>
      <w:r>
        <w:rPr>
          <w:b/>
          <w:bCs/>
          <w:color w:val="444444"/>
        </w:rPr>
        <w:lastRenderedPageBreak/>
        <w:t>ПОЛОЖЕНИЯ ПО СОЗДАНИЮ ЕДИНОГО КОМПЛЕКСА СТАНДАРТОВ АВТОМАТИЗИРОВАННЫХ СИСТЕМ</w:t>
      </w:r>
    </w:p>
    <w:p w:rsidR="008818ED" w:rsidRDefault="008818ED" w:rsidP="008818ED">
      <w:pPr>
        <w:pStyle w:val="3"/>
        <w:spacing w:before="0" w:line="450" w:lineRule="atLeast"/>
        <w:rPr>
          <w:b/>
          <w:bCs/>
          <w:color w:val="444444"/>
        </w:rPr>
      </w:pPr>
      <w:r>
        <w:rPr>
          <w:b/>
          <w:bCs/>
          <w:color w:val="444444"/>
        </w:rPr>
        <w:t>1. Исходные предпосылки создания комплекса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1.1. Создание и внедрение автоматизированных систем различных классов и назначений ведется во многих отраслях промышленности по нормативно-технической документации, устанавливающей разнообразные организационно-методические и технические нормы, правила и положения, затрудняющие интеграцию систем и эффективное их совместное функционирование.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1.2. В период принятия Госстандартом СССР решения о совершенствовании межотраслевых комплексов стандартов действовали следующие комплексы и системы стандартов, устанавливающие требования к различным видам АС:</w:t>
      </w:r>
    </w:p>
    <w:p w:rsidR="008818ED" w:rsidRDefault="008818ED" w:rsidP="008818ED">
      <w:pPr>
        <w:numPr>
          <w:ilvl w:val="0"/>
          <w:numId w:val="25"/>
        </w:numPr>
        <w:spacing w:before="100" w:beforeAutospacing="1" w:after="100" w:afterAutospacing="1" w:line="300" w:lineRule="atLeast"/>
        <w:ind w:left="0"/>
      </w:pPr>
      <w:r>
        <w:t>1) единая система стандартов автоматизированных систем управления (24-я система), распространяющаяся на АСУ, АСУП, АСУ ТП и другие организационно-экономические системы;</w:t>
      </w:r>
    </w:p>
    <w:p w:rsidR="008818ED" w:rsidRDefault="008818ED" w:rsidP="008818ED">
      <w:pPr>
        <w:numPr>
          <w:ilvl w:val="0"/>
          <w:numId w:val="25"/>
        </w:numPr>
        <w:spacing w:before="100" w:beforeAutospacing="1" w:after="100" w:afterAutospacing="1" w:line="300" w:lineRule="atLeast"/>
        <w:ind w:left="0"/>
      </w:pPr>
      <w:r>
        <w:t>2) комплекс стандартов (система 23501); распространяющихся на системы автоматизированного проектирования;</w:t>
      </w:r>
    </w:p>
    <w:p w:rsidR="008818ED" w:rsidRDefault="008818ED" w:rsidP="008818ED">
      <w:pPr>
        <w:numPr>
          <w:ilvl w:val="0"/>
          <w:numId w:val="25"/>
        </w:numPr>
        <w:spacing w:before="100" w:beforeAutospacing="1" w:after="100" w:afterAutospacing="1" w:line="300" w:lineRule="atLeast"/>
        <w:ind w:left="0"/>
      </w:pPr>
      <w:r>
        <w:t>3) четвертая группа 14-й системы стандартов, распространяющаяся на автоматизированные системы технологической подготовки производства.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1.3. Практика применения стандартов на АСУ, САПР, АСУ ТП, АСТПП показала, что в них применяется одинаковый понятийный аппарат, имеется много общих объектов стандартизации, однако требования стандартов не согласованы между собой, имеются различия по составу и содержанию работ, различия по обозначению, составу, содержанию и оформлению документов и пр.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1.4. На фоне отсутствия единой технической политики в области создания АС многообразие стандартов не обеспечивало широкой совместимости АС при их взаимодействии, не позволяло тиражировать системы, тормозило развитие перспективных направлений использования средств вычислительной техники.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1.5. В настоящее время осуществляется переход к созданию сложных АС (за рубежом системы CAD - САМ), включающих в свой состав АСУ технологическими процессами и производствами, САПР - конструктора, САПР - технолога, АСНИ и др. системы. Использование противоречивых правил при создании таких систем приводит к снижению качества, увеличению стоимости работ, затягиванию сроков ввода АС в действие.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1.6. Единый комплекс стандартов и руководящих документов должен распространяться на автоматизированные системы различного назначения: АСНИ, САПР, ОАСУ, АСУП, АСУТП, АСУГПС, АСК, АСТПП, включая их интеграцию.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1.7. При разработке межотраслевых документов следует учитывать следующие особенности АС как объектов стандартизации: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1) техническое задание является основным документом, в соответствии с которым проводят создание АС и приемку его заказчиком;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2) АС, как правило, создают проектным путем с комплектацией изделиями серийного и единичного производства и проведением строительных, монтажных, наладочных и пусковых работ, необходимых для ввода в действие АС;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3) в общем случае АС (подсистема АС) состоит из программно-технических (ПТК), программно-методических комплексов (ПМК) и компонентов технического, программного и информационного обеспечений.</w:t>
      </w:r>
      <w:r>
        <w:br/>
        <w:t>Компоненты этих видов обеспечения, а также ПМК и ПТК должны изготовляться и поставляется как продукция производственно-технического назначения.</w:t>
      </w:r>
      <w:r>
        <w:br/>
      </w:r>
      <w:r>
        <w:lastRenderedPageBreak/>
        <w:t>Компоненты могут входить в АС в качестве самостоятельных частей или могут быть объединены в комплексы;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4) создание АС в организациях (предприятиях) требует специальной подготовки пользователей и обслуживающего персонала системы;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5) функционирование АС и комплексов обеспечивается совокупностью организационно-методических документов, рассматриваемых в процессе создания как компоненты правового, методического, лингвистического, математического, организационного и др. видов обеспечений. Отдельные решения, получаемые в процессе разработки этих обеспечений, могут реализовываться в виде компонентов технического, программного или информационного обеспечений;</w:t>
      </w:r>
    </w:p>
    <w:p w:rsidR="008818ED" w:rsidRDefault="008818ED" w:rsidP="008818ED">
      <w:pPr>
        <w:numPr>
          <w:ilvl w:val="0"/>
          <w:numId w:val="26"/>
        </w:numPr>
        <w:spacing w:before="100" w:beforeAutospacing="1" w:after="100" w:afterAutospacing="1" w:line="300" w:lineRule="atLeast"/>
        <w:ind w:left="0"/>
      </w:pPr>
      <w:r>
        <w:t>6) совместное функционирование и взаимодействие различных систем и комплексов осуществляется на базе локальных сетей ЭВМ.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Спецификации и соглашения, принятые для локальных сетей ЭВМ, обязательны для обеспечения совместимости систем, комплексов и компонентов.</w:t>
      </w:r>
    </w:p>
    <w:p w:rsidR="008818ED" w:rsidRDefault="008818ED" w:rsidP="008818ED">
      <w:pPr>
        <w:pStyle w:val="3"/>
        <w:spacing w:before="0" w:line="450" w:lineRule="atLeast"/>
        <w:rPr>
          <w:color w:val="444444"/>
        </w:rPr>
      </w:pPr>
      <w:r>
        <w:rPr>
          <w:b/>
          <w:bCs/>
          <w:color w:val="444444"/>
        </w:rPr>
        <w:t>2. Взаимосвязь ЕКС АС с другими системами и комплексами стандартов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2.1. Стандартизация в области АС является составной частью работ по обобщенной проблеме «Информационная технология».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2.2. Единый комплекс стандартов руководящих документов на автоматизированные системы совместно с другими системами и комплексами стандартов должен образовывать полное нормативно-техническое обеспечение процессов создания и функционирования АС.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2.3. ЕКС АС должен охватывать специфические для автоматизированных систем направления стандартизации и распространять традиционные направления стандартизации на программно-технические, программно-методические комплексы и автоматизированные системы в целом.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2.4. Направления и задачи стандартизации при нормативно-техническом обеспечении процессов создания и функционирования АС группируют следующим образом: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1) установление технических требований к продукции;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2) регламентация методов испытаний и правил аттестации и сертификации продукции;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3) регламентация правил и порядка разработки;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4) установление правил документирования;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5) обеспечение совместимости;</w:t>
      </w:r>
    </w:p>
    <w:p w:rsidR="008818ED" w:rsidRDefault="008818ED" w:rsidP="008818ED">
      <w:pPr>
        <w:numPr>
          <w:ilvl w:val="0"/>
          <w:numId w:val="27"/>
        </w:numPr>
        <w:spacing w:before="100" w:beforeAutospacing="1" w:after="100" w:afterAutospacing="1" w:line="300" w:lineRule="atLeast"/>
        <w:ind w:left="0"/>
      </w:pPr>
      <w:r>
        <w:t>6) регламентация организационно-методических вопросов функционирования систем.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Направления 1-4 являются традиционными при разработке, изготовлении и поставке продукции. Направления 5, 6 являются специфичными и вытекают из особенностей, присущих АС.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2.5. Обеспеченность АС в целом и их составных частей нормативно-технической документацией в рамках принятых направлений и задач стандартизации различна.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Компоненты технического, программного и информационного обеспечений, как продукцию производственно-технического назначения, рассматривают, соответственно, как конструкторские, программные и информационные изделия. На эти изделия распространяются действующие комплексы стандартов ЕСКД, СРПП, ЕСПД, СГИП, УСД, классификаторы и кодификаторы технико-экономической информации, комплексы стандартов вида «ОТТ», «Методы испытаний», «ТУ», а также ОТТ заказчика.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2.5.1. Весь жизненный цикл конструкторских изделий полностью обеспечен нормативно-технической документацией, действующей в машиностроении и приборостроении.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lastRenderedPageBreak/>
        <w:t>2.5.2. Программные изделия обеспечены НТД, входящей в ЕСПД и ОТТ заказчика. Однако область распространения этих НТД должна быть расширена с целью отражения вопросов, связанных с разработкой, созданием, распространением и эксплуатацией программных изделий.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2.5.3. Информационные изделия в настоящее время не обеспечены НТД, хотя отдельные вопросы проработаны в рамках УСД, классификаторах и кодификаторах технико-экономической информации.</w:t>
      </w:r>
    </w:p>
    <w:p w:rsidR="008818ED" w:rsidRDefault="008818ED" w:rsidP="008818ED">
      <w:pPr>
        <w:pStyle w:val="a3"/>
        <w:spacing w:before="0" w:beforeAutospacing="0" w:after="0" w:afterAutospacing="0"/>
      </w:pPr>
      <w:r>
        <w:t>2.6. Программно-технические и программно-методические комплексы рассматриваются как сложные изделия, не имеющие аналогов в машиностроении. Учитывая статус ПТК и ПМК как продукции производственно-технического назначения, правила и порядок их разработки должен быть аналогичен требованиям, установленным стандартами системы разработки и постановки продукции на производство (СРПП).</w:t>
      </w:r>
    </w:p>
    <w:bookmarkEnd w:id="0"/>
    <w:p w:rsidR="00977AC8" w:rsidRPr="008818ED" w:rsidRDefault="00977AC8" w:rsidP="008818ED"/>
    <w:sectPr w:rsidR="00977AC8" w:rsidRPr="0088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72B"/>
    <w:multiLevelType w:val="multilevel"/>
    <w:tmpl w:val="C3B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58E4"/>
    <w:multiLevelType w:val="multilevel"/>
    <w:tmpl w:val="DCE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9E4"/>
    <w:multiLevelType w:val="multilevel"/>
    <w:tmpl w:val="512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56D0"/>
    <w:multiLevelType w:val="multilevel"/>
    <w:tmpl w:val="50C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5118"/>
    <w:multiLevelType w:val="multilevel"/>
    <w:tmpl w:val="8C3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701D0"/>
    <w:multiLevelType w:val="multilevel"/>
    <w:tmpl w:val="588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4237B"/>
    <w:multiLevelType w:val="multilevel"/>
    <w:tmpl w:val="990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F24D4"/>
    <w:multiLevelType w:val="multilevel"/>
    <w:tmpl w:val="371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06BDA"/>
    <w:multiLevelType w:val="multilevel"/>
    <w:tmpl w:val="D19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1457A"/>
    <w:multiLevelType w:val="multilevel"/>
    <w:tmpl w:val="543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DA2"/>
    <w:multiLevelType w:val="multilevel"/>
    <w:tmpl w:val="21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708"/>
    <w:multiLevelType w:val="multilevel"/>
    <w:tmpl w:val="BC6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97727"/>
    <w:multiLevelType w:val="multilevel"/>
    <w:tmpl w:val="EA8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67000"/>
    <w:multiLevelType w:val="multilevel"/>
    <w:tmpl w:val="136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D733F"/>
    <w:multiLevelType w:val="multilevel"/>
    <w:tmpl w:val="EDC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701FB"/>
    <w:multiLevelType w:val="multilevel"/>
    <w:tmpl w:val="531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87AF7"/>
    <w:multiLevelType w:val="multilevel"/>
    <w:tmpl w:val="5F6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E67FC"/>
    <w:multiLevelType w:val="multilevel"/>
    <w:tmpl w:val="0F0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B4C0A"/>
    <w:multiLevelType w:val="multilevel"/>
    <w:tmpl w:val="DF2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91FD6"/>
    <w:multiLevelType w:val="multilevel"/>
    <w:tmpl w:val="FCF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013BF"/>
    <w:multiLevelType w:val="multilevel"/>
    <w:tmpl w:val="620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67A8E"/>
    <w:multiLevelType w:val="multilevel"/>
    <w:tmpl w:val="F80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E0E5C"/>
    <w:multiLevelType w:val="multilevel"/>
    <w:tmpl w:val="235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23F87"/>
    <w:multiLevelType w:val="multilevel"/>
    <w:tmpl w:val="C04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C2575"/>
    <w:multiLevelType w:val="multilevel"/>
    <w:tmpl w:val="607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06EA5"/>
    <w:multiLevelType w:val="multilevel"/>
    <w:tmpl w:val="E70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B00A2"/>
    <w:multiLevelType w:val="multilevel"/>
    <w:tmpl w:val="02A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5"/>
  </w:num>
  <w:num w:numId="9">
    <w:abstractNumId w:val="5"/>
  </w:num>
  <w:num w:numId="10">
    <w:abstractNumId w:val="21"/>
  </w:num>
  <w:num w:numId="11">
    <w:abstractNumId w:val="16"/>
  </w:num>
  <w:num w:numId="12">
    <w:abstractNumId w:val="18"/>
  </w:num>
  <w:num w:numId="13">
    <w:abstractNumId w:val="6"/>
  </w:num>
  <w:num w:numId="14">
    <w:abstractNumId w:val="23"/>
  </w:num>
  <w:num w:numId="15">
    <w:abstractNumId w:val="3"/>
  </w:num>
  <w:num w:numId="16">
    <w:abstractNumId w:val="7"/>
  </w:num>
  <w:num w:numId="17">
    <w:abstractNumId w:val="14"/>
  </w:num>
  <w:num w:numId="18">
    <w:abstractNumId w:val="20"/>
  </w:num>
  <w:num w:numId="19">
    <w:abstractNumId w:val="25"/>
  </w:num>
  <w:num w:numId="20">
    <w:abstractNumId w:val="22"/>
  </w:num>
  <w:num w:numId="21">
    <w:abstractNumId w:val="24"/>
  </w:num>
  <w:num w:numId="22">
    <w:abstractNumId w:val="19"/>
  </w:num>
  <w:num w:numId="23">
    <w:abstractNumId w:val="12"/>
  </w:num>
  <w:num w:numId="24">
    <w:abstractNumId w:val="10"/>
  </w:num>
  <w:num w:numId="25">
    <w:abstractNumId w:val="0"/>
  </w:num>
  <w:num w:numId="26">
    <w:abstractNumId w:val="2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2B6E52"/>
    <w:rsid w:val="0038703F"/>
    <w:rsid w:val="006F0B44"/>
    <w:rsid w:val="007E0735"/>
    <w:rsid w:val="008818ED"/>
    <w:rsid w:val="00977AC8"/>
    <w:rsid w:val="00AB7FBC"/>
    <w:rsid w:val="00BA5CB8"/>
    <w:rsid w:val="00C11DA4"/>
    <w:rsid w:val="00DC0F0F"/>
    <w:rsid w:val="00E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1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ntry-tagline">
    <w:name w:val="entry-tagline"/>
    <w:basedOn w:val="a"/>
    <w:rsid w:val="006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span">
    <w:name w:val="post-meta-span"/>
    <w:basedOn w:val="a0"/>
    <w:rsid w:val="006F0B44"/>
  </w:style>
  <w:style w:type="character" w:customStyle="1" w:styleId="20">
    <w:name w:val="Заголовок 2 Знак"/>
    <w:basedOn w:val="a0"/>
    <w:link w:val="2"/>
    <w:uiPriority w:val="9"/>
    <w:semiHidden/>
    <w:rsid w:val="00881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8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5052</Words>
  <Characters>28798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2020-09-03T06:15:00Z</dcterms:created>
  <dcterms:modified xsi:type="dcterms:W3CDTF">2020-09-03T06:21:00Z</dcterms:modified>
</cp:coreProperties>
</file>