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24"/>
          <w:szCs w:val="24"/>
        </w:rPr>
        <w:t xml:space="preserve">SEO Meta Bilgileri</w:t>
      </w:r>
    </w:p>
    <w:p>
      <w:pPr>
        <w:shd w:fill="EBF3FA" w:color="auto" w:val="clear"/>
        <w:spacing w:after="60" w:before="60"/>
        <w:ind w:left="360" w:right="360"/>
      </w:pPr>
      <w:r>
        <w:rPr>
          <w:rFonts w:ascii="Arial" w:cs="Arial" w:eastAsia="Arial" w:hAnsi="Arial"/>
          <w:b/>
          <w:bCs/>
          <w:color w:val="1F4E79"/>
          <w:sz w:val="20"/>
          <w:szCs w:val="20"/>
        </w:rPr>
        <w:t xml:space="preserve">URL: </w:t>
      </w:r>
      <w:r>
        <w:rPr>
          <w:rFonts w:ascii="Arial" w:cs="Arial" w:eastAsia="Arial" w:hAnsi="Arial"/>
          <w:i/>
          <w:iCs/>
          <w:color w:val="444444"/>
          <w:sz w:val="20"/>
          <w:szCs w:val="20"/>
        </w:rPr>
        <w:t xml:space="preserve">/yonetim-egitimi/catisma-yonetimi-problem-cozme</w:t>
      </w:r>
    </w:p>
    <w:p>
      <w:pPr>
        <w:shd w:fill="EBF3FA" w:color="auto" w:val="clear"/>
        <w:spacing w:after="60" w:before="60"/>
        <w:ind w:left="360" w:right="360"/>
      </w:pPr>
      <w:r>
        <w:rPr>
          <w:rFonts w:ascii="Arial" w:cs="Arial" w:eastAsia="Arial" w:hAnsi="Arial"/>
          <w:b/>
          <w:bCs/>
          <w:color w:val="1F4E79"/>
          <w:sz w:val="20"/>
          <w:szCs w:val="20"/>
        </w:rPr>
        <w:t xml:space="preserve">Title Tag: </w:t>
      </w:r>
      <w:r>
        <w:rPr>
          <w:rFonts w:ascii="Arial" w:cs="Arial" w:eastAsia="Arial" w:hAnsi="Arial"/>
          <w:i/>
          <w:iCs/>
          <w:color w:val="444444"/>
          <w:sz w:val="20"/>
          <w:szCs w:val="20"/>
        </w:rPr>
        <w:t xml:space="preserve">Çatışma Yönetimi ve Problem Çözme Eğitimi | Kurumsal Çatışma Çözümü</w:t>
      </w:r>
    </w:p>
    <w:p>
      <w:pPr>
        <w:shd w:fill="EBF3FA" w:color="auto" w:val="clear"/>
        <w:spacing w:after="60" w:before="60"/>
        <w:ind w:left="360" w:right="360"/>
      </w:pPr>
      <w:r>
        <w:rPr>
          <w:rFonts w:ascii="Arial" w:cs="Arial" w:eastAsia="Arial" w:hAnsi="Arial"/>
          <w:b/>
          <w:bCs/>
          <w:color w:val="1F4E79"/>
          <w:sz w:val="20"/>
          <w:szCs w:val="20"/>
        </w:rPr>
        <w:t xml:space="preserve">Meta Description: </w:t>
      </w:r>
      <w:r>
        <w:rPr>
          <w:rFonts w:ascii="Arial" w:cs="Arial" w:eastAsia="Arial" w:hAnsi="Arial"/>
          <w:i/>
          <w:iCs/>
          <w:color w:val="444444"/>
          <w:sz w:val="20"/>
          <w:szCs w:val="20"/>
        </w:rPr>
        <w:t xml:space="preserve">Kurumsal çatışma yönetimi ve problem çözme eğitimi. Ekip içi çatışmaları yapıcı biçimde yönetin, arabuluculuk becerisi kazanın. Şirket içi eğitim teklifi alın.</w:t>
      </w:r>
    </w:p>
    <w:p>
      <w:pPr>
        <w:shd w:fill="EBF3FA" w:color="auto" w:val="clear"/>
        <w:spacing w:after="60" w:before="60"/>
        <w:ind w:left="360" w:right="360"/>
      </w:pPr>
      <w:r>
        <w:rPr>
          <w:rFonts w:ascii="Arial" w:cs="Arial" w:eastAsia="Arial" w:hAnsi="Arial"/>
          <w:b/>
          <w:bCs/>
          <w:color w:val="1F4E79"/>
          <w:sz w:val="20"/>
          <w:szCs w:val="20"/>
        </w:rPr>
        <w:t xml:space="preserve">Hedef Keywordler: </w:t>
      </w:r>
      <w:r>
        <w:rPr>
          <w:rFonts w:ascii="Arial" w:cs="Arial" w:eastAsia="Arial" w:hAnsi="Arial"/>
          <w:i/>
          <w:iCs/>
          <w:color w:val="444444"/>
          <w:sz w:val="20"/>
          <w:szCs w:val="20"/>
        </w:rPr>
        <w:t xml:space="preserve">çatışma yönetimi eğitimi, problem çözme eğitimi, ekip çatışması yönetimi, kurumsal arabuluculuk eğitimi</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Çatışma Yönetimi ve Problem Çözme Eğitimi</w:t>
      </w:r>
    </w:p>
    <w:p>
      <w:pPr>
        <w:spacing w:after="120" w:before="80"/>
      </w:pPr>
      <w:r>
        <w:rPr>
          <w:rFonts w:ascii="Arial" w:cs="Arial" w:eastAsia="Arial" w:hAnsi="Arial"/>
          <w:color w:val="2C2C2C"/>
          <w:sz w:val="22"/>
          <w:szCs w:val="22"/>
        </w:rPr>
        <w:t xml:space="preserve">Çatışma, kaçınılması gereken bir tehlike değil; doğru yönetildiğinde ekipleri güçlendiren ve yeniliği besleyen bir dinamiktir. Sorun, çatışmanın varlığı değil; yönetilmemesidir.</w:t>
      </w:r>
    </w:p>
    <w:p>
      <w:pPr>
        <w:spacing w:after="120" w:before="80"/>
      </w:pPr>
      <w:r>
        <w:rPr>
          <w:rFonts w:ascii="Arial" w:cs="Arial" w:eastAsia="Arial" w:hAnsi="Arial"/>
          <w:color w:val="2C2C2C"/>
          <w:sz w:val="22"/>
          <w:szCs w:val="22"/>
        </w:rPr>
        <w:t xml:space="preserve">Bu eğitim; yöneticilere, ekip içi ve kurumlar arası çatışmaları erkenden tanıma, yapıcı biçimde müdahale etme ve sistematik problem çözme araçlarını kullanma becerisi kazandırır.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Kime Hitap Ediyor?</w:t>
      </w:r>
    </w:p>
    <w:p>
      <w:pPr>
        <w:spacing w:after="120" w:before="80"/>
      </w:pPr>
      <w:r>
        <w:rPr>
          <w:rFonts w:ascii="Arial" w:cs="Arial" w:eastAsia="Arial" w:hAnsi="Arial"/>
          <w:color w:val="2C2C2C"/>
          <w:sz w:val="22"/>
          <w:szCs w:val="22"/>
        </w:rPr>
        <w:t xml:space="preserve">Ekipte veya departmanlar arasında çatışma yaşayan yöneticiler, arabuluculuk rolü üstlenmek zorunda kalan liderler, çatışma yönetimini kurum kültürüne taşımak isteyen İK profesyonelleri ve problem çözme süreçlerini sistematik hale getirmek isteyen tüm yöneticiler için uygundur.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İçeriği</w:t>
      </w:r>
    </w:p>
    <w:p>
      <w:pPr>
        <w:pStyle w:val="Heading3"/>
        <w:spacing w:after="80" w:before="240"/>
      </w:pPr>
      <w:r>
        <w:rPr>
          <w:rFonts w:ascii="Arial" w:cs="Arial" w:eastAsia="Arial" w:hAnsi="Arial"/>
          <w:b/>
          <w:bCs/>
          <w:color w:val="1F4E79"/>
          <w:sz w:val="24"/>
          <w:szCs w:val="24"/>
        </w:rPr>
        <w:t xml:space="preserve">Çatışmanın Anatomisi</w:t>
      </w:r>
    </w:p>
    <w:p>
      <w:pPr>
        <w:spacing w:after="120" w:before="80"/>
      </w:pPr>
      <w:r>
        <w:rPr>
          <w:rFonts w:ascii="Arial" w:cs="Arial" w:eastAsia="Arial" w:hAnsi="Arial"/>
          <w:color w:val="2C2C2C"/>
          <w:sz w:val="22"/>
          <w:szCs w:val="22"/>
        </w:rPr>
        <w:t xml:space="preserve">Her çatışmanın altında bir ihtiyaç, bir beklenti ya da bir değer farkı yatar. Bu bölümde çatışma türleri, kaynakları ve tırmanma dinamikleri ele alınır.</w:t>
      </w:r>
    </w:p>
    <w:p>
      <w:pPr>
        <w:pStyle w:val="ListParagraph"/>
        <w:numPr>
          <w:ilvl w:val="0"/>
          <w:numId w:val="2"/>
        </w:numPr>
        <w:spacing w:after="40" w:before="40"/>
      </w:pPr>
      <w:r>
        <w:rPr>
          <w:rFonts w:ascii="Arial" w:cs="Arial" w:eastAsia="Arial" w:hAnsi="Arial"/>
          <w:color w:val="2C2C2C"/>
          <w:sz w:val="22"/>
          <w:szCs w:val="22"/>
        </w:rPr>
        <w:t xml:space="preserve">Görev çatışması, ilişki çatışması ve süreç çatışması</w:t>
      </w:r>
    </w:p>
    <w:p>
      <w:pPr>
        <w:pStyle w:val="ListParagraph"/>
        <w:numPr>
          <w:ilvl w:val="0"/>
          <w:numId w:val="2"/>
        </w:numPr>
        <w:spacing w:after="40" w:before="40"/>
      </w:pPr>
      <w:r>
        <w:rPr>
          <w:rFonts w:ascii="Arial" w:cs="Arial" w:eastAsia="Arial" w:hAnsi="Arial"/>
          <w:color w:val="2C2C2C"/>
          <w:sz w:val="22"/>
          <w:szCs w:val="22"/>
        </w:rPr>
        <w:t xml:space="preserve">Çatışma tırmanma modeli: Erken uyarı işaretleri</w:t>
      </w:r>
    </w:p>
    <w:p>
      <w:pPr>
        <w:pStyle w:val="ListParagraph"/>
        <w:numPr>
          <w:ilvl w:val="0"/>
          <w:numId w:val="2"/>
        </w:numPr>
        <w:spacing w:after="40" w:before="40"/>
      </w:pPr>
      <w:r>
        <w:rPr>
          <w:rFonts w:ascii="Arial" w:cs="Arial" w:eastAsia="Arial" w:hAnsi="Arial"/>
          <w:color w:val="2C2C2C"/>
          <w:sz w:val="22"/>
          <w:szCs w:val="22"/>
        </w:rPr>
        <w:t xml:space="preserve">Sessiz çatışma: Gizli gerginlik nasıl okunur</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Çatışma Yönetim Stilleri</w:t>
      </w:r>
    </w:p>
    <w:p>
      <w:pPr>
        <w:spacing w:after="120" w:before="80"/>
      </w:pPr>
      <w:r>
        <w:rPr>
          <w:rFonts w:ascii="Arial" w:cs="Arial" w:eastAsia="Arial" w:hAnsi="Arial"/>
          <w:color w:val="2C2C2C"/>
          <w:sz w:val="22"/>
          <w:szCs w:val="22"/>
        </w:rPr>
        <w:t xml:space="preserve">Thomas-Kilmann modeline göre beş farklı çatışma yönetim stili vardır ve her birinin uygun olduğu farklı durumlar mevcuttur. Yöneticiler, kendi baskın stillerini keşfeder ve esneklik kazanır.</w:t>
      </w:r>
    </w:p>
    <w:p>
      <w:pPr>
        <w:pStyle w:val="ListParagraph"/>
        <w:numPr>
          <w:ilvl w:val="0"/>
          <w:numId w:val="2"/>
        </w:numPr>
        <w:spacing w:after="40" w:before="40"/>
      </w:pPr>
      <w:r>
        <w:rPr>
          <w:rFonts w:ascii="Arial" w:cs="Arial" w:eastAsia="Arial" w:hAnsi="Arial"/>
          <w:color w:val="2C2C2C"/>
          <w:sz w:val="22"/>
          <w:szCs w:val="22"/>
        </w:rPr>
        <w:t xml:space="preserve">Rekabet, uyum, kaçınma, uzlaşma ve iş birliği stilleri</w:t>
      </w:r>
    </w:p>
    <w:p>
      <w:pPr>
        <w:pStyle w:val="ListParagraph"/>
        <w:numPr>
          <w:ilvl w:val="0"/>
          <w:numId w:val="2"/>
        </w:numPr>
        <w:spacing w:after="40" w:before="40"/>
      </w:pPr>
      <w:r>
        <w:rPr>
          <w:rFonts w:ascii="Arial" w:cs="Arial" w:eastAsia="Arial" w:hAnsi="Arial"/>
          <w:color w:val="2C2C2C"/>
          <w:sz w:val="22"/>
          <w:szCs w:val="22"/>
        </w:rPr>
        <w:t xml:space="preserve">Hangi stili ne zaman kullanmalı?</w:t>
      </w:r>
    </w:p>
    <w:p>
      <w:pPr>
        <w:pStyle w:val="ListParagraph"/>
        <w:numPr>
          <w:ilvl w:val="0"/>
          <w:numId w:val="2"/>
        </w:numPr>
        <w:spacing w:after="40" w:before="40"/>
      </w:pPr>
      <w:r>
        <w:rPr>
          <w:rFonts w:ascii="Arial" w:cs="Arial" w:eastAsia="Arial" w:hAnsi="Arial"/>
          <w:color w:val="2C2C2C"/>
          <w:sz w:val="22"/>
          <w:szCs w:val="22"/>
        </w:rPr>
        <w:t xml:space="preserve">Baskı altında stil değişimi ve farkındalık</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Yapıcı Müdahale ve Arabuluculuk</w:t>
      </w:r>
    </w:p>
    <w:p>
      <w:pPr>
        <w:spacing w:after="120" w:before="80"/>
      </w:pPr>
      <w:r>
        <w:rPr>
          <w:rFonts w:ascii="Arial" w:cs="Arial" w:eastAsia="Arial" w:hAnsi="Arial"/>
          <w:color w:val="2C2C2C"/>
          <w:sz w:val="22"/>
          <w:szCs w:val="22"/>
        </w:rPr>
        <w:t xml:space="preserve">Yöneticinin rolü, çatışmayı bastırmak değil; tarafları dinleyerek ortak zemini keşfetmelerine yardımcı olmaktır. Bu bölümde adım adım arabuluculuk süreci ele alınır.</w:t>
      </w:r>
    </w:p>
    <w:p>
      <w:pPr>
        <w:pStyle w:val="ListParagraph"/>
        <w:numPr>
          <w:ilvl w:val="0"/>
          <w:numId w:val="2"/>
        </w:numPr>
        <w:spacing w:after="40" w:before="40"/>
      </w:pPr>
      <w:r>
        <w:rPr>
          <w:rFonts w:ascii="Arial" w:cs="Arial" w:eastAsia="Arial" w:hAnsi="Arial"/>
          <w:color w:val="2C2C2C"/>
          <w:sz w:val="22"/>
          <w:szCs w:val="22"/>
        </w:rPr>
        <w:t xml:space="preserve">Tarafsız zemin hazırlama: Görüşme ortamı ve kuralları</w:t>
      </w:r>
    </w:p>
    <w:p>
      <w:pPr>
        <w:pStyle w:val="ListParagraph"/>
        <w:numPr>
          <w:ilvl w:val="0"/>
          <w:numId w:val="2"/>
        </w:numPr>
        <w:spacing w:after="40" w:before="40"/>
      </w:pPr>
      <w:r>
        <w:rPr>
          <w:rFonts w:ascii="Arial" w:cs="Arial" w:eastAsia="Arial" w:hAnsi="Arial"/>
          <w:color w:val="2C2C2C"/>
          <w:sz w:val="22"/>
          <w:szCs w:val="22"/>
        </w:rPr>
        <w:t xml:space="preserve">İlgi bazlı yaklaşım: Pozisyonun arkasındaki ihtiyacı bulmak</w:t>
      </w:r>
    </w:p>
    <w:p>
      <w:pPr>
        <w:pStyle w:val="ListParagraph"/>
        <w:numPr>
          <w:ilvl w:val="0"/>
          <w:numId w:val="2"/>
        </w:numPr>
        <w:spacing w:after="40" w:before="40"/>
      </w:pPr>
      <w:r>
        <w:rPr>
          <w:rFonts w:ascii="Arial" w:cs="Arial" w:eastAsia="Arial" w:hAnsi="Arial"/>
          <w:color w:val="2C2C2C"/>
          <w:sz w:val="22"/>
          <w:szCs w:val="22"/>
        </w:rPr>
        <w:t xml:space="preserve">Anlaşma belgesi oluşturma ve takip</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Problem Çözme Döngüsü</w:t>
      </w:r>
    </w:p>
    <w:p>
      <w:pPr>
        <w:spacing w:after="120" w:before="80"/>
      </w:pPr>
      <w:r>
        <w:rPr>
          <w:rFonts w:ascii="Arial" w:cs="Arial" w:eastAsia="Arial" w:hAnsi="Arial"/>
          <w:color w:val="2C2C2C"/>
          <w:sz w:val="22"/>
          <w:szCs w:val="22"/>
        </w:rPr>
        <w:t xml:space="preserve">Çatışma çözüldükten sonra asıl sorunun sistematik biçimde ele alınması gerekir. Bu bölümde yapılandırılmış problem çözme araçları ve kök neden analizi sunulur.</w:t>
      </w:r>
    </w:p>
    <w:p>
      <w:pPr>
        <w:pStyle w:val="ListParagraph"/>
        <w:numPr>
          <w:ilvl w:val="0"/>
          <w:numId w:val="2"/>
        </w:numPr>
        <w:spacing w:after="40" w:before="40"/>
      </w:pPr>
      <w:r>
        <w:rPr>
          <w:rFonts w:ascii="Arial" w:cs="Arial" w:eastAsia="Arial" w:hAnsi="Arial"/>
          <w:color w:val="2C2C2C"/>
          <w:sz w:val="22"/>
          <w:szCs w:val="22"/>
        </w:rPr>
        <w:t xml:space="preserve">5 Neden analizi ve kök neden tespiti</w:t>
      </w:r>
    </w:p>
    <w:p>
      <w:pPr>
        <w:pStyle w:val="ListParagraph"/>
        <w:numPr>
          <w:ilvl w:val="0"/>
          <w:numId w:val="2"/>
        </w:numPr>
        <w:spacing w:after="40" w:before="40"/>
      </w:pPr>
      <w:r>
        <w:rPr>
          <w:rFonts w:ascii="Arial" w:cs="Arial" w:eastAsia="Arial" w:hAnsi="Arial"/>
          <w:color w:val="2C2C2C"/>
          <w:sz w:val="22"/>
          <w:szCs w:val="22"/>
        </w:rPr>
        <w:t xml:space="preserve">Balık kılçığı diyagramı (Ishikawa) ile sorun haritası</w:t>
      </w:r>
    </w:p>
    <w:p>
      <w:pPr>
        <w:pStyle w:val="ListParagraph"/>
        <w:numPr>
          <w:ilvl w:val="0"/>
          <w:numId w:val="2"/>
        </w:numPr>
        <w:spacing w:after="40" w:before="40"/>
      </w:pPr>
      <w:r>
        <w:rPr>
          <w:rFonts w:ascii="Arial" w:cs="Arial" w:eastAsia="Arial" w:hAnsi="Arial"/>
          <w:color w:val="2C2C2C"/>
          <w:sz w:val="22"/>
          <w:szCs w:val="22"/>
        </w:rPr>
        <w:t xml:space="preserve">Çözüm önceliklendirme: Etki-çaba matrisi</w:t>
      </w:r>
    </w:p>
    <w:p>
      <w:pPr>
        <w:pStyle w:val="ListParagraph"/>
        <w:numPr>
          <w:ilvl w:val="0"/>
          <w:numId w:val="2"/>
        </w:numPr>
        <w:spacing w:after="40" w:before="40"/>
      </w:pPr>
      <w:r>
        <w:rPr>
          <w:rFonts w:ascii="Arial" w:cs="Arial" w:eastAsia="Arial" w:hAnsi="Arial"/>
          <w:color w:val="2C2C2C"/>
          <w:sz w:val="22"/>
          <w:szCs w:val="22"/>
        </w:rPr>
        <w:t xml:space="preserve">Uygulama planı ve başarı kriterleri</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Çatışmayı erkenden tanır ve tırmanmadan önce müdahale eder</w:t>
      </w:r>
    </w:p>
    <w:p>
      <w:pPr>
        <w:pStyle w:val="ListParagraph"/>
        <w:numPr>
          <w:ilvl w:val="0"/>
          <w:numId w:val="2"/>
        </w:numPr>
        <w:spacing w:after="40" w:before="40"/>
      </w:pPr>
      <w:r>
        <w:rPr>
          <w:rFonts w:ascii="Arial" w:cs="Arial" w:eastAsia="Arial" w:hAnsi="Arial"/>
          <w:color w:val="2C2C2C"/>
          <w:sz w:val="22"/>
          <w:szCs w:val="22"/>
        </w:rPr>
        <w:t xml:space="preserve">Kendi çatışma stilini bilir ve duruma göre esneklik kazanır</w:t>
      </w:r>
    </w:p>
    <w:p>
      <w:pPr>
        <w:pStyle w:val="ListParagraph"/>
        <w:numPr>
          <w:ilvl w:val="0"/>
          <w:numId w:val="2"/>
        </w:numPr>
        <w:spacing w:after="40" w:before="40"/>
      </w:pPr>
      <w:r>
        <w:rPr>
          <w:rFonts w:ascii="Arial" w:cs="Arial" w:eastAsia="Arial" w:hAnsi="Arial"/>
          <w:color w:val="2C2C2C"/>
          <w:sz w:val="22"/>
          <w:szCs w:val="22"/>
        </w:rPr>
        <w:t xml:space="preserve">Yapıcı arabuluculuk sürecini başarıyla yürütür</w:t>
      </w:r>
    </w:p>
    <w:p>
      <w:pPr>
        <w:pStyle w:val="ListParagraph"/>
        <w:numPr>
          <w:ilvl w:val="0"/>
          <w:numId w:val="2"/>
        </w:numPr>
        <w:spacing w:after="40" w:before="40"/>
      </w:pPr>
      <w:r>
        <w:rPr>
          <w:rFonts w:ascii="Arial" w:cs="Arial" w:eastAsia="Arial" w:hAnsi="Arial"/>
          <w:color w:val="2C2C2C"/>
          <w:sz w:val="22"/>
          <w:szCs w:val="22"/>
        </w:rPr>
        <w:t xml:space="preserve">Ekip içi çatışmaları fırsata dönüştürür</w:t>
      </w:r>
    </w:p>
    <w:p>
      <w:pPr>
        <w:pStyle w:val="ListParagraph"/>
        <w:numPr>
          <w:ilvl w:val="0"/>
          <w:numId w:val="2"/>
        </w:numPr>
        <w:spacing w:after="40" w:before="40"/>
      </w:pPr>
      <w:r>
        <w:rPr>
          <w:rFonts w:ascii="Arial" w:cs="Arial" w:eastAsia="Arial" w:hAnsi="Arial"/>
          <w:color w:val="2C2C2C"/>
          <w:sz w:val="22"/>
          <w:szCs w:val="22"/>
        </w:rPr>
        <w:t xml:space="preserve">Problemi kök nedeninden çözen sistematik araçlar kullanır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Formatı ve Süresi</w:t>
      </w:r>
    </w:p>
    <w:p>
      <w:pPr>
        <w:spacing w:after="80" w:before="80"/>
      </w:pPr>
      <w:r>
        <w:rPr>
          <w:rFonts w:ascii="Arial" w:cs="Arial" w:eastAsia="Arial" w:hAnsi="Arial"/>
          <w:b/>
          <w:bCs/>
          <w:color w:val="1F4E79"/>
          <w:sz w:val="22"/>
          <w:szCs w:val="22"/>
        </w:rPr>
        <w:t xml:space="preserve">Süre: </w:t>
      </w:r>
      <w:r>
        <w:rPr>
          <w:rFonts w:ascii="Arial" w:cs="Arial" w:eastAsia="Arial" w:hAnsi="Arial"/>
          <w:color w:val="2C2C2C"/>
          <w:sz w:val="22"/>
          <w:szCs w:val="22"/>
        </w:rPr>
        <w:t xml:space="preserve">1–2 gün; derinliğe göre ayarlanabilir.</w:t>
      </w:r>
    </w:p>
    <w:p>
      <w:pPr>
        <w:spacing w:after="80" w:before="80"/>
      </w:pPr>
      <w:r>
        <w:rPr>
          <w:rFonts w:ascii="Arial" w:cs="Arial" w:eastAsia="Arial" w:hAnsi="Arial"/>
          <w:b/>
          <w:bCs/>
          <w:color w:val="1F4E79"/>
          <w:sz w:val="22"/>
          <w:szCs w:val="22"/>
        </w:rPr>
        <w:t xml:space="preserve">Format: </w:t>
      </w:r>
      <w:r>
        <w:rPr>
          <w:rFonts w:ascii="Arial" w:cs="Arial" w:eastAsia="Arial" w:hAnsi="Arial"/>
          <w:color w:val="2C2C2C"/>
          <w:sz w:val="22"/>
          <w:szCs w:val="22"/>
        </w:rPr>
        <w:t xml:space="preserve">Şirket içi (in-house) veya açık grup eğitimi.</w:t>
      </w:r>
    </w:p>
    <w:p>
      <w:pPr>
        <w:spacing w:after="80" w:before="80"/>
      </w:pPr>
      <w:r>
        <w:rPr>
          <w:rFonts w:ascii="Arial" w:cs="Arial" w:eastAsia="Arial" w:hAnsi="Arial"/>
          <w:b/>
          <w:bCs/>
          <w:color w:val="1F4E79"/>
          <w:sz w:val="22"/>
          <w:szCs w:val="22"/>
        </w:rPr>
        <w:t xml:space="preserve">Yöntem: </w:t>
      </w:r>
      <w:r>
        <w:rPr>
          <w:rFonts w:ascii="Arial" w:cs="Arial" w:eastAsia="Arial" w:hAnsi="Arial"/>
          <w:color w:val="2C2C2C"/>
          <w:sz w:val="22"/>
          <w:szCs w:val="22"/>
        </w:rPr>
        <w:t xml:space="preserve">Rol yapma egzersizleri, canlı çatışma simülasyonları, vaka analizleri, problem çözme atölyeleri.</w:t>
      </w:r>
    </w:p>
    <w:p>
      <w:pPr>
        <w:spacing w:after="80" w:before="80"/>
      </w:pPr>
      <w:r>
        <w:rPr>
          <w:rFonts w:ascii="Arial" w:cs="Arial" w:eastAsia="Arial" w:hAnsi="Arial"/>
          <w:b/>
          <w:bCs/>
          <w:color w:val="1F4E79"/>
          <w:sz w:val="22"/>
          <w:szCs w:val="22"/>
        </w:rPr>
        <w:t xml:space="preserve">Katılımcı Sayısı: </w:t>
      </w:r>
      <w:r>
        <w:rPr>
          <w:rFonts w:ascii="Arial" w:cs="Arial" w:eastAsia="Arial" w:hAnsi="Arial"/>
          <w:color w:val="2C2C2C"/>
          <w:sz w:val="22"/>
          <w:szCs w:val="22"/>
        </w:rPr>
        <w:t xml:space="preserve">8–20 kişi.</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Sıkça Sorulan Sorular</w:t>
      </w:r>
    </w:p>
    <w:p>
      <w:pPr>
        <w:spacing w:after="80" w:before="80"/>
      </w:pPr>
      <w:r>
        <w:rPr>
          <w:rFonts w:ascii="Arial" w:cs="Arial" w:eastAsia="Arial" w:hAnsi="Arial"/>
          <w:b/>
          <w:bCs/>
          <w:color w:val="1F4E79"/>
          <w:sz w:val="22"/>
          <w:szCs w:val="22"/>
        </w:rPr>
        <w:t xml:space="preserve">Bu eğitim hukuki bir süreç olan arabuluculuk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Hayır. Eğitimdeki arabuluculuk, yöneticilerin ekip içi çatışmalarda uygulayabileceği yapıcı müdahale becerilerini kapsar; hukuki arabuluculuk eğitimi değildir.</w:t>
      </w:r>
    </w:p>
    <w:p>
      <w:pPr>
        <w:spacing w:after="80" w:before="80"/>
      </w:pPr>
      <w:r>
        <w:rPr>
          <w:rFonts w:ascii="Arial" w:cs="Arial" w:eastAsia="Arial" w:hAnsi="Arial"/>
          <w:b/>
          <w:bCs/>
          <w:color w:val="1F4E79"/>
          <w:sz w:val="22"/>
          <w:szCs w:val="22"/>
        </w:rPr>
        <w:t xml:space="preserve">Gerçek bir çatışma durumuyla eğitime gelebilir miyiz?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şirket içi eğitimlerde gerçek vakalar anonim biçimde simülasyona taşınabilir. Bu yaklaşım eğitimi çok daha uygulamalı kılar.</w:t>
      </w:r>
    </w:p>
    <w:p>
      <w:pPr>
        <w:pBdr>
          <w:bottom w:val="single" w:color="D0D0D0" w:sz="2" w:space="1"/>
        </w:pBdr>
        <w:spacing w:after="160" w:before="1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Kurumunuz İçin Teklif Alın</w:t>
      </w:r>
    </w:p>
    <w:p>
      <w:pPr>
        <w:spacing w:after="120" w:before="80"/>
      </w:pPr>
      <w:r>
        <w:rPr>
          <w:rFonts w:ascii="Arial" w:cs="Arial" w:eastAsia="Arial" w:hAnsi="Arial"/>
          <w:color w:val="2C2C2C"/>
          <w:sz w:val="22"/>
          <w:szCs w:val="22"/>
        </w:rPr>
        <w:t xml:space="preserve">Çatışma Yönetimi ve Problem Çözme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2E75B6"/>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Çatışma Yönetimi ve Problem Çözme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2026-05-06T14:34:36.680Z</dcterms:created>
  <dcterms:modified xsi:type="dcterms:W3CDTF">2026-05-06T14:34:36.680Z</dcterms:modified>
</cp:coreProperties>
</file>

<file path=docProps/custom.xml><?xml version="1.0" encoding="utf-8"?>
<Properties xmlns="http://schemas.openxmlformats.org/officeDocument/2006/custom-properties" xmlns:vt="http://schemas.openxmlformats.org/officeDocument/2006/docPropsVTypes"/>
</file>