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24"/>
          <w:szCs w:val="24"/>
        </w:rPr>
        <w:t xml:space="preserve">SEO Meta Bilgileri</w:t>
      </w:r>
    </w:p>
    <w:p>
      <w:pPr>
        <w:shd w:fill="EBF3FA" w:color="auto" w:val="clear"/>
        <w:spacing w:after="60" w:before="60"/>
        <w:ind w:left="360" w:right="360"/>
      </w:pPr>
      <w:r>
        <w:rPr>
          <w:rFonts w:ascii="Arial" w:cs="Arial" w:eastAsia="Arial" w:hAnsi="Arial"/>
          <w:b/>
          <w:bCs/>
          <w:color w:val="1F4E79"/>
          <w:sz w:val="20"/>
          <w:szCs w:val="20"/>
        </w:rPr>
        <w:t xml:space="preserve">URL: </w:t>
      </w:r>
      <w:r>
        <w:rPr>
          <w:rFonts w:ascii="Arial" w:cs="Arial" w:eastAsia="Arial" w:hAnsi="Arial"/>
          <w:i/>
          <w:iCs/>
          <w:color w:val="444444"/>
          <w:sz w:val="20"/>
          <w:szCs w:val="20"/>
        </w:rPr>
        <w:t xml:space="preserve">/yonetim-egitimi/performans-yonetimi-geribildirim</w:t>
      </w:r>
    </w:p>
    <w:p>
      <w:pPr>
        <w:shd w:fill="EBF3FA" w:color="auto" w:val="clear"/>
        <w:spacing w:after="60" w:before="60"/>
        <w:ind w:left="360" w:right="360"/>
      </w:pPr>
      <w:r>
        <w:rPr>
          <w:rFonts w:ascii="Arial" w:cs="Arial" w:eastAsia="Arial" w:hAnsi="Arial"/>
          <w:b/>
          <w:bCs/>
          <w:color w:val="1F4E79"/>
          <w:sz w:val="20"/>
          <w:szCs w:val="20"/>
        </w:rPr>
        <w:t xml:space="preserve">Title Tag: </w:t>
      </w:r>
      <w:r>
        <w:rPr>
          <w:rFonts w:ascii="Arial" w:cs="Arial" w:eastAsia="Arial" w:hAnsi="Arial"/>
          <w:i/>
          <w:iCs/>
          <w:color w:val="444444"/>
          <w:sz w:val="20"/>
          <w:szCs w:val="20"/>
        </w:rPr>
        <w:t xml:space="preserve">Performans Yönetimi ve Geribildirim Eğitimi | Yöneticiler İçin Geri Bildirim</w:t>
      </w:r>
    </w:p>
    <w:p>
      <w:pPr>
        <w:shd w:fill="EBF3FA" w:color="auto" w:val="clear"/>
        <w:spacing w:after="60" w:before="60"/>
        <w:ind w:left="360" w:right="360"/>
      </w:pPr>
      <w:r>
        <w:rPr>
          <w:rFonts w:ascii="Arial" w:cs="Arial" w:eastAsia="Arial" w:hAnsi="Arial"/>
          <w:b/>
          <w:bCs/>
          <w:color w:val="1F4E79"/>
          <w:sz w:val="20"/>
          <w:szCs w:val="20"/>
        </w:rPr>
        <w:t xml:space="preserve">Meta Description: </w:t>
      </w:r>
      <w:r>
        <w:rPr>
          <w:rFonts w:ascii="Arial" w:cs="Arial" w:eastAsia="Arial" w:hAnsi="Arial"/>
          <w:i/>
          <w:iCs/>
          <w:color w:val="444444"/>
          <w:sz w:val="20"/>
          <w:szCs w:val="20"/>
        </w:rPr>
        <w:t xml:space="preserve">Yöneticiler için performans yönetimi ve etkili geribildirim eğitimi. OKR, performans görüşmesi teknikleri ve sürekli geribildirim kültürü. Kurumsal eğitim teklifi alın.</w:t>
      </w:r>
    </w:p>
    <w:p>
      <w:pPr>
        <w:shd w:fill="EBF3FA" w:color="auto" w:val="clear"/>
        <w:spacing w:after="60" w:before="60"/>
        <w:ind w:left="360" w:right="360"/>
      </w:pPr>
      <w:r>
        <w:rPr>
          <w:rFonts w:ascii="Arial" w:cs="Arial" w:eastAsia="Arial" w:hAnsi="Arial"/>
          <w:b/>
          <w:bCs/>
          <w:color w:val="1F4E79"/>
          <w:sz w:val="20"/>
          <w:szCs w:val="20"/>
        </w:rPr>
        <w:t xml:space="preserve">Hedef Keywordler: </w:t>
      </w:r>
      <w:r>
        <w:rPr>
          <w:rFonts w:ascii="Arial" w:cs="Arial" w:eastAsia="Arial" w:hAnsi="Arial"/>
          <w:i/>
          <w:iCs/>
          <w:color w:val="444444"/>
          <w:sz w:val="20"/>
          <w:szCs w:val="20"/>
        </w:rPr>
        <w:t xml:space="preserve">performans yönetimi eğitimi, geribildirim eğitimi, etkili geri bildirim, performans görüşmesi teknikleri</w:t>
      </w:r>
    </w:p>
    <w:p>
      <w:pPr>
        <w:pBdr>
          <w:bottom w:val="single" w:color="D0D0D0" w:sz="2" w:space="1"/>
        </w:pBdr>
        <w:spacing w:after="160" w:before="160"/>
      </w:pPr>
      <w:r>
        <w:t xml:space="preserve"/>
      </w:r>
    </w:p>
    <w:p>
      <w:pPr>
        <w:pStyle w:val="Heading1"/>
        <w:spacing w:after="160" w:before="360"/>
      </w:pPr>
      <w:r>
        <w:rPr>
          <w:rFonts w:ascii="Arial" w:cs="Arial" w:eastAsia="Arial" w:hAnsi="Arial"/>
          <w:b/>
          <w:bCs/>
          <w:color w:val="1F4E79"/>
          <w:sz w:val="36"/>
          <w:szCs w:val="36"/>
        </w:rPr>
        <w:t xml:space="preserve">Performans Yönetimi ve Geribildirim Eğitimi</w:t>
      </w:r>
    </w:p>
    <w:p>
      <w:pPr>
        <w:spacing w:after="120" w:before="80"/>
      </w:pPr>
      <w:r>
        <w:rPr>
          <w:rFonts w:ascii="Arial" w:cs="Arial" w:eastAsia="Arial" w:hAnsi="Arial"/>
          <w:color w:val="2C2C2C"/>
          <w:sz w:val="22"/>
          <w:szCs w:val="22"/>
        </w:rPr>
        <w:t xml:space="preserve">Performans yönetimi; yılda bir doldurulan değerlendirme formlarından çok daha fazlasıdır. Gerçek performans kültürü, sürekli geri bildirim, net beklentiler ve gelişimi destekleyen bir liderlik anlayışıyla şekillenir.</w:t>
      </w:r>
    </w:p>
    <w:p>
      <w:pPr>
        <w:spacing w:after="120" w:before="80"/>
      </w:pPr>
      <w:r>
        <w:rPr>
          <w:rFonts w:ascii="Arial" w:cs="Arial" w:eastAsia="Arial" w:hAnsi="Arial"/>
          <w:color w:val="2C2C2C"/>
          <w:sz w:val="22"/>
          <w:szCs w:val="22"/>
        </w:rPr>
        <w:t xml:space="preserve">Bu eğitim; yöneticilere, bireyin ve ekibin potansiyelini ortaya çıkaran, motivasyonu artıran ve kurumsal sonuçlara katkıda bulunan bir performans yönetimi anlayışı kazandırır.</w:t>
      </w:r>
    </w:p>
    <w:p>
      <w:pPr>
        <w:spacing w:after="60" w:before="60"/>
      </w:pPr>
      <w:r>
        <w:t xml:space="preserve"/>
      </w:r>
    </w:p>
    <w:p>
      <w:pPr>
        <w:pStyle w:val="Heading2"/>
        <w:pBdr>
          <w:bottom w:val="single" w:color="C0D8EE" w:sz="4" w:space="4"/>
        </w:pBdr>
        <w:spacing w:after="120" w:before="320"/>
      </w:pPr>
      <w:r>
        <w:rPr>
          <w:rFonts w:ascii="Arial" w:cs="Arial" w:eastAsia="Arial" w:hAnsi="Arial"/>
          <w:b/>
          <w:bCs/>
          <w:color w:val="2E75B6"/>
          <w:sz w:val="28"/>
          <w:szCs w:val="28"/>
        </w:rPr>
        <w:t xml:space="preserve">Eğitim Kime Hitap Ediyor?</w:t>
      </w:r>
    </w:p>
    <w:p>
      <w:pPr>
        <w:spacing w:after="120" w:before="80"/>
      </w:pPr>
      <w:r>
        <w:rPr>
          <w:rFonts w:ascii="Arial" w:cs="Arial" w:eastAsia="Arial" w:hAnsi="Arial"/>
          <w:color w:val="2C2C2C"/>
          <w:sz w:val="22"/>
          <w:szCs w:val="22"/>
        </w:rPr>
        <w:t xml:space="preserve">Ekip performansını sistematik biçimde yönetmek isteyen orta ve üst düzey yöneticiler, geribildirim kültürü oluşturmaya çalışan liderler, performans görüşmelerini daha etkili yürütmek isteyen yöneticiler ve İK süreçlerini güçlendirmek isteyen profesyoneller için tasarlanmıştır.</w:t>
      </w:r>
    </w:p>
    <w:p>
      <w:pPr>
        <w:spacing w:after="60" w:before="60"/>
      </w:pPr>
      <w:r>
        <w:t xml:space="preserve"/>
      </w:r>
    </w:p>
    <w:p>
      <w:pPr>
        <w:pStyle w:val="Heading2"/>
        <w:pBdr>
          <w:bottom w:val="single" w:color="C0D8EE" w:sz="4" w:space="4"/>
        </w:pBdr>
        <w:spacing w:after="120" w:before="320"/>
      </w:pPr>
      <w:r>
        <w:rPr>
          <w:rFonts w:ascii="Arial" w:cs="Arial" w:eastAsia="Arial" w:hAnsi="Arial"/>
          <w:b/>
          <w:bCs/>
          <w:color w:val="2E75B6"/>
          <w:sz w:val="28"/>
          <w:szCs w:val="28"/>
        </w:rPr>
        <w:t xml:space="preserve">Eğitim İçeriği</w:t>
      </w:r>
    </w:p>
    <w:p>
      <w:pPr>
        <w:pStyle w:val="Heading3"/>
        <w:spacing w:after="80" w:before="240"/>
      </w:pPr>
      <w:r>
        <w:rPr>
          <w:rFonts w:ascii="Arial" w:cs="Arial" w:eastAsia="Arial" w:hAnsi="Arial"/>
          <w:b/>
          <w:bCs/>
          <w:color w:val="1F4E79"/>
          <w:sz w:val="24"/>
          <w:szCs w:val="24"/>
        </w:rPr>
        <w:t xml:space="preserve">Sürekli Performans Kültürü Oluşturma</w:t>
      </w:r>
    </w:p>
    <w:p>
      <w:pPr>
        <w:spacing w:after="120" w:before="80"/>
      </w:pPr>
      <w:r>
        <w:rPr>
          <w:rFonts w:ascii="Arial" w:cs="Arial" w:eastAsia="Arial" w:hAnsi="Arial"/>
          <w:color w:val="2C2C2C"/>
          <w:sz w:val="22"/>
          <w:szCs w:val="22"/>
        </w:rPr>
        <w:t xml:space="preserve">Performans yönetimi, anlık bir değerlendirmeden çok; süregelen bir diyalog ve gelişim sürecidir. Bu bölümde sürekli performans kültürünün temelleri ve yöneticinin rolü ele alınır.</w:t>
      </w:r>
    </w:p>
    <w:p>
      <w:pPr>
        <w:pStyle w:val="ListParagraph"/>
        <w:numPr>
          <w:ilvl w:val="0"/>
          <w:numId w:val="2"/>
        </w:numPr>
        <w:spacing w:after="40" w:before="40"/>
      </w:pPr>
      <w:r>
        <w:rPr>
          <w:rFonts w:ascii="Arial" w:cs="Arial" w:eastAsia="Arial" w:hAnsi="Arial"/>
          <w:color w:val="2C2C2C"/>
          <w:sz w:val="22"/>
          <w:szCs w:val="22"/>
        </w:rPr>
        <w:t xml:space="preserve">Performans yönetiminde geleneksel yaklaşımın sınırları</w:t>
      </w:r>
    </w:p>
    <w:p>
      <w:pPr>
        <w:pStyle w:val="ListParagraph"/>
        <w:numPr>
          <w:ilvl w:val="0"/>
          <w:numId w:val="2"/>
        </w:numPr>
        <w:spacing w:after="40" w:before="40"/>
      </w:pPr>
      <w:r>
        <w:rPr>
          <w:rFonts w:ascii="Arial" w:cs="Arial" w:eastAsia="Arial" w:hAnsi="Arial"/>
          <w:color w:val="2C2C2C"/>
          <w:sz w:val="22"/>
          <w:szCs w:val="22"/>
        </w:rPr>
        <w:t xml:space="preserve">Sürekli geribildirim döngüsü: Check-in kültürü</w:t>
      </w:r>
    </w:p>
    <w:p>
      <w:pPr>
        <w:pStyle w:val="ListParagraph"/>
        <w:numPr>
          <w:ilvl w:val="0"/>
          <w:numId w:val="2"/>
        </w:numPr>
        <w:spacing w:after="40" w:before="40"/>
      </w:pPr>
      <w:r>
        <w:rPr>
          <w:rFonts w:ascii="Arial" w:cs="Arial" w:eastAsia="Arial" w:hAnsi="Arial"/>
          <w:color w:val="2C2C2C"/>
          <w:sz w:val="22"/>
          <w:szCs w:val="22"/>
        </w:rPr>
        <w:t xml:space="preserve">Psikolojik güvenlik ve performans ilişkisi</w:t>
      </w:r>
    </w:p>
    <w:p>
      <w:pPr>
        <w:spacing w:after="60" w:before="60"/>
      </w:pPr>
      <w:r>
        <w:t xml:space="preserve"/>
      </w:r>
    </w:p>
    <w:p>
      <w:pPr>
        <w:pStyle w:val="Heading3"/>
        <w:spacing w:after="80" w:before="240"/>
      </w:pPr>
      <w:r>
        <w:rPr>
          <w:rFonts w:ascii="Arial" w:cs="Arial" w:eastAsia="Arial" w:hAnsi="Arial"/>
          <w:b/>
          <w:bCs/>
          <w:color w:val="1F4E79"/>
          <w:sz w:val="24"/>
          <w:szCs w:val="24"/>
        </w:rPr>
        <w:t xml:space="preserve">Hedef Belirleme: OKR ve SMART</w:t>
      </w:r>
    </w:p>
    <w:p>
      <w:pPr>
        <w:spacing w:after="120" w:before="80"/>
      </w:pPr>
      <w:r>
        <w:rPr>
          <w:rFonts w:ascii="Arial" w:cs="Arial" w:eastAsia="Arial" w:hAnsi="Arial"/>
          <w:color w:val="2C2C2C"/>
          <w:sz w:val="22"/>
          <w:szCs w:val="22"/>
        </w:rPr>
        <w:t xml:space="preserve">Net ve ilham verici hedefler, performansın motorudur. Bu bölümde OKR (Hedefler ve Anahtar Sonuçlar) çerçevesi ve SMART hedef belirleme yaklaşımı uygulamalı biçimde ele alınır.</w:t>
      </w:r>
    </w:p>
    <w:p>
      <w:pPr>
        <w:pStyle w:val="ListParagraph"/>
        <w:numPr>
          <w:ilvl w:val="0"/>
          <w:numId w:val="2"/>
        </w:numPr>
        <w:spacing w:after="40" w:before="40"/>
      </w:pPr>
      <w:r>
        <w:rPr>
          <w:rFonts w:ascii="Arial" w:cs="Arial" w:eastAsia="Arial" w:hAnsi="Arial"/>
          <w:color w:val="2C2C2C"/>
          <w:sz w:val="22"/>
          <w:szCs w:val="22"/>
        </w:rPr>
        <w:t xml:space="preserve">OKR nedir ve nasıl uygulanır?</w:t>
      </w:r>
    </w:p>
    <w:p>
      <w:pPr>
        <w:pStyle w:val="ListParagraph"/>
        <w:numPr>
          <w:ilvl w:val="0"/>
          <w:numId w:val="2"/>
        </w:numPr>
        <w:spacing w:after="40" w:before="40"/>
      </w:pPr>
      <w:r>
        <w:rPr>
          <w:rFonts w:ascii="Arial" w:cs="Arial" w:eastAsia="Arial" w:hAnsi="Arial"/>
          <w:color w:val="2C2C2C"/>
          <w:sz w:val="22"/>
          <w:szCs w:val="22"/>
        </w:rPr>
        <w:t xml:space="preserve">Bireysel hedefleri kurumsal hedeflerle hizalama</w:t>
      </w:r>
    </w:p>
    <w:p>
      <w:pPr>
        <w:pStyle w:val="ListParagraph"/>
        <w:numPr>
          <w:ilvl w:val="0"/>
          <w:numId w:val="2"/>
        </w:numPr>
        <w:spacing w:after="40" w:before="40"/>
      </w:pPr>
      <w:r>
        <w:rPr>
          <w:rFonts w:ascii="Arial" w:cs="Arial" w:eastAsia="Arial" w:hAnsi="Arial"/>
          <w:color w:val="2C2C2C"/>
          <w:sz w:val="22"/>
          <w:szCs w:val="22"/>
        </w:rPr>
        <w:t xml:space="preserve">Gerçekçi ama zorlayıcı hedef belirleme dengesi</w:t>
      </w:r>
    </w:p>
    <w:p>
      <w:pPr>
        <w:spacing w:after="60" w:before="60"/>
      </w:pPr>
      <w:r>
        <w:t xml:space="preserve"/>
      </w:r>
    </w:p>
    <w:p>
      <w:pPr>
        <w:pStyle w:val="Heading3"/>
        <w:spacing w:after="80" w:before="240"/>
      </w:pPr>
      <w:r>
        <w:rPr>
          <w:rFonts w:ascii="Arial" w:cs="Arial" w:eastAsia="Arial" w:hAnsi="Arial"/>
          <w:b/>
          <w:bCs/>
          <w:color w:val="1F4E79"/>
          <w:sz w:val="24"/>
          <w:szCs w:val="24"/>
        </w:rPr>
        <w:t xml:space="preserve">Etkili Geribildirim Modelleri</w:t>
      </w:r>
    </w:p>
    <w:p>
      <w:pPr>
        <w:spacing w:after="120" w:before="80"/>
      </w:pPr>
      <w:r>
        <w:rPr>
          <w:rFonts w:ascii="Arial" w:cs="Arial" w:eastAsia="Arial" w:hAnsi="Arial"/>
          <w:color w:val="2C2C2C"/>
          <w:sz w:val="22"/>
          <w:szCs w:val="22"/>
        </w:rPr>
        <w:t xml:space="preserve">Geribildirim, savunmacılığa yol açmadan gelişimi tetiklediğinde değerlidir. Bu bölümde yapıcı geribildirim modelleri ve zor geri bildirim konuşmaları ele alınır.</w:t>
      </w:r>
    </w:p>
    <w:p>
      <w:pPr>
        <w:pStyle w:val="ListParagraph"/>
        <w:numPr>
          <w:ilvl w:val="0"/>
          <w:numId w:val="2"/>
        </w:numPr>
        <w:spacing w:after="40" w:before="40"/>
      </w:pPr>
      <w:r>
        <w:rPr>
          <w:rFonts w:ascii="Arial" w:cs="Arial" w:eastAsia="Arial" w:hAnsi="Arial"/>
          <w:color w:val="2C2C2C"/>
          <w:sz w:val="22"/>
          <w:szCs w:val="22"/>
        </w:rPr>
        <w:t xml:space="preserve">SBI modeli: Durum, Davranış, Etki</w:t>
      </w:r>
    </w:p>
    <w:p>
      <w:pPr>
        <w:pStyle w:val="ListParagraph"/>
        <w:numPr>
          <w:ilvl w:val="0"/>
          <w:numId w:val="2"/>
        </w:numPr>
        <w:spacing w:after="40" w:before="40"/>
      </w:pPr>
      <w:r>
        <w:rPr>
          <w:rFonts w:ascii="Arial" w:cs="Arial" w:eastAsia="Arial" w:hAnsi="Arial"/>
          <w:color w:val="2C2C2C"/>
          <w:sz w:val="22"/>
          <w:szCs w:val="22"/>
        </w:rPr>
        <w:t xml:space="preserve">Feedforward: Geçmişe değil, geleceğe odaklanmak</w:t>
      </w:r>
    </w:p>
    <w:p>
      <w:pPr>
        <w:pStyle w:val="ListParagraph"/>
        <w:numPr>
          <w:ilvl w:val="0"/>
          <w:numId w:val="2"/>
        </w:numPr>
        <w:spacing w:after="40" w:before="40"/>
      </w:pPr>
      <w:r>
        <w:rPr>
          <w:rFonts w:ascii="Arial" w:cs="Arial" w:eastAsia="Arial" w:hAnsi="Arial"/>
          <w:color w:val="2C2C2C"/>
          <w:sz w:val="22"/>
          <w:szCs w:val="22"/>
        </w:rPr>
        <w:t xml:space="preserve">Olumlu geribildirim: Takdirin gücü ve zamanlaması</w:t>
      </w:r>
    </w:p>
    <w:p>
      <w:pPr>
        <w:pStyle w:val="ListParagraph"/>
        <w:numPr>
          <w:ilvl w:val="0"/>
          <w:numId w:val="2"/>
        </w:numPr>
        <w:spacing w:after="40" w:before="40"/>
      </w:pPr>
      <w:r>
        <w:rPr>
          <w:rFonts w:ascii="Arial" w:cs="Arial" w:eastAsia="Arial" w:hAnsi="Arial"/>
          <w:color w:val="2C2C2C"/>
          <w:sz w:val="22"/>
          <w:szCs w:val="22"/>
        </w:rPr>
        <w:t xml:space="preserve">Zor geribildirim konuşmalarını hazırlama ve yürütme</w:t>
      </w:r>
    </w:p>
    <w:p>
      <w:pPr>
        <w:spacing w:after="60" w:before="60"/>
      </w:pPr>
      <w:r>
        <w:t xml:space="preserve"/>
      </w:r>
    </w:p>
    <w:p>
      <w:pPr>
        <w:pStyle w:val="Heading3"/>
        <w:spacing w:after="80" w:before="240"/>
      </w:pPr>
      <w:r>
        <w:rPr>
          <w:rFonts w:ascii="Arial" w:cs="Arial" w:eastAsia="Arial" w:hAnsi="Arial"/>
          <w:b/>
          <w:bCs/>
          <w:color w:val="1F4E79"/>
          <w:sz w:val="24"/>
          <w:szCs w:val="24"/>
        </w:rPr>
        <w:t xml:space="preserve">Performans Görüşmesi Teknikleri</w:t>
      </w:r>
    </w:p>
    <w:p>
      <w:pPr>
        <w:spacing w:after="120" w:before="80"/>
      </w:pPr>
      <w:r>
        <w:rPr>
          <w:rFonts w:ascii="Arial" w:cs="Arial" w:eastAsia="Arial" w:hAnsi="Arial"/>
          <w:color w:val="2C2C2C"/>
          <w:sz w:val="22"/>
          <w:szCs w:val="22"/>
        </w:rPr>
        <w:t xml:space="preserve">Performans görüşmesi; çalışanın yıllık değerlendirildiği tek yönlü bir süreç değil; gelişimi birlikte planladığınız stratejik bir diyalogdur. Bu bölümde etkili görüşme yapısı ve sık yapılan hatalar ele alınır.</w:t>
      </w:r>
    </w:p>
    <w:p>
      <w:pPr>
        <w:pStyle w:val="ListParagraph"/>
        <w:numPr>
          <w:ilvl w:val="0"/>
          <w:numId w:val="2"/>
        </w:numPr>
        <w:spacing w:after="40" w:before="40"/>
      </w:pPr>
      <w:r>
        <w:rPr>
          <w:rFonts w:ascii="Arial" w:cs="Arial" w:eastAsia="Arial" w:hAnsi="Arial"/>
          <w:color w:val="2C2C2C"/>
          <w:sz w:val="22"/>
          <w:szCs w:val="22"/>
        </w:rPr>
        <w:t xml:space="preserve">Görüşme öncesi hazırlık ve çerçeveleme</w:t>
      </w:r>
    </w:p>
    <w:p>
      <w:pPr>
        <w:pStyle w:val="ListParagraph"/>
        <w:numPr>
          <w:ilvl w:val="0"/>
          <w:numId w:val="2"/>
        </w:numPr>
        <w:spacing w:after="40" w:before="40"/>
      </w:pPr>
      <w:r>
        <w:rPr>
          <w:rFonts w:ascii="Arial" w:cs="Arial" w:eastAsia="Arial" w:hAnsi="Arial"/>
          <w:color w:val="2C2C2C"/>
          <w:sz w:val="22"/>
          <w:szCs w:val="22"/>
        </w:rPr>
        <w:t xml:space="preserve">Açık uçlu sorularla diyaloğu yönetme</w:t>
      </w:r>
    </w:p>
    <w:p>
      <w:pPr>
        <w:pStyle w:val="ListParagraph"/>
        <w:numPr>
          <w:ilvl w:val="0"/>
          <w:numId w:val="2"/>
        </w:numPr>
        <w:spacing w:after="40" w:before="40"/>
      </w:pPr>
      <w:r>
        <w:rPr>
          <w:rFonts w:ascii="Arial" w:cs="Arial" w:eastAsia="Arial" w:hAnsi="Arial"/>
          <w:color w:val="2C2C2C"/>
          <w:sz w:val="22"/>
          <w:szCs w:val="22"/>
        </w:rPr>
        <w:t xml:space="preserve">Düşük performansı doğrudan ve saygılı biçimde ele alma</w:t>
      </w:r>
    </w:p>
    <w:p>
      <w:pPr>
        <w:pStyle w:val="ListParagraph"/>
        <w:numPr>
          <w:ilvl w:val="0"/>
          <w:numId w:val="2"/>
        </w:numPr>
        <w:spacing w:after="40" w:before="40"/>
      </w:pPr>
      <w:r>
        <w:rPr>
          <w:rFonts w:ascii="Arial" w:cs="Arial" w:eastAsia="Arial" w:hAnsi="Arial"/>
          <w:color w:val="2C2C2C"/>
          <w:sz w:val="22"/>
          <w:szCs w:val="22"/>
        </w:rPr>
        <w:t xml:space="preserve">Gelişim planı oluşturma ve taahhüt alma</w:t>
      </w:r>
    </w:p>
    <w:p>
      <w:pPr>
        <w:spacing w:after="60" w:before="60"/>
      </w:pPr>
      <w:r>
        <w:t xml:space="preserve"/>
      </w:r>
    </w:p>
    <w:p>
      <w:pPr>
        <w:pStyle w:val="Heading2"/>
        <w:pBdr>
          <w:bottom w:val="single" w:color="C0D8EE" w:sz="4" w:space="4"/>
        </w:pBdr>
        <w:spacing w:after="120" w:before="320"/>
      </w:pPr>
      <w:r>
        <w:rPr>
          <w:rFonts w:ascii="Arial" w:cs="Arial" w:eastAsia="Arial" w:hAnsi="Arial"/>
          <w:b/>
          <w:bCs/>
          <w:color w:val="2E75B6"/>
          <w:sz w:val="28"/>
          <w:szCs w:val="28"/>
        </w:rPr>
        <w:t xml:space="preserve">Eğitim Kazanımları</w:t>
      </w:r>
    </w:p>
    <w:p>
      <w:pPr>
        <w:pStyle w:val="ListParagraph"/>
        <w:numPr>
          <w:ilvl w:val="0"/>
          <w:numId w:val="2"/>
        </w:numPr>
        <w:spacing w:after="40" w:before="40"/>
      </w:pPr>
      <w:r>
        <w:rPr>
          <w:rFonts w:ascii="Arial" w:cs="Arial" w:eastAsia="Arial" w:hAnsi="Arial"/>
          <w:color w:val="2C2C2C"/>
          <w:sz w:val="22"/>
          <w:szCs w:val="22"/>
        </w:rPr>
        <w:t xml:space="preserve">Sürekli geribildirim döngüsü oluşturur ve sürdürür</w:t>
      </w:r>
    </w:p>
    <w:p>
      <w:pPr>
        <w:pStyle w:val="ListParagraph"/>
        <w:numPr>
          <w:ilvl w:val="0"/>
          <w:numId w:val="2"/>
        </w:numPr>
        <w:spacing w:after="40" w:before="40"/>
      </w:pPr>
      <w:r>
        <w:rPr>
          <w:rFonts w:ascii="Arial" w:cs="Arial" w:eastAsia="Arial" w:hAnsi="Arial"/>
          <w:color w:val="2C2C2C"/>
          <w:sz w:val="22"/>
          <w:szCs w:val="22"/>
        </w:rPr>
        <w:t xml:space="preserve">OKR ve SMART ile net, ölçülebilir hedefler belirler</w:t>
      </w:r>
    </w:p>
    <w:p>
      <w:pPr>
        <w:pStyle w:val="ListParagraph"/>
        <w:numPr>
          <w:ilvl w:val="0"/>
          <w:numId w:val="2"/>
        </w:numPr>
        <w:spacing w:after="40" w:before="40"/>
      </w:pPr>
      <w:r>
        <w:rPr>
          <w:rFonts w:ascii="Arial" w:cs="Arial" w:eastAsia="Arial" w:hAnsi="Arial"/>
          <w:color w:val="2C2C2C"/>
          <w:sz w:val="22"/>
          <w:szCs w:val="22"/>
        </w:rPr>
        <w:t xml:space="preserve">Yapıcı ve motive edici geribildirim verir</w:t>
      </w:r>
    </w:p>
    <w:p>
      <w:pPr>
        <w:pStyle w:val="ListParagraph"/>
        <w:numPr>
          <w:ilvl w:val="0"/>
          <w:numId w:val="2"/>
        </w:numPr>
        <w:spacing w:after="40" w:before="40"/>
      </w:pPr>
      <w:r>
        <w:rPr>
          <w:rFonts w:ascii="Arial" w:cs="Arial" w:eastAsia="Arial" w:hAnsi="Arial"/>
          <w:color w:val="2C2C2C"/>
          <w:sz w:val="22"/>
          <w:szCs w:val="22"/>
        </w:rPr>
        <w:t xml:space="preserve">Performans görüşmelerini etkili biçimde yürütür</w:t>
      </w:r>
    </w:p>
    <w:p>
      <w:pPr>
        <w:pStyle w:val="ListParagraph"/>
        <w:numPr>
          <w:ilvl w:val="0"/>
          <w:numId w:val="2"/>
        </w:numPr>
        <w:spacing w:after="40" w:before="40"/>
      </w:pPr>
      <w:r>
        <w:rPr>
          <w:rFonts w:ascii="Arial" w:cs="Arial" w:eastAsia="Arial" w:hAnsi="Arial"/>
          <w:color w:val="2C2C2C"/>
          <w:sz w:val="22"/>
          <w:szCs w:val="22"/>
        </w:rPr>
        <w:t xml:space="preserve">Düşük performansı adil ve doğrudan ele alır</w:t>
      </w:r>
    </w:p>
    <w:p>
      <w:pPr>
        <w:spacing w:after="60" w:before="60"/>
      </w:pPr>
      <w:r>
        <w:t xml:space="preserve"/>
      </w:r>
    </w:p>
    <w:p>
      <w:pPr>
        <w:pStyle w:val="Heading2"/>
        <w:pBdr>
          <w:bottom w:val="single" w:color="C0D8EE" w:sz="4" w:space="4"/>
        </w:pBdr>
        <w:spacing w:after="120" w:before="320"/>
      </w:pPr>
      <w:r>
        <w:rPr>
          <w:rFonts w:ascii="Arial" w:cs="Arial" w:eastAsia="Arial" w:hAnsi="Arial"/>
          <w:b/>
          <w:bCs/>
          <w:color w:val="2E75B6"/>
          <w:sz w:val="28"/>
          <w:szCs w:val="28"/>
        </w:rPr>
        <w:t xml:space="preserve">Eğitim Formatı ve Süresi</w:t>
      </w:r>
    </w:p>
    <w:p>
      <w:pPr>
        <w:spacing w:after="80" w:before="80"/>
      </w:pPr>
      <w:r>
        <w:rPr>
          <w:rFonts w:ascii="Arial" w:cs="Arial" w:eastAsia="Arial" w:hAnsi="Arial"/>
          <w:b/>
          <w:bCs/>
          <w:color w:val="1F4E79"/>
          <w:sz w:val="22"/>
          <w:szCs w:val="22"/>
        </w:rPr>
        <w:t xml:space="preserve">Süre: </w:t>
      </w:r>
      <w:r>
        <w:rPr>
          <w:rFonts w:ascii="Arial" w:cs="Arial" w:eastAsia="Arial" w:hAnsi="Arial"/>
          <w:color w:val="2C2C2C"/>
          <w:sz w:val="22"/>
          <w:szCs w:val="22"/>
        </w:rPr>
        <w:t xml:space="preserve">1 gün (8 saat).</w:t>
      </w:r>
    </w:p>
    <w:p>
      <w:pPr>
        <w:spacing w:after="80" w:before="80"/>
      </w:pPr>
      <w:r>
        <w:rPr>
          <w:rFonts w:ascii="Arial" w:cs="Arial" w:eastAsia="Arial" w:hAnsi="Arial"/>
          <w:b/>
          <w:bCs/>
          <w:color w:val="1F4E79"/>
          <w:sz w:val="22"/>
          <w:szCs w:val="22"/>
        </w:rPr>
        <w:t xml:space="preserve">Format: </w:t>
      </w:r>
      <w:r>
        <w:rPr>
          <w:rFonts w:ascii="Arial" w:cs="Arial" w:eastAsia="Arial" w:hAnsi="Arial"/>
          <w:color w:val="2C2C2C"/>
          <w:sz w:val="22"/>
          <w:szCs w:val="22"/>
        </w:rPr>
        <w:t xml:space="preserve">Şirket içi (in-house) veya açık grup eğitimi.</w:t>
      </w:r>
    </w:p>
    <w:p>
      <w:pPr>
        <w:spacing w:after="80" w:before="80"/>
      </w:pPr>
      <w:r>
        <w:rPr>
          <w:rFonts w:ascii="Arial" w:cs="Arial" w:eastAsia="Arial" w:hAnsi="Arial"/>
          <w:b/>
          <w:bCs/>
          <w:color w:val="1F4E79"/>
          <w:sz w:val="22"/>
          <w:szCs w:val="22"/>
        </w:rPr>
        <w:t xml:space="preserve">Yöntem: </w:t>
      </w:r>
      <w:r>
        <w:rPr>
          <w:rFonts w:ascii="Arial" w:cs="Arial" w:eastAsia="Arial" w:hAnsi="Arial"/>
          <w:color w:val="2C2C2C"/>
          <w:sz w:val="22"/>
          <w:szCs w:val="22"/>
        </w:rPr>
        <w:t xml:space="preserve">Geribildirim rol yapma egzersizleri, OKR atölye çalışması, vaka analizleri, görüşme simülasyonları.</w:t>
      </w:r>
    </w:p>
    <w:p>
      <w:pPr>
        <w:spacing w:after="80" w:before="80"/>
      </w:pPr>
      <w:r>
        <w:rPr>
          <w:rFonts w:ascii="Arial" w:cs="Arial" w:eastAsia="Arial" w:hAnsi="Arial"/>
          <w:b/>
          <w:bCs/>
          <w:color w:val="1F4E79"/>
          <w:sz w:val="22"/>
          <w:szCs w:val="22"/>
        </w:rPr>
        <w:t xml:space="preserve">Katılımcı Sayısı: </w:t>
      </w:r>
      <w:r>
        <w:rPr>
          <w:rFonts w:ascii="Arial" w:cs="Arial" w:eastAsia="Arial" w:hAnsi="Arial"/>
          <w:color w:val="2C2C2C"/>
          <w:sz w:val="22"/>
          <w:szCs w:val="22"/>
        </w:rPr>
        <w:t xml:space="preserve">8–20 kişi.</w:t>
      </w:r>
    </w:p>
    <w:p>
      <w:pPr>
        <w:spacing w:after="60" w:before="60"/>
      </w:pPr>
      <w:r>
        <w:t xml:space="preserve"/>
      </w:r>
    </w:p>
    <w:p>
      <w:pPr>
        <w:pStyle w:val="Heading2"/>
        <w:pBdr>
          <w:bottom w:val="single" w:color="C0D8EE" w:sz="4" w:space="4"/>
        </w:pBdr>
        <w:spacing w:after="120" w:before="320"/>
      </w:pPr>
      <w:r>
        <w:rPr>
          <w:rFonts w:ascii="Arial" w:cs="Arial" w:eastAsia="Arial" w:hAnsi="Arial"/>
          <w:b/>
          <w:bCs/>
          <w:color w:val="2E75B6"/>
          <w:sz w:val="28"/>
          <w:szCs w:val="28"/>
        </w:rPr>
        <w:t xml:space="preserve">Sıkça Sorulan Sorular</w:t>
      </w:r>
    </w:p>
    <w:p>
      <w:pPr>
        <w:spacing w:after="80" w:before="80"/>
      </w:pPr>
      <w:r>
        <w:rPr>
          <w:rFonts w:ascii="Arial" w:cs="Arial" w:eastAsia="Arial" w:hAnsi="Arial"/>
          <w:b/>
          <w:bCs/>
          <w:color w:val="1F4E79"/>
          <w:sz w:val="22"/>
          <w:szCs w:val="22"/>
        </w:rPr>
        <w:t xml:space="preserve">OKR sistemini uygulamak isteyen kurumlar için uygun mu? </w:t>
      </w:r>
      <w:r>
        <w:rPr>
          <w:rFonts w:ascii="Arial" w:cs="Arial" w:eastAsia="Arial" w:hAnsi="Arial"/>
          <w:color w:val="2C2C2C"/>
          <w:sz w:val="22"/>
          <w:szCs w:val="22"/>
        </w:rPr>
        <w:t xml:space="preserve"/>
      </w:r>
    </w:p>
    <w:p>
      <w:pPr>
        <w:spacing w:after="120" w:before="80"/>
      </w:pPr>
      <w:r>
        <w:rPr>
          <w:rFonts w:ascii="Arial" w:cs="Arial" w:eastAsia="Arial" w:hAnsi="Arial"/>
          <w:color w:val="2C2C2C"/>
          <w:sz w:val="22"/>
          <w:szCs w:val="22"/>
        </w:rPr>
        <w:t xml:space="preserve">Evet. Eğitim; OKR'yi sıfırdan uygulamaya başlamak isteyen kurumlar için temel bir hazırlık programı olarak da kullanılabilir.</w:t>
      </w:r>
    </w:p>
    <w:p>
      <w:pPr>
        <w:spacing w:after="80" w:before="80"/>
      </w:pPr>
      <w:r>
        <w:rPr>
          <w:rFonts w:ascii="Arial" w:cs="Arial" w:eastAsia="Arial" w:hAnsi="Arial"/>
          <w:b/>
          <w:bCs/>
          <w:color w:val="1F4E79"/>
          <w:sz w:val="22"/>
          <w:szCs w:val="22"/>
        </w:rPr>
        <w:t xml:space="preserve">360 derece geribildirim sistemleriyle entegre edilebilir mi? </w:t>
      </w:r>
      <w:r>
        <w:rPr>
          <w:rFonts w:ascii="Arial" w:cs="Arial" w:eastAsia="Arial" w:hAnsi="Arial"/>
          <w:color w:val="2C2C2C"/>
          <w:sz w:val="22"/>
          <w:szCs w:val="22"/>
        </w:rPr>
        <w:t xml:space="preserve"/>
      </w:r>
    </w:p>
    <w:p>
      <w:pPr>
        <w:spacing w:after="120" w:before="80"/>
      </w:pPr>
      <w:r>
        <w:rPr>
          <w:rFonts w:ascii="Arial" w:cs="Arial" w:eastAsia="Arial" w:hAnsi="Arial"/>
          <w:color w:val="2C2C2C"/>
          <w:sz w:val="22"/>
          <w:szCs w:val="22"/>
        </w:rPr>
        <w:t xml:space="preserve">Evet. Eğitim içeriği, kurumunuzda kullandığınız performans yönetim sistemiyle uyumlu biçimde uyarlanabilir.</w:t>
      </w:r>
    </w:p>
    <w:p>
      <w:pPr>
        <w:pBdr>
          <w:bottom w:val="single" w:color="D0D0D0" w:sz="2" w:space="1"/>
        </w:pBdr>
        <w:spacing w:after="160" w:before="160"/>
      </w:pPr>
      <w:r>
        <w:t xml:space="preserve"/>
      </w:r>
    </w:p>
    <w:p>
      <w:pPr>
        <w:pStyle w:val="Heading2"/>
        <w:pBdr>
          <w:bottom w:val="single" w:color="C0D8EE" w:sz="4" w:space="4"/>
        </w:pBdr>
        <w:spacing w:after="120" w:before="320"/>
      </w:pPr>
      <w:r>
        <w:rPr>
          <w:rFonts w:ascii="Arial" w:cs="Arial" w:eastAsia="Arial" w:hAnsi="Arial"/>
          <w:b/>
          <w:bCs/>
          <w:color w:val="2E75B6"/>
          <w:sz w:val="28"/>
          <w:szCs w:val="28"/>
        </w:rPr>
        <w:t xml:space="preserve">Kurumunuz İçin Teklif Alın</w:t>
      </w:r>
    </w:p>
    <w:p>
      <w:pPr>
        <w:spacing w:after="120" w:before="80"/>
      </w:pPr>
      <w:r>
        <w:rPr>
          <w:rFonts w:ascii="Arial" w:cs="Arial" w:eastAsia="Arial" w:hAnsi="Arial"/>
          <w:color w:val="2C2C2C"/>
          <w:sz w:val="22"/>
          <w:szCs w:val="22"/>
        </w:rPr>
        <w:t xml:space="preserve">Performans Yönetimi ve Geribildirim Eğitimi için kurumunuza özel program planlamak amacıyla bizimle iletişime geçin.</w:t>
      </w:r>
    </w:p>
    <w:p>
      <w:pPr>
        <w:spacing w:after="60" w:before="60"/>
      </w:pPr>
      <w:r>
        <w:t xml:space="preserve"/>
      </w:r>
    </w:p>
    <w:p>
      <w:pPr>
        <w:spacing w:after="80" w:before="160"/>
      </w:pPr>
      <w:r>
        <w:rPr>
          <w:rFonts w:ascii="Arial" w:cs="Arial" w:eastAsia="Arial" w:hAnsi="Arial"/>
          <w:b/>
          <w:bCs/>
          <w:color w:val="2E75B6"/>
          <w:sz w:val="24"/>
          <w:szCs w:val="24"/>
        </w:rPr>
        <w:t xml:space="preserve">[ Teklif Talep Et ]     [ İletişime Geç ]</w:t>
      </w:r>
    </w:p>
    <w:p>
      <w:pPr>
        <w:spacing w:after="60" w:before="60"/>
      </w:pPr>
      <w:r>
        <w:t xml:space="preserve"/>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20"/>
    </w:pPr>
    <w:r>
      <w:rPr>
        <w:rFonts w:ascii="Arial" w:cs="Arial" w:eastAsia="Arial" w:hAnsi="Arial"/>
        <w:color w:val="888888"/>
        <w:sz w:val="18"/>
        <w:szCs w:val="18"/>
      </w:rPr>
      <w:t xml:space="preserve">Sayfa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color w:val="888888"/>
        <w:sz w:val="18"/>
        <w:szCs w:val="18"/>
      </w:rPr>
      <w:t xml:space="preserve">Performans Yönetimi ve Geribildirim — SEO Sayfa Metni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2026-05-06T14:34:36.694Z</dcterms:created>
  <dcterms:modified xsi:type="dcterms:W3CDTF">2026-05-06T14:34:36.694Z</dcterms:modified>
</cp:coreProperties>
</file>

<file path=docProps/custom.xml><?xml version="1.0" encoding="utf-8"?>
<Properties xmlns="http://schemas.openxmlformats.org/officeDocument/2006/custom-properties" xmlns:vt="http://schemas.openxmlformats.org/officeDocument/2006/docPropsVTypes"/>
</file>