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721312">
      <w:pPr>
        <w:pStyle w:val="4"/>
        <w:rPr>
          <w:sz w:val="36"/>
        </w:rPr>
      </w:pPr>
    </w:p>
    <w:p w14:paraId="03923815">
      <w:pPr>
        <w:pStyle w:val="4"/>
        <w:rPr>
          <w:sz w:val="36"/>
        </w:rPr>
      </w:pPr>
    </w:p>
    <w:p w14:paraId="09F14023">
      <w:pPr>
        <w:pStyle w:val="4"/>
        <w:rPr>
          <w:sz w:val="36"/>
        </w:rPr>
      </w:pPr>
    </w:p>
    <w:p w14:paraId="7420BCD5">
      <w:pPr>
        <w:pStyle w:val="4"/>
        <w:spacing w:before="371"/>
        <w:rPr>
          <w:sz w:val="36"/>
        </w:rPr>
      </w:pPr>
    </w:p>
    <w:p w14:paraId="7DBE39EE">
      <w:pPr>
        <w:pStyle w:val="5"/>
      </w:pPr>
      <w:r>
        <w:t>C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R</w:t>
      </w:r>
      <w:r>
        <w:rPr>
          <w:spacing w:val="-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F</w:t>
      </w:r>
      <w:r>
        <w:rPr>
          <w:spacing w:val="-14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C</w:t>
      </w:r>
      <w:r>
        <w:rPr>
          <w:spacing w:val="-21"/>
        </w:rPr>
        <w:t xml:space="preserve"> </w:t>
      </w:r>
      <w:r>
        <w:t>A</w:t>
      </w:r>
      <w:r>
        <w:rPr>
          <w:spacing w:val="-27"/>
        </w:rPr>
        <w:t xml:space="preserve"> </w:t>
      </w:r>
      <w:r>
        <w:t>T</w:t>
      </w:r>
      <w:r>
        <w:rPr>
          <w:spacing w:val="-9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O</w:t>
      </w:r>
      <w:r>
        <w:rPr>
          <w:spacing w:val="1"/>
        </w:rPr>
        <w:t xml:space="preserve"> </w:t>
      </w:r>
      <w:r>
        <w:rPr>
          <w:spacing w:val="-10"/>
        </w:rPr>
        <w:t>N</w:t>
      </w:r>
    </w:p>
    <w:p w14:paraId="3820561E">
      <w:pPr>
        <w:pStyle w:val="4"/>
        <w:spacing w:before="52"/>
        <w:rPr>
          <w:b/>
          <w:sz w:val="36"/>
        </w:rPr>
      </w:pPr>
    </w:p>
    <w:p w14:paraId="02F0DFFC">
      <w:pPr>
        <w:spacing w:before="1"/>
        <w:ind w:left="2157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1103BC21">
      <w:pPr>
        <w:pStyle w:val="4"/>
        <w:spacing w:before="159"/>
        <w:rPr>
          <w:b/>
          <w:sz w:val="26"/>
        </w:rPr>
      </w:pPr>
    </w:p>
    <w:p w14:paraId="56D4B161">
      <w:pPr>
        <w:spacing w:before="0" w:line="249" w:lineRule="auto"/>
        <w:ind w:left="2157" w:right="137" w:firstLine="360"/>
        <w:jc w:val="both"/>
        <w:rPr>
          <w:b/>
          <w:sz w:val="24"/>
        </w:rPr>
      </w:pPr>
      <w:r>
        <w:rPr>
          <w:sz w:val="24"/>
        </w:rPr>
        <w:t>This is to certify that we interposed no objection to the liquor permit application of</w:t>
      </w:r>
      <w:r>
        <w:rPr>
          <w:spacing w:val="40"/>
          <w:sz w:val="24"/>
        </w:rPr>
        <w:t xml:space="preserve"> </w:t>
      </w:r>
      <w:r>
        <w:rPr>
          <w:rFonts w:hint="default"/>
          <w:b/>
          <w:sz w:val="24"/>
          <w:lang w:val="en-US"/>
        </w:rPr>
        <w:t>{full_name}</w:t>
      </w:r>
      <w:r>
        <w:rPr>
          <w:sz w:val="24"/>
        </w:rPr>
        <w:t xml:space="preserve">, owner of </w:t>
      </w:r>
      <w:r>
        <w:rPr>
          <w:b/>
          <w:sz w:val="24"/>
        </w:rPr>
        <w:t>BUDOY'S STORE</w:t>
      </w:r>
      <w:r>
        <w:rPr>
          <w:sz w:val="24"/>
        </w:rPr>
        <w:t>, located at 40 8A CENACLE DRIVE, CULIAT QC, as long as there is no violation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Quezon City Ordinance No. NC-85, S-89.</w:t>
      </w:r>
      <w:bookmarkStart w:id="0" w:name="_GoBack"/>
      <w:bookmarkEnd w:id="0"/>
    </w:p>
    <w:p w14:paraId="4F02B735">
      <w:pPr>
        <w:pStyle w:val="4"/>
        <w:spacing w:before="7"/>
        <w:rPr>
          <w:b/>
        </w:rPr>
      </w:pPr>
    </w:p>
    <w:p w14:paraId="5C91D04A">
      <w:pPr>
        <w:pStyle w:val="4"/>
        <w:ind w:left="2157"/>
      </w:pPr>
      <w:r>
        <w:t>This</w:t>
      </w:r>
      <w:r>
        <w:rPr>
          <w:spacing w:val="-8"/>
        </w:rPr>
        <w:t xml:space="preserve"> </w:t>
      </w:r>
      <w:r>
        <w:t>further</w:t>
      </w:r>
      <w:r>
        <w:rPr>
          <w:spacing w:val="-10"/>
        </w:rPr>
        <w:t xml:space="preserve"> </w:t>
      </w:r>
      <w:r>
        <w:t>certify</w:t>
      </w:r>
      <w:r>
        <w:rPr>
          <w:spacing w:val="-14"/>
        </w:rPr>
        <w:t xml:space="preserve"> </w:t>
      </w:r>
      <w:r>
        <w:rPr>
          <w:spacing w:val="-4"/>
        </w:rPr>
        <w:t>that:</w:t>
      </w:r>
    </w:p>
    <w:p w14:paraId="6CD33248">
      <w:pPr>
        <w:pStyle w:val="4"/>
        <w:spacing w:before="98"/>
      </w:pPr>
    </w:p>
    <w:p w14:paraId="76FFBF46">
      <w:pPr>
        <w:pStyle w:val="7"/>
        <w:numPr>
          <w:ilvl w:val="0"/>
          <w:numId w:val="1"/>
        </w:numPr>
        <w:tabs>
          <w:tab w:val="left" w:pos="2741"/>
        </w:tabs>
        <w:spacing w:before="0" w:after="0" w:line="247" w:lineRule="auto"/>
        <w:ind w:left="2517" w:right="169" w:firstLine="0"/>
        <w:jc w:val="left"/>
        <w:rPr>
          <w:rFonts w:ascii="Arial MT"/>
          <w:sz w:val="20"/>
        </w:rPr>
      </w:pPr>
      <w:r>
        <w:rPr>
          <w:sz w:val="24"/>
        </w:rPr>
        <w:t>This</w:t>
      </w:r>
      <w:r>
        <w:rPr>
          <w:spacing w:val="-12"/>
          <w:sz w:val="24"/>
        </w:rPr>
        <w:t xml:space="preserve"> </w:t>
      </w:r>
      <w:r>
        <w:rPr>
          <w:sz w:val="24"/>
        </w:rPr>
        <w:t>business</w:t>
      </w:r>
      <w:r>
        <w:rPr>
          <w:spacing w:val="-1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6"/>
          <w:sz w:val="24"/>
        </w:rPr>
        <w:t xml:space="preserve"> </w:t>
      </w:r>
      <w:r>
        <w:rPr>
          <w:sz w:val="24"/>
        </w:rPr>
        <w:t>50</w:t>
      </w:r>
      <w:r>
        <w:rPr>
          <w:spacing w:val="-3"/>
          <w:sz w:val="24"/>
        </w:rPr>
        <w:t xml:space="preserve"> </w:t>
      </w:r>
      <w:r>
        <w:rPr>
          <w:sz w:val="24"/>
        </w:rPr>
        <w:t>meters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any</w:t>
      </w:r>
      <w:r>
        <w:rPr>
          <w:spacing w:val="-10"/>
          <w:sz w:val="24"/>
        </w:rPr>
        <w:t xml:space="preserve"> </w:t>
      </w:r>
      <w:r>
        <w:rPr>
          <w:sz w:val="24"/>
        </w:rPr>
        <w:t>academic school. (Sec. 15 Ord. 85)</w:t>
      </w:r>
    </w:p>
    <w:p w14:paraId="7504FADA">
      <w:pPr>
        <w:pStyle w:val="7"/>
        <w:numPr>
          <w:ilvl w:val="0"/>
          <w:numId w:val="1"/>
        </w:numPr>
        <w:tabs>
          <w:tab w:val="left" w:pos="2763"/>
        </w:tabs>
        <w:spacing w:before="229" w:after="0" w:line="247" w:lineRule="auto"/>
        <w:ind w:left="2517" w:right="165" w:firstLine="0"/>
        <w:jc w:val="left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business</w:t>
      </w:r>
      <w:r>
        <w:rPr>
          <w:spacing w:val="-5"/>
          <w:sz w:val="24"/>
        </w:rPr>
        <w:t xml:space="preserve"> </w:t>
      </w:r>
      <w:r>
        <w:rPr>
          <w:sz w:val="24"/>
        </w:rPr>
        <w:t>establishment is</w:t>
      </w:r>
      <w:r>
        <w:rPr>
          <w:spacing w:val="-7"/>
          <w:sz w:val="24"/>
        </w:rPr>
        <w:t xml:space="preserve"> </w:t>
      </w:r>
      <w:r>
        <w:rPr>
          <w:sz w:val="24"/>
        </w:rPr>
        <w:t>not erected on a public</w:t>
      </w:r>
      <w:r>
        <w:rPr>
          <w:spacing w:val="-4"/>
          <w:sz w:val="24"/>
        </w:rPr>
        <w:t xml:space="preserve"> </w:t>
      </w:r>
      <w:r>
        <w:rPr>
          <w:sz w:val="24"/>
        </w:rPr>
        <w:t>sidewalk, street, park or plaza in a government property.(Sec.17, Ord. 85)</w:t>
      </w:r>
    </w:p>
    <w:p w14:paraId="7749CE5D">
      <w:pPr>
        <w:pStyle w:val="4"/>
        <w:spacing w:before="7"/>
      </w:pPr>
    </w:p>
    <w:p w14:paraId="4E34A67C">
      <w:pPr>
        <w:pStyle w:val="7"/>
        <w:numPr>
          <w:ilvl w:val="0"/>
          <w:numId w:val="1"/>
        </w:numPr>
        <w:tabs>
          <w:tab w:val="left" w:pos="2806"/>
        </w:tabs>
        <w:spacing w:before="0" w:after="0" w:line="247" w:lineRule="auto"/>
        <w:ind w:left="2517" w:right="181" w:firstLine="0"/>
        <w:jc w:val="left"/>
        <w:rPr>
          <w:sz w:val="24"/>
        </w:rPr>
      </w:pPr>
      <w:r>
        <w:rPr>
          <w:sz w:val="24"/>
        </w:rPr>
        <w:t>This</w:t>
      </w:r>
      <w:r>
        <w:rPr>
          <w:spacing w:val="38"/>
          <w:sz w:val="24"/>
        </w:rPr>
        <w:t xml:space="preserve"> </w:t>
      </w:r>
      <w:r>
        <w:rPr>
          <w:sz w:val="24"/>
        </w:rPr>
        <w:t>business</w:t>
      </w:r>
      <w:r>
        <w:rPr>
          <w:spacing w:val="40"/>
          <w:sz w:val="24"/>
        </w:rPr>
        <w:t xml:space="preserve"> </w:t>
      </w:r>
      <w:r>
        <w:rPr>
          <w:sz w:val="24"/>
        </w:rPr>
        <w:t>establishment</w:t>
      </w:r>
      <w:r>
        <w:rPr>
          <w:spacing w:val="40"/>
          <w:sz w:val="24"/>
        </w:rPr>
        <w:t xml:space="preserve"> </w:t>
      </w:r>
      <w:r>
        <w:rPr>
          <w:sz w:val="24"/>
        </w:rPr>
        <w:t>is</w:t>
      </w:r>
      <w:r>
        <w:rPr>
          <w:spacing w:val="35"/>
          <w:sz w:val="24"/>
        </w:rPr>
        <w:t xml:space="preserve"> </w:t>
      </w:r>
      <w:r>
        <w:rPr>
          <w:sz w:val="24"/>
        </w:rPr>
        <w:t>not</w:t>
      </w:r>
      <w:r>
        <w:rPr>
          <w:spacing w:val="40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nuisance</w:t>
      </w:r>
      <w:r>
        <w:rPr>
          <w:spacing w:val="40"/>
          <w:sz w:val="24"/>
        </w:rPr>
        <w:t xml:space="preserve"> </w:t>
      </w:r>
      <w:r>
        <w:rPr>
          <w:sz w:val="24"/>
        </w:rPr>
        <w:t>to</w:t>
      </w:r>
      <w:r>
        <w:rPr>
          <w:spacing w:val="38"/>
          <w:sz w:val="24"/>
        </w:rPr>
        <w:t xml:space="preserve"> </w:t>
      </w:r>
      <w:r>
        <w:rPr>
          <w:sz w:val="24"/>
        </w:rPr>
        <w:t>public</w:t>
      </w:r>
      <w:r>
        <w:rPr>
          <w:spacing w:val="39"/>
          <w:sz w:val="24"/>
        </w:rPr>
        <w:t xml:space="preserve"> </w:t>
      </w:r>
      <w:r>
        <w:rPr>
          <w:sz w:val="24"/>
        </w:rPr>
        <w:t>safety</w:t>
      </w:r>
      <w:r>
        <w:rPr>
          <w:spacing w:val="3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order.</w:t>
      </w:r>
    </w:p>
    <w:p w14:paraId="3A6CAF8A">
      <w:pPr>
        <w:pStyle w:val="4"/>
        <w:spacing w:before="111"/>
      </w:pPr>
    </w:p>
    <w:p w14:paraId="59DCD176">
      <w:pPr>
        <w:tabs>
          <w:tab w:val="left" w:pos="4946"/>
        </w:tabs>
        <w:spacing w:before="0" w:line="247" w:lineRule="auto"/>
        <w:ind w:left="2157" w:right="168" w:firstLine="304"/>
        <w:jc w:val="left"/>
        <w:rPr>
          <w:sz w:val="24"/>
        </w:rPr>
      </w:pPr>
      <w:r>
        <w:rPr>
          <w:sz w:val="24"/>
        </w:rPr>
        <w:t>Given</w:t>
      </w:r>
      <w:r>
        <w:rPr>
          <w:spacing w:val="40"/>
          <w:sz w:val="24"/>
        </w:rPr>
        <w:t xml:space="preserve"> </w:t>
      </w:r>
      <w:r>
        <w:rPr>
          <w:sz w:val="24"/>
        </w:rPr>
        <w:t>this</w:t>
      </w:r>
      <w:r>
        <w:rPr>
          <w:spacing w:val="40"/>
          <w:sz w:val="24"/>
        </w:rPr>
        <w:t xml:space="preserve"> </w:t>
      </w:r>
      <w:r>
        <w:rPr>
          <w:rFonts w:hint="default"/>
          <w:b/>
          <w:sz w:val="24"/>
          <w:lang w:val="en-US"/>
        </w:rPr>
        <w:t>{issue_date}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at</w:t>
      </w:r>
      <w:r>
        <w:rPr>
          <w:spacing w:val="38"/>
          <w:sz w:val="24"/>
        </w:rPr>
        <w:t xml:space="preserve"> </w:t>
      </w:r>
      <w:r>
        <w:rPr>
          <w:sz w:val="24"/>
        </w:rPr>
        <w:t>Barangay</w:t>
      </w:r>
      <w:r>
        <w:rPr>
          <w:spacing w:val="27"/>
          <w:sz w:val="24"/>
        </w:rPr>
        <w:t xml:space="preserve"> </w:t>
      </w:r>
      <w:r>
        <w:rPr>
          <w:sz w:val="24"/>
        </w:rPr>
        <w:t>Culiat,</w:t>
      </w:r>
      <w:r>
        <w:rPr>
          <w:spacing w:val="38"/>
          <w:sz w:val="24"/>
        </w:rPr>
        <w:t xml:space="preserve"> </w:t>
      </w:r>
      <w:r>
        <w:rPr>
          <w:sz w:val="24"/>
        </w:rPr>
        <w:t>District</w:t>
      </w:r>
      <w:r>
        <w:rPr>
          <w:spacing w:val="38"/>
          <w:sz w:val="24"/>
        </w:rPr>
        <w:t xml:space="preserve"> </w:t>
      </w:r>
      <w:r>
        <w:rPr>
          <w:sz w:val="24"/>
        </w:rPr>
        <w:t>VI, Quezon City.</w:t>
      </w:r>
    </w:p>
    <w:sectPr>
      <w:type w:val="continuous"/>
      <w:pgSz w:w="12240" w:h="15840"/>
      <w:pgMar w:top="1820" w:right="720" w:bottom="28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517" w:hanging="226"/>
        <w:jc w:val="left"/>
      </w:pPr>
      <w:rPr>
        <w:rFonts w:hint="default"/>
        <w:spacing w:val="-1"/>
        <w:w w:val="99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3240" w:hanging="226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3960" w:hanging="226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680" w:hanging="226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400" w:hanging="226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6120" w:hanging="226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840" w:hanging="226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60" w:hanging="226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280" w:hanging="22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55A64A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5">
    <w:name w:val="Title"/>
    <w:basedOn w:val="1"/>
    <w:qFormat/>
    <w:uiPriority w:val="1"/>
    <w:pPr>
      <w:ind w:left="3859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pPr>
      <w:ind w:left="2517" w:right="165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0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2025-12-07T12:19:00Z</dcterms:created>
  <dc:creator>chuchi</dc:creator>
  <cp:lastModifiedBy>chuchi</cp:lastModifiedBy>
  <dcterms:modified xsi:type="dcterms:W3CDTF">2025-12-08T07:50:39Z</dcterms:modified>
  <dc:title>Crystal Reports - temp_20db22c6-543a-48da-8876-7cc045566789.rpt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978083BACCDF4BB0A0418517F9F2219A_12</vt:lpwstr>
  </property>
</Properties>
</file>