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FC55D">
      <w:pPr>
        <w:pStyle w:val="14"/>
        <w:outlineLvl w:val="0"/>
      </w:pPr>
      <w:r>
        <w:rPr>
          <w:rFonts w:hint="eastAsia"/>
        </w:rPr>
        <w:t>跨所套利运营</w:t>
      </w:r>
    </w:p>
    <w:p w14:paraId="13DD88B4"/>
    <w:p w14:paraId="63113C87">
      <w:pPr>
        <w:pStyle w:val="35"/>
        <w:numPr>
          <w:ilvl w:val="0"/>
          <w:numId w:val="3"/>
        </w:numPr>
      </w:pPr>
      <w:r>
        <w:rPr>
          <w:rFonts w:hint="eastAsia"/>
          <w:b/>
          <w:bCs/>
          <w:sz w:val="28"/>
          <w:szCs w:val="28"/>
        </w:rPr>
        <w:t>CEX-DEX套利原理：</w:t>
      </w:r>
      <w:r>
        <w:rPr>
          <w:b/>
          <w:bCs/>
          <w:sz w:val="28"/>
          <w:szCs w:val="28"/>
        </w:rPr>
        <w:br w:type="textWrapping"/>
      </w:r>
      <w:r>
        <w:rPr>
          <w:rFonts w:hint="eastAsia"/>
        </w:rPr>
        <w:t>由于CEX和DEX存在价差，当前策略以CEX作为价格标的，在DEX上执行价差交易。价差越大利润越高。</w:t>
      </w:r>
      <w:r>
        <w:rPr>
          <w:rFonts w:hint="eastAsia"/>
        </w:rPr>
        <w:br w:type="textWrapping"/>
      </w:r>
      <w:commentRangeStart w:id="0"/>
      <w:r>
        <w:rPr>
          <w:rFonts w:hint="eastAsia"/>
        </w:rPr>
        <w:t>买：CEX价格高于DEX，在DEX上执行买入。</w:t>
      </w:r>
      <w:r>
        <w:br w:type="textWrapping"/>
      </w:r>
      <w:r>
        <w:rPr>
          <w:rFonts w:hint="eastAsia"/>
        </w:rPr>
        <w:t>卖：CEX价格低于DEX，在DEX上执行卖出。</w:t>
      </w:r>
      <w:commentRangeEnd w:id="0"/>
      <w:r>
        <w:commentReference w:id="0"/>
      </w:r>
      <w:r>
        <w:br w:type="textWrapping"/>
      </w:r>
    </w:p>
    <w:p w14:paraId="498B71A6">
      <w:pPr>
        <w:pStyle w:val="35"/>
        <w:numPr>
          <w:ilvl w:val="0"/>
          <w:numId w:val="3"/>
        </w:numPr>
      </w:pPr>
      <w:r>
        <w:rPr>
          <w:rFonts w:hint="eastAsia"/>
          <w:b/>
          <w:bCs/>
          <w:sz w:val="28"/>
          <w:szCs w:val="28"/>
        </w:rPr>
        <w:t>策略指标：</w:t>
      </w:r>
      <w:r>
        <w:rPr>
          <w:b/>
          <w:bCs/>
          <w:sz w:val="28"/>
          <w:szCs w:val="28"/>
        </w:rPr>
        <w:br w:type="textWrapping"/>
      </w:r>
      <w:r>
        <w:rPr>
          <w:rFonts w:hint="eastAsia"/>
          <w:color w:val="EE0000"/>
        </w:rPr>
        <w:t>价格波动：</w:t>
      </w:r>
      <w:r>
        <w:rPr>
          <w:rFonts w:hint="eastAsia"/>
        </w:rPr>
        <w:t>一定时间内的价格变化，在日常工作中需要同时观察cex和dex的价格波动，理想状态下，双边的价格应该具有交互性，这样策略才能正常执行交易。如果发现价格</w:t>
      </w:r>
      <w:r>
        <w:rPr>
          <w:rFonts w:hint="eastAsia"/>
          <w:color w:val="E97132" w:themeColor="accent2"/>
          <w14:textFill>
            <w14:solidFill>
              <w14:schemeClr w14:val="accent2"/>
            </w14:solidFill>
          </w14:textFill>
        </w:rPr>
        <w:t>长时间不交互，则为价格脱钩。此时应该及时关闭交易</w:t>
      </w:r>
      <w:r>
        <w:rPr>
          <w:rFonts w:hint="eastAsia"/>
        </w:rPr>
        <w:t>，且保持观察，待价格重新交互时开启交易。</w:t>
      </w:r>
      <w:commentRangeStart w:id="1"/>
      <w:r>
        <w:rPr>
          <w:rFonts w:hint="eastAsia"/>
        </w:rPr>
        <w:t>根据我们的买卖规则，当cex价格长时间保持高于dex时，策略只执行买单直到满仓。此时应及时手动卖币并关闭交易。否则当出现下跌时不执行卖出则会带来损失。</w:t>
      </w:r>
      <w:r>
        <w:br w:type="textWrapping"/>
      </w:r>
      <w:commentRangeEnd w:id="1"/>
      <w:r>
        <w:commentReference w:id="1"/>
      </w:r>
      <w:r>
        <w:br w:type="textWrapping"/>
      </w:r>
      <w:r>
        <w:rPr>
          <w:rFonts w:hint="eastAsia"/>
          <w:color w:val="EE0000"/>
        </w:rPr>
        <w:t>成交量：</w:t>
      </w:r>
      <w:commentRangeStart w:id="2"/>
      <w:r>
        <w:rPr>
          <w:rFonts w:hint="eastAsia"/>
        </w:rPr>
        <w:t>在cex端，以每小时成交量最大的cex作为价格标的。在dex端，成交量则体现为参与者数量，</w:t>
      </w:r>
      <w:commentRangeEnd w:id="2"/>
      <w:r>
        <w:commentReference w:id="2"/>
      </w:r>
      <w:r>
        <w:rPr>
          <w:rFonts w:hint="eastAsia"/>
        </w:rPr>
        <w:t>当成交量过低时说明参与者较少，无法套利普通用户交易带来的价格波动，此时应该关闭此token。理想状态下应该是cex和dex成交量较为接近，或cex略大于dex端。当cex成交量较小，dex成交量巨大时，根据双边价格波动进行对比。此时应该保持谨慎以较小持仓进行交易。</w:t>
      </w:r>
      <w:r>
        <w:br w:type="textWrapping"/>
      </w:r>
      <w:r>
        <w:br w:type="textWrapping"/>
      </w:r>
      <w:r>
        <w:rPr>
          <w:rFonts w:hint="eastAsia"/>
          <w:color w:val="EE0000"/>
        </w:rPr>
        <w:t>流动性：</w:t>
      </w:r>
      <w:r>
        <w:t>流动性是这三个指标中对于执行层面最为关键的一个。它指的是在不显著影响资产价格的情况下，资产可以被买卖的难易程度。在 DEX 中，它通常指流动性池（Liquidity Pool）中锁定的资金规模。滑点的决定因素 (Slippage):这是流动性的核心作用！ 滑点是指你的预期成交价与实际成交价之间的差异。低流动性 = 高滑点: 如果一个资金池很浅（比如只有 5 万美元），你想用 1 万美元买入，你的这笔买单本身就会把价格推高很多。可能你看到的价格是 $1.0，但等你买完，平均成交价变成了 $1.05，这 5% 就是你的交易成本，它会直接吃掉你的利润。高流动性 = 低滑点: 如果资金池有数百万美元，你 1 万美元的交易对价格的影响微乎其微，你能以接近你看到的价格成交，从而保障你的预期利润。</w:t>
      </w:r>
    </w:p>
    <w:p w14:paraId="1D9F3A36">
      <w:pPr>
        <w:pStyle w:val="35"/>
        <w:ind w:left="425"/>
        <w:rPr>
          <w:b/>
          <w:bCs/>
        </w:rPr>
      </w:pPr>
    </w:p>
    <w:p w14:paraId="2E989DD1">
      <w:pPr>
        <w:pStyle w:val="35"/>
        <w:ind w:left="425"/>
        <w:rPr>
          <w:b/>
          <w:bCs/>
        </w:rPr>
      </w:pPr>
    </w:p>
    <w:p w14:paraId="3456BFF9">
      <w:pPr>
        <w:pStyle w:val="35"/>
        <w:ind w:left="425"/>
        <w:rPr>
          <w:b/>
          <w:bCs/>
        </w:rPr>
      </w:pPr>
    </w:p>
    <w:p w14:paraId="1594B0D4">
      <w:pPr>
        <w:pStyle w:val="35"/>
        <w:numPr>
          <w:ilvl w:val="0"/>
          <w:numId w:val="3"/>
        </w:numPr>
        <w:outlineLvl w:val="0"/>
        <w:rPr>
          <w:sz w:val="28"/>
          <w:szCs w:val="28"/>
        </w:rPr>
      </w:pPr>
      <w:commentRangeStart w:id="3"/>
      <w:r>
        <w:rPr>
          <w:rFonts w:hint="eastAsia"/>
          <w:b/>
          <w:bCs/>
          <w:sz w:val="28"/>
          <w:szCs w:val="28"/>
        </w:rPr>
        <w:t>日常工作内容：</w:t>
      </w:r>
      <w:commentRangeEnd w:id="3"/>
      <w:r>
        <w:commentReference w:id="3"/>
      </w:r>
    </w:p>
    <w:p w14:paraId="1CBFCF11">
      <w:pPr>
        <w:pStyle w:val="35"/>
        <w:numPr>
          <w:ilvl w:val="1"/>
          <w:numId w:val="3"/>
        </w:numPr>
        <w:outlineLvl w:val="1"/>
        <w:rPr>
          <w:b/>
          <w:bCs/>
        </w:rPr>
      </w:pPr>
      <w:r>
        <w:rPr>
          <w:rFonts w:hint="eastAsia"/>
          <w:b/>
          <w:bCs/>
        </w:rPr>
        <w:t>现有白名单维护：</w:t>
      </w:r>
    </w:p>
    <w:p w14:paraId="62E47AFA">
      <w:pPr>
        <w:rPr>
          <w:color w:val="EE0000"/>
        </w:rPr>
      </w:pPr>
      <w:r>
        <w:rPr>
          <w:rFonts w:hint="eastAsia"/>
          <w:b/>
          <w:bCs/>
          <w:color w:val="EE0000"/>
        </w:rPr>
        <w:t xml:space="preserve">稳定币：BNB，USDT，USDC，USD1 </w:t>
      </w:r>
      <w:r>
        <w:rPr>
          <w:rFonts w:hint="eastAsia"/>
          <w:b/>
          <w:bCs/>
          <w:color w:val="EE0000"/>
          <w:lang w:eastAsia="zh-CN"/>
        </w:rPr>
        <w:t>，</w:t>
      </w:r>
      <w:r>
        <w:rPr>
          <w:rFonts w:hint="default"/>
          <w:b/>
          <w:bCs/>
          <w:color w:val="EE0000"/>
          <w:lang w:val="en-US" w:eastAsia="zh-CN"/>
        </w:rPr>
        <w:t>BUSD</w:t>
      </w:r>
      <w:r>
        <w:rPr>
          <w:rFonts w:hint="eastAsia"/>
          <w:b/>
          <w:bCs/>
          <w:color w:val="EE0000"/>
        </w:rPr>
        <w:t>不能关闭。</w:t>
      </w:r>
    </w:p>
    <w:p w14:paraId="51BEA810">
      <w:r>
        <w:rPr>
          <w:rFonts w:hint="eastAsia"/>
        </w:rPr>
        <w:t>持仓配置参考V3</w:t>
      </w:r>
    </w:p>
    <w:tbl>
      <w:tblPr>
        <w:tblStyle w:val="16"/>
        <w:tblW w:w="95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381"/>
        <w:gridCol w:w="1475"/>
        <w:gridCol w:w="1441"/>
        <w:gridCol w:w="2287"/>
      </w:tblGrid>
      <w:tr w14:paraId="3BC25178">
        <w:trPr>
          <w:trHeight w:val="492" w:hRule="atLeast"/>
        </w:trPr>
        <w:tc>
          <w:tcPr>
            <w:tcW w:w="1928" w:type="dxa"/>
          </w:tcPr>
          <w:p w14:paraId="41A2FABA">
            <w:pPr>
              <w:spacing w:after="0" w:line="240" w:lineRule="auto"/>
              <w:rPr>
                <w:kern w:val="0"/>
                <w:sz w:val="21"/>
                <w:szCs w:val="21"/>
                <w14:ligatures w14:val="none"/>
              </w:rPr>
            </w:pPr>
            <w:r>
              <w:rPr>
                <w:rFonts w:hint="eastAsia"/>
                <w:kern w:val="0"/>
                <w:sz w:val="21"/>
                <w:szCs w:val="21"/>
                <w14:ligatures w14:val="none"/>
              </w:rPr>
              <w:t>最大稳定币库存</w:t>
            </w:r>
          </w:p>
        </w:tc>
        <w:tc>
          <w:tcPr>
            <w:tcW w:w="2381" w:type="dxa"/>
          </w:tcPr>
          <w:p w14:paraId="24797CCD">
            <w:pPr>
              <w:spacing w:after="0" w:line="240" w:lineRule="auto"/>
              <w:rPr>
                <w:kern w:val="0"/>
                <w:sz w:val="21"/>
                <w:szCs w:val="21"/>
                <w14:ligatures w14:val="none"/>
              </w:rPr>
            </w:pPr>
            <w:r>
              <w:rPr>
                <w:rFonts w:hint="eastAsia"/>
                <w:kern w:val="0"/>
                <w:sz w:val="21"/>
                <w:szCs w:val="21"/>
                <w14:ligatures w14:val="none"/>
              </w:rPr>
              <w:t>最大持仓比例</w:t>
            </w:r>
          </w:p>
          <w:p w14:paraId="63B58608">
            <w:pPr>
              <w:spacing w:after="0" w:line="240" w:lineRule="auto"/>
              <w:rPr>
                <w:kern w:val="0"/>
                <w:sz w:val="21"/>
                <w:szCs w:val="21"/>
                <w14:ligatures w14:val="none"/>
              </w:rPr>
            </w:pPr>
            <w:r>
              <w:rPr>
                <w:rFonts w:hint="eastAsia"/>
                <w:kern w:val="0"/>
                <w:sz w:val="21"/>
                <w:szCs w:val="21"/>
                <w14:ligatures w14:val="none"/>
              </w:rPr>
              <w:t>(万分比)</w:t>
            </w:r>
          </w:p>
        </w:tc>
        <w:tc>
          <w:tcPr>
            <w:tcW w:w="1475" w:type="dxa"/>
          </w:tcPr>
          <w:p w14:paraId="7C0983CB">
            <w:pPr>
              <w:spacing w:after="0" w:line="240" w:lineRule="auto"/>
              <w:jc w:val="center"/>
              <w:rPr>
                <w:kern w:val="0"/>
                <w:sz w:val="21"/>
                <w:szCs w:val="21"/>
                <w14:ligatures w14:val="none"/>
              </w:rPr>
            </w:pPr>
            <w:r>
              <w:rPr>
                <w:rFonts w:hint="eastAsia"/>
                <w:kern w:val="0"/>
                <w:sz w:val="21"/>
                <w:szCs w:val="21"/>
                <w14:ligatures w14:val="none"/>
              </w:rPr>
              <w:t>虚拟持仓（万分比）</w:t>
            </w:r>
          </w:p>
        </w:tc>
        <w:tc>
          <w:tcPr>
            <w:tcW w:w="1441" w:type="dxa"/>
          </w:tcPr>
          <w:p w14:paraId="45E3DEA3">
            <w:pPr>
              <w:spacing w:after="0" w:line="240" w:lineRule="auto"/>
              <w:jc w:val="center"/>
              <w:rPr>
                <w:kern w:val="0"/>
                <w:sz w:val="21"/>
                <w:szCs w:val="21"/>
                <w14:ligatures w14:val="none"/>
              </w:rPr>
            </w:pPr>
            <w:r>
              <w:rPr>
                <w:rFonts w:hint="eastAsia"/>
                <w:kern w:val="0"/>
                <w:sz w:val="21"/>
                <w:szCs w:val="21"/>
                <w14:ligatures w14:val="none"/>
              </w:rPr>
              <w:t>价格阈值（万分比）</w:t>
            </w:r>
          </w:p>
        </w:tc>
        <w:tc>
          <w:tcPr>
            <w:tcW w:w="2287" w:type="dxa"/>
          </w:tcPr>
          <w:p w14:paraId="51E0E51C">
            <w:pPr>
              <w:spacing w:after="0" w:line="240" w:lineRule="auto"/>
              <w:rPr>
                <w:kern w:val="0"/>
                <w:sz w:val="21"/>
                <w:szCs w:val="21"/>
                <w14:ligatures w14:val="none"/>
              </w:rPr>
            </w:pPr>
            <w:r>
              <w:rPr>
                <w:kern w:val="0"/>
                <w:sz w:val="21"/>
                <w:szCs w:val="21"/>
                <w14:ligatures w14:val="none"/>
              </w:rPr>
              <w:t>最低利润判定值</w:t>
            </w:r>
          </w:p>
        </w:tc>
      </w:tr>
      <w:tr w14:paraId="4513FE3E">
        <w:trPr>
          <w:trHeight w:val="492" w:hRule="atLeast"/>
        </w:trPr>
        <w:tc>
          <w:tcPr>
            <w:tcW w:w="1928" w:type="dxa"/>
          </w:tcPr>
          <w:p w14:paraId="28BC2A75">
            <w:pPr>
              <w:spacing w:after="0" w:line="240" w:lineRule="auto"/>
              <w:rPr>
                <w:kern w:val="0"/>
                <w:sz w:val="21"/>
                <w:szCs w:val="21"/>
                <w14:ligatures w14:val="none"/>
              </w:rPr>
            </w:pPr>
            <w:r>
              <w:rPr>
                <w:rFonts w:hint="eastAsia"/>
                <w:kern w:val="0"/>
                <w:sz w:val="21"/>
                <w:szCs w:val="21"/>
                <w14:ligatures w14:val="none"/>
              </w:rPr>
              <w:t>20w-49w</w:t>
            </w:r>
          </w:p>
        </w:tc>
        <w:tc>
          <w:tcPr>
            <w:tcW w:w="2381" w:type="dxa"/>
          </w:tcPr>
          <w:p w14:paraId="55B59761">
            <w:pPr>
              <w:spacing w:after="0" w:line="240" w:lineRule="auto"/>
              <w:rPr>
                <w:kern w:val="0"/>
                <w:sz w:val="21"/>
                <w:szCs w:val="21"/>
                <w14:ligatures w14:val="none"/>
              </w:rPr>
            </w:pPr>
            <w:r>
              <w:rPr>
                <w:rFonts w:hint="eastAsia"/>
                <w:kern w:val="0"/>
                <w:sz w:val="21"/>
                <w:szCs w:val="21"/>
                <w14:ligatures w14:val="none"/>
              </w:rPr>
              <w:t>100-150(2000-7500U)</w:t>
            </w:r>
          </w:p>
        </w:tc>
        <w:tc>
          <w:tcPr>
            <w:tcW w:w="1475" w:type="dxa"/>
          </w:tcPr>
          <w:p w14:paraId="10336B08">
            <w:pPr>
              <w:spacing w:after="0" w:line="240" w:lineRule="auto"/>
              <w:rPr>
                <w:kern w:val="0"/>
                <w:sz w:val="21"/>
                <w:szCs w:val="21"/>
                <w14:ligatures w14:val="none"/>
              </w:rPr>
            </w:pPr>
            <w:r>
              <w:rPr>
                <w:rFonts w:hint="eastAsia"/>
                <w:kern w:val="0"/>
                <w:sz w:val="21"/>
                <w:szCs w:val="21"/>
                <w14:ligatures w14:val="none"/>
              </w:rPr>
              <w:t>10-40</w:t>
            </w:r>
          </w:p>
        </w:tc>
        <w:tc>
          <w:tcPr>
            <w:tcW w:w="1441" w:type="dxa"/>
          </w:tcPr>
          <w:p w14:paraId="327D4C04">
            <w:pPr>
              <w:spacing w:after="0" w:line="240" w:lineRule="auto"/>
              <w:rPr>
                <w:rFonts w:hint="default" w:eastAsiaTheme="minorEastAsia"/>
                <w:kern w:val="0"/>
                <w:sz w:val="21"/>
                <w:szCs w:val="21"/>
                <w:lang w:val="en-US" w:eastAsia="zh-CN"/>
                <w14:ligatures w14:val="none"/>
              </w:rPr>
            </w:pPr>
            <w:r>
              <w:rPr>
                <w:rFonts w:hint="eastAsia"/>
                <w:kern w:val="0"/>
                <w:sz w:val="21"/>
                <w:szCs w:val="21"/>
                <w:lang w:val="en-US" w:eastAsia="zh-CN"/>
                <w14:ligatures w14:val="none"/>
              </w:rPr>
              <w:t>1.5</w:t>
            </w:r>
            <w:r>
              <w:rPr>
                <w:rFonts w:hint="eastAsia"/>
                <w:kern w:val="0"/>
                <w:sz w:val="21"/>
                <w:szCs w:val="21"/>
                <w14:ligatures w14:val="none"/>
              </w:rPr>
              <w:t>-</w:t>
            </w:r>
            <w:r>
              <w:rPr>
                <w:rFonts w:hint="eastAsia"/>
                <w:kern w:val="0"/>
                <w:sz w:val="21"/>
                <w:szCs w:val="21"/>
                <w:lang w:val="en-US" w:eastAsia="zh-CN"/>
                <w14:ligatures w14:val="none"/>
              </w:rPr>
              <w:t>15</w:t>
            </w:r>
          </w:p>
        </w:tc>
        <w:tc>
          <w:tcPr>
            <w:tcW w:w="2287" w:type="dxa"/>
          </w:tcPr>
          <w:p w14:paraId="0BD9FEE3">
            <w:pPr>
              <w:spacing w:after="0" w:line="240" w:lineRule="auto"/>
              <w:rPr>
                <w:rFonts w:hint="default" w:eastAsiaTheme="minorEastAsia"/>
                <w:kern w:val="0"/>
                <w:sz w:val="21"/>
                <w:szCs w:val="21"/>
                <w:lang w:val="en-US" w:eastAsia="zh-CN"/>
                <w14:ligatures w14:val="none"/>
              </w:rPr>
            </w:pPr>
            <w:r>
              <w:rPr>
                <w:rFonts w:hint="eastAsia"/>
                <w:kern w:val="0"/>
                <w:sz w:val="21"/>
                <w:szCs w:val="21"/>
                <w14:ligatures w14:val="none"/>
              </w:rPr>
              <w:t>0.</w:t>
            </w:r>
            <w:r>
              <w:rPr>
                <w:rFonts w:hint="eastAsia"/>
                <w:kern w:val="0"/>
                <w:sz w:val="21"/>
                <w:szCs w:val="21"/>
                <w:lang w:val="en-US" w:eastAsia="zh-CN"/>
                <w14:ligatures w14:val="none"/>
              </w:rPr>
              <w:t>01</w:t>
            </w:r>
            <w:r>
              <w:rPr>
                <w:rFonts w:hint="eastAsia"/>
                <w:kern w:val="0"/>
                <w:sz w:val="21"/>
                <w:szCs w:val="21"/>
                <w14:ligatures w14:val="none"/>
              </w:rPr>
              <w:t>-0.</w:t>
            </w:r>
            <w:r>
              <w:rPr>
                <w:rFonts w:hint="eastAsia"/>
                <w:kern w:val="0"/>
                <w:sz w:val="21"/>
                <w:szCs w:val="21"/>
                <w:lang w:val="en-US" w:eastAsia="zh-CN"/>
                <w14:ligatures w14:val="none"/>
              </w:rPr>
              <w:t>15</w:t>
            </w:r>
          </w:p>
        </w:tc>
      </w:tr>
      <w:tr w14:paraId="6BC214D1">
        <w:trPr>
          <w:trHeight w:val="492" w:hRule="atLeast"/>
        </w:trPr>
        <w:tc>
          <w:tcPr>
            <w:tcW w:w="1928" w:type="dxa"/>
          </w:tcPr>
          <w:p w14:paraId="2B0D57B5">
            <w:pPr>
              <w:spacing w:after="0" w:line="240" w:lineRule="auto"/>
              <w:rPr>
                <w:kern w:val="0"/>
                <w:sz w:val="21"/>
                <w:szCs w:val="21"/>
                <w14:ligatures w14:val="none"/>
              </w:rPr>
            </w:pPr>
            <w:r>
              <w:rPr>
                <w:rFonts w:hint="eastAsia"/>
                <w:kern w:val="0"/>
                <w:sz w:val="21"/>
                <w:szCs w:val="21"/>
                <w14:ligatures w14:val="none"/>
              </w:rPr>
              <w:t>50w-99w</w:t>
            </w:r>
          </w:p>
        </w:tc>
        <w:tc>
          <w:tcPr>
            <w:tcW w:w="2381" w:type="dxa"/>
          </w:tcPr>
          <w:p w14:paraId="39EA83A9">
            <w:pPr>
              <w:spacing w:after="0" w:line="240" w:lineRule="auto"/>
              <w:rPr>
                <w:kern w:val="0"/>
                <w:sz w:val="21"/>
                <w:szCs w:val="21"/>
                <w14:ligatures w14:val="none"/>
              </w:rPr>
            </w:pPr>
            <w:r>
              <w:rPr>
                <w:rFonts w:hint="eastAsia"/>
                <w:kern w:val="0"/>
                <w:sz w:val="21"/>
                <w:szCs w:val="21"/>
                <w14:ligatures w14:val="none"/>
              </w:rPr>
              <w:t>50-100(5000-10000)</w:t>
            </w:r>
          </w:p>
        </w:tc>
        <w:tc>
          <w:tcPr>
            <w:tcW w:w="1475" w:type="dxa"/>
          </w:tcPr>
          <w:p w14:paraId="0587114D">
            <w:pPr>
              <w:spacing w:after="0" w:line="240" w:lineRule="auto"/>
              <w:rPr>
                <w:kern w:val="0"/>
                <w:sz w:val="21"/>
                <w:szCs w:val="21"/>
                <w14:ligatures w14:val="none"/>
              </w:rPr>
            </w:pPr>
            <w:r>
              <w:rPr>
                <w:rFonts w:hint="eastAsia"/>
                <w:kern w:val="0"/>
                <w:sz w:val="21"/>
                <w:szCs w:val="21"/>
                <w14:ligatures w14:val="none"/>
              </w:rPr>
              <w:t>10-35</w:t>
            </w:r>
          </w:p>
        </w:tc>
        <w:tc>
          <w:tcPr>
            <w:tcW w:w="1441" w:type="dxa"/>
          </w:tcPr>
          <w:p w14:paraId="74C9BA1E">
            <w:pPr>
              <w:spacing w:after="0" w:line="240" w:lineRule="auto"/>
              <w:rPr>
                <w:rFonts w:hint="default" w:eastAsiaTheme="minorEastAsia"/>
                <w:kern w:val="0"/>
                <w:sz w:val="21"/>
                <w:szCs w:val="21"/>
                <w:lang w:val="en-US" w:eastAsia="zh-CN"/>
                <w14:ligatures w14:val="none"/>
              </w:rPr>
            </w:pPr>
            <w:r>
              <w:rPr>
                <w:rFonts w:hint="eastAsia"/>
                <w:kern w:val="0"/>
                <w:sz w:val="21"/>
                <w:szCs w:val="21"/>
                <w:lang w:val="en-US" w:eastAsia="zh-CN"/>
                <w14:ligatures w14:val="none"/>
              </w:rPr>
              <w:t>1.5</w:t>
            </w:r>
            <w:r>
              <w:rPr>
                <w:rFonts w:hint="eastAsia"/>
                <w:kern w:val="0"/>
                <w:sz w:val="21"/>
                <w:szCs w:val="21"/>
                <w14:ligatures w14:val="none"/>
              </w:rPr>
              <w:t>-</w:t>
            </w:r>
            <w:r>
              <w:rPr>
                <w:rFonts w:hint="eastAsia"/>
                <w:kern w:val="0"/>
                <w:sz w:val="21"/>
                <w:szCs w:val="21"/>
                <w:lang w:val="en-US" w:eastAsia="zh-CN"/>
                <w14:ligatures w14:val="none"/>
              </w:rPr>
              <w:t>15</w:t>
            </w:r>
          </w:p>
        </w:tc>
        <w:tc>
          <w:tcPr>
            <w:tcW w:w="2287" w:type="dxa"/>
          </w:tcPr>
          <w:p w14:paraId="79F5F4ED">
            <w:pPr>
              <w:spacing w:after="0" w:line="240" w:lineRule="auto"/>
              <w:rPr>
                <w:rFonts w:hint="default" w:eastAsiaTheme="minorEastAsia"/>
                <w:kern w:val="0"/>
                <w:sz w:val="21"/>
                <w:szCs w:val="21"/>
                <w:lang w:val="en-US" w:eastAsia="zh-CN"/>
                <w14:ligatures w14:val="none"/>
              </w:rPr>
            </w:pPr>
            <w:r>
              <w:rPr>
                <w:rFonts w:hint="eastAsia"/>
                <w:kern w:val="0"/>
                <w:sz w:val="21"/>
                <w:szCs w:val="21"/>
                <w14:ligatures w14:val="none"/>
              </w:rPr>
              <w:t>0.</w:t>
            </w:r>
            <w:r>
              <w:rPr>
                <w:rFonts w:hint="eastAsia"/>
                <w:kern w:val="0"/>
                <w:sz w:val="21"/>
                <w:szCs w:val="21"/>
                <w:lang w:val="en-US" w:eastAsia="zh-CN"/>
                <w14:ligatures w14:val="none"/>
              </w:rPr>
              <w:t>01</w:t>
            </w:r>
            <w:r>
              <w:rPr>
                <w:rFonts w:hint="eastAsia"/>
                <w:kern w:val="0"/>
                <w:sz w:val="21"/>
                <w:szCs w:val="21"/>
                <w14:ligatures w14:val="none"/>
              </w:rPr>
              <w:t>-0.</w:t>
            </w:r>
            <w:r>
              <w:rPr>
                <w:rFonts w:hint="eastAsia"/>
                <w:kern w:val="0"/>
                <w:sz w:val="21"/>
                <w:szCs w:val="21"/>
                <w:lang w:val="en-US" w:eastAsia="zh-CN"/>
                <w14:ligatures w14:val="none"/>
              </w:rPr>
              <w:t>15</w:t>
            </w:r>
          </w:p>
        </w:tc>
      </w:tr>
      <w:tr w14:paraId="291B0430">
        <w:trPr>
          <w:trHeight w:val="468" w:hRule="atLeast"/>
        </w:trPr>
        <w:tc>
          <w:tcPr>
            <w:tcW w:w="1928" w:type="dxa"/>
          </w:tcPr>
          <w:p w14:paraId="0FA58559">
            <w:pPr>
              <w:spacing w:after="0" w:line="240" w:lineRule="auto"/>
              <w:rPr>
                <w:kern w:val="0"/>
                <w:sz w:val="21"/>
                <w:szCs w:val="21"/>
                <w14:ligatures w14:val="none"/>
              </w:rPr>
            </w:pPr>
            <w:r>
              <w:rPr>
                <w:rFonts w:hint="eastAsia"/>
                <w:kern w:val="0"/>
                <w:sz w:val="21"/>
                <w:szCs w:val="21"/>
                <w14:ligatures w14:val="none"/>
              </w:rPr>
              <w:t>100w-299w</w:t>
            </w:r>
          </w:p>
        </w:tc>
        <w:tc>
          <w:tcPr>
            <w:tcW w:w="2381" w:type="dxa"/>
          </w:tcPr>
          <w:p w14:paraId="5BF95EB4">
            <w:pPr>
              <w:spacing w:after="0" w:line="240" w:lineRule="auto"/>
              <w:rPr>
                <w:kern w:val="0"/>
                <w:sz w:val="21"/>
                <w:szCs w:val="21"/>
                <w14:ligatures w14:val="none"/>
              </w:rPr>
            </w:pPr>
            <w:r>
              <w:rPr>
                <w:rFonts w:hint="eastAsia"/>
                <w:kern w:val="0"/>
                <w:sz w:val="21"/>
                <w:szCs w:val="21"/>
                <w14:ligatures w14:val="none"/>
              </w:rPr>
              <w:t>30-50(3000-15000)</w:t>
            </w:r>
          </w:p>
        </w:tc>
        <w:tc>
          <w:tcPr>
            <w:tcW w:w="1475" w:type="dxa"/>
          </w:tcPr>
          <w:p w14:paraId="47408A38">
            <w:pPr>
              <w:spacing w:after="0" w:line="240" w:lineRule="auto"/>
              <w:rPr>
                <w:kern w:val="0"/>
                <w:sz w:val="21"/>
                <w:szCs w:val="21"/>
                <w14:ligatures w14:val="none"/>
              </w:rPr>
            </w:pPr>
            <w:r>
              <w:rPr>
                <w:rFonts w:hint="eastAsia"/>
                <w:kern w:val="0"/>
                <w:sz w:val="21"/>
                <w:szCs w:val="21"/>
                <w14:ligatures w14:val="none"/>
              </w:rPr>
              <w:t>5-30</w:t>
            </w:r>
          </w:p>
        </w:tc>
        <w:tc>
          <w:tcPr>
            <w:tcW w:w="1441" w:type="dxa"/>
          </w:tcPr>
          <w:p w14:paraId="08B30226">
            <w:pPr>
              <w:spacing w:after="0" w:line="240" w:lineRule="auto"/>
              <w:rPr>
                <w:kern w:val="0"/>
                <w:sz w:val="21"/>
                <w:szCs w:val="21"/>
                <w14:ligatures w14:val="none"/>
              </w:rPr>
            </w:pPr>
            <w:r>
              <w:rPr>
                <w:rFonts w:hint="eastAsia"/>
                <w:kern w:val="0"/>
                <w:sz w:val="21"/>
                <w:szCs w:val="21"/>
                <w:lang w:val="en-US" w:eastAsia="zh-CN"/>
                <w14:ligatures w14:val="none"/>
              </w:rPr>
              <w:t>1.5</w:t>
            </w:r>
            <w:r>
              <w:rPr>
                <w:rFonts w:hint="eastAsia"/>
                <w:kern w:val="0"/>
                <w:sz w:val="21"/>
                <w:szCs w:val="21"/>
                <w14:ligatures w14:val="none"/>
              </w:rPr>
              <w:t>-15</w:t>
            </w:r>
          </w:p>
        </w:tc>
        <w:tc>
          <w:tcPr>
            <w:tcW w:w="2287" w:type="dxa"/>
          </w:tcPr>
          <w:p w14:paraId="56662EB7">
            <w:pPr>
              <w:spacing w:after="0" w:line="240" w:lineRule="auto"/>
              <w:rPr>
                <w:rFonts w:hint="default" w:eastAsiaTheme="minorEastAsia"/>
                <w:kern w:val="0"/>
                <w:sz w:val="21"/>
                <w:szCs w:val="21"/>
                <w:lang w:val="en-US" w:eastAsia="zh-CN"/>
                <w14:ligatures w14:val="none"/>
              </w:rPr>
            </w:pPr>
            <w:r>
              <w:rPr>
                <w:rFonts w:hint="eastAsia"/>
                <w:kern w:val="0"/>
                <w:sz w:val="21"/>
                <w:szCs w:val="21"/>
                <w14:ligatures w14:val="none"/>
              </w:rPr>
              <w:t>0.</w:t>
            </w:r>
            <w:r>
              <w:rPr>
                <w:rFonts w:hint="eastAsia"/>
                <w:kern w:val="0"/>
                <w:sz w:val="21"/>
                <w:szCs w:val="21"/>
                <w:lang w:val="en-US" w:eastAsia="zh-CN"/>
                <w14:ligatures w14:val="none"/>
              </w:rPr>
              <w:t>01</w:t>
            </w:r>
            <w:r>
              <w:rPr>
                <w:rFonts w:hint="eastAsia"/>
                <w:kern w:val="0"/>
                <w:sz w:val="21"/>
                <w:szCs w:val="21"/>
                <w14:ligatures w14:val="none"/>
              </w:rPr>
              <w:t>-0.</w:t>
            </w:r>
            <w:r>
              <w:rPr>
                <w:rFonts w:hint="eastAsia"/>
                <w:kern w:val="0"/>
                <w:sz w:val="21"/>
                <w:szCs w:val="21"/>
                <w:lang w:val="en-US" w:eastAsia="zh-CN"/>
                <w14:ligatures w14:val="none"/>
              </w:rPr>
              <w:t>15</w:t>
            </w:r>
          </w:p>
        </w:tc>
      </w:tr>
      <w:tr w14:paraId="40513618">
        <w:trPr>
          <w:trHeight w:val="468" w:hRule="atLeast"/>
        </w:trPr>
        <w:tc>
          <w:tcPr>
            <w:tcW w:w="1928" w:type="dxa"/>
          </w:tcPr>
          <w:p w14:paraId="0C7C79E3">
            <w:pPr>
              <w:spacing w:after="0" w:line="240" w:lineRule="auto"/>
              <w:rPr>
                <w:kern w:val="0"/>
                <w:sz w:val="21"/>
                <w:szCs w:val="21"/>
                <w14:ligatures w14:val="none"/>
              </w:rPr>
            </w:pPr>
            <w:r>
              <w:rPr>
                <w:rFonts w:hint="eastAsia"/>
                <w:kern w:val="0"/>
                <w:sz w:val="21"/>
                <w:szCs w:val="21"/>
                <w14:ligatures w14:val="none"/>
              </w:rPr>
              <w:t>300w-499w</w:t>
            </w:r>
          </w:p>
        </w:tc>
        <w:tc>
          <w:tcPr>
            <w:tcW w:w="2381" w:type="dxa"/>
          </w:tcPr>
          <w:p w14:paraId="1E5CA1C7">
            <w:pPr>
              <w:spacing w:after="0" w:line="240" w:lineRule="auto"/>
              <w:rPr>
                <w:kern w:val="0"/>
                <w:sz w:val="21"/>
                <w:szCs w:val="21"/>
                <w14:ligatures w14:val="none"/>
              </w:rPr>
            </w:pPr>
            <w:r>
              <w:rPr>
                <w:rFonts w:hint="eastAsia"/>
                <w:kern w:val="0"/>
                <w:sz w:val="21"/>
                <w:szCs w:val="21"/>
                <w14:ligatures w14:val="none"/>
              </w:rPr>
              <w:t>20-30(6000-15000)</w:t>
            </w:r>
          </w:p>
        </w:tc>
        <w:tc>
          <w:tcPr>
            <w:tcW w:w="1475" w:type="dxa"/>
          </w:tcPr>
          <w:p w14:paraId="27D84DE0">
            <w:pPr>
              <w:spacing w:after="0" w:line="240" w:lineRule="auto"/>
              <w:rPr>
                <w:kern w:val="0"/>
                <w:sz w:val="21"/>
                <w:szCs w:val="21"/>
                <w14:ligatures w14:val="none"/>
              </w:rPr>
            </w:pPr>
            <w:r>
              <w:rPr>
                <w:rFonts w:hint="eastAsia"/>
                <w:kern w:val="0"/>
                <w:sz w:val="21"/>
                <w:szCs w:val="21"/>
                <w14:ligatures w14:val="none"/>
              </w:rPr>
              <w:t>5-30</w:t>
            </w:r>
          </w:p>
        </w:tc>
        <w:tc>
          <w:tcPr>
            <w:tcW w:w="1441" w:type="dxa"/>
          </w:tcPr>
          <w:p w14:paraId="62B71E7E">
            <w:pPr>
              <w:spacing w:after="0" w:line="240" w:lineRule="auto"/>
              <w:rPr>
                <w:kern w:val="0"/>
                <w:sz w:val="21"/>
                <w:szCs w:val="21"/>
                <w14:ligatures w14:val="none"/>
              </w:rPr>
            </w:pPr>
            <w:r>
              <w:rPr>
                <w:rFonts w:hint="eastAsia"/>
                <w:kern w:val="0"/>
                <w:sz w:val="21"/>
                <w:szCs w:val="21"/>
                <w:lang w:val="en-US" w:eastAsia="zh-CN"/>
                <w14:ligatures w14:val="none"/>
              </w:rPr>
              <w:t>1.5</w:t>
            </w:r>
            <w:r>
              <w:rPr>
                <w:rFonts w:hint="eastAsia"/>
                <w:kern w:val="0"/>
                <w:sz w:val="21"/>
                <w:szCs w:val="21"/>
                <w14:ligatures w14:val="none"/>
              </w:rPr>
              <w:t>-15</w:t>
            </w:r>
          </w:p>
        </w:tc>
        <w:tc>
          <w:tcPr>
            <w:tcW w:w="2287" w:type="dxa"/>
          </w:tcPr>
          <w:p w14:paraId="2619A164">
            <w:pPr>
              <w:spacing w:after="0" w:line="240" w:lineRule="auto"/>
              <w:rPr>
                <w:rFonts w:hint="default" w:eastAsiaTheme="minorEastAsia"/>
                <w:kern w:val="0"/>
                <w:sz w:val="21"/>
                <w:szCs w:val="21"/>
                <w:lang w:val="en-US" w:eastAsia="zh-CN"/>
                <w14:ligatures w14:val="none"/>
              </w:rPr>
            </w:pPr>
            <w:r>
              <w:rPr>
                <w:rFonts w:hint="eastAsia"/>
                <w:kern w:val="0"/>
                <w:sz w:val="21"/>
                <w:szCs w:val="21"/>
                <w14:ligatures w14:val="none"/>
              </w:rPr>
              <w:t>0.</w:t>
            </w:r>
            <w:r>
              <w:rPr>
                <w:rFonts w:hint="eastAsia"/>
                <w:kern w:val="0"/>
                <w:sz w:val="21"/>
                <w:szCs w:val="21"/>
                <w:lang w:val="en-US" w:eastAsia="zh-CN"/>
                <w14:ligatures w14:val="none"/>
              </w:rPr>
              <w:t>01</w:t>
            </w:r>
            <w:r>
              <w:rPr>
                <w:rFonts w:hint="eastAsia"/>
                <w:kern w:val="0"/>
                <w:sz w:val="21"/>
                <w:szCs w:val="21"/>
                <w14:ligatures w14:val="none"/>
              </w:rPr>
              <w:t>-0.</w:t>
            </w:r>
            <w:r>
              <w:rPr>
                <w:rFonts w:hint="eastAsia"/>
                <w:kern w:val="0"/>
                <w:sz w:val="21"/>
                <w:szCs w:val="21"/>
                <w:lang w:val="en-US" w:eastAsia="zh-CN"/>
                <w14:ligatures w14:val="none"/>
              </w:rPr>
              <w:t>15</w:t>
            </w:r>
          </w:p>
        </w:tc>
      </w:tr>
      <w:tr w14:paraId="58F6201D">
        <w:trPr>
          <w:trHeight w:val="468" w:hRule="atLeast"/>
        </w:trPr>
        <w:tc>
          <w:tcPr>
            <w:tcW w:w="1928" w:type="dxa"/>
          </w:tcPr>
          <w:p w14:paraId="06951C7A">
            <w:pPr>
              <w:spacing w:after="0" w:line="240" w:lineRule="auto"/>
              <w:rPr>
                <w:kern w:val="0"/>
                <w:sz w:val="21"/>
                <w:szCs w:val="21"/>
                <w14:ligatures w14:val="none"/>
              </w:rPr>
            </w:pPr>
            <w:r>
              <w:rPr>
                <w:rFonts w:hint="eastAsia"/>
                <w:kern w:val="0"/>
                <w:sz w:val="21"/>
                <w:szCs w:val="21"/>
                <w14:ligatures w14:val="none"/>
              </w:rPr>
              <w:t>500w+</w:t>
            </w:r>
          </w:p>
        </w:tc>
        <w:tc>
          <w:tcPr>
            <w:tcW w:w="2381" w:type="dxa"/>
          </w:tcPr>
          <w:p w14:paraId="21721B0F">
            <w:pPr>
              <w:spacing w:after="0" w:line="240" w:lineRule="auto"/>
              <w:rPr>
                <w:kern w:val="0"/>
                <w:sz w:val="21"/>
                <w:szCs w:val="21"/>
                <w14:ligatures w14:val="none"/>
              </w:rPr>
            </w:pPr>
            <w:r>
              <w:rPr>
                <w:rFonts w:hint="eastAsia"/>
                <w:kern w:val="0"/>
                <w:sz w:val="21"/>
                <w:szCs w:val="21"/>
                <w14:ligatures w14:val="none"/>
              </w:rPr>
              <w:t>30-50(15000-25000)</w:t>
            </w:r>
          </w:p>
        </w:tc>
        <w:tc>
          <w:tcPr>
            <w:tcW w:w="1475" w:type="dxa"/>
          </w:tcPr>
          <w:p w14:paraId="4967DBD6">
            <w:pPr>
              <w:spacing w:after="0" w:line="240" w:lineRule="auto"/>
              <w:rPr>
                <w:kern w:val="0"/>
                <w:sz w:val="21"/>
                <w:szCs w:val="21"/>
                <w14:ligatures w14:val="none"/>
              </w:rPr>
            </w:pPr>
            <w:r>
              <w:rPr>
                <w:rFonts w:hint="eastAsia"/>
                <w:kern w:val="0"/>
                <w:sz w:val="21"/>
                <w:szCs w:val="21"/>
                <w:lang w:val="en-US" w:eastAsia="zh-CN"/>
                <w14:ligatures w14:val="none"/>
              </w:rPr>
              <w:t>5</w:t>
            </w:r>
            <w:r>
              <w:rPr>
                <w:rFonts w:hint="eastAsia"/>
                <w:kern w:val="0"/>
                <w:sz w:val="21"/>
                <w:szCs w:val="21"/>
                <w14:ligatures w14:val="none"/>
              </w:rPr>
              <w:t>-25</w:t>
            </w:r>
          </w:p>
        </w:tc>
        <w:tc>
          <w:tcPr>
            <w:tcW w:w="1441" w:type="dxa"/>
          </w:tcPr>
          <w:p w14:paraId="3184E4C5">
            <w:pPr>
              <w:spacing w:after="0" w:line="240" w:lineRule="auto"/>
              <w:rPr>
                <w:kern w:val="0"/>
                <w:sz w:val="21"/>
                <w:szCs w:val="21"/>
                <w14:ligatures w14:val="none"/>
              </w:rPr>
            </w:pPr>
            <w:r>
              <w:rPr>
                <w:rFonts w:hint="eastAsia"/>
                <w:kern w:val="0"/>
                <w:sz w:val="21"/>
                <w:szCs w:val="21"/>
                <w:lang w:val="en-US" w:eastAsia="zh-CN"/>
                <w14:ligatures w14:val="none"/>
              </w:rPr>
              <w:t>1.5</w:t>
            </w:r>
            <w:r>
              <w:rPr>
                <w:rFonts w:hint="eastAsia"/>
                <w:kern w:val="0"/>
                <w:sz w:val="21"/>
                <w:szCs w:val="21"/>
                <w14:ligatures w14:val="none"/>
              </w:rPr>
              <w:t>-15</w:t>
            </w:r>
          </w:p>
        </w:tc>
        <w:tc>
          <w:tcPr>
            <w:tcW w:w="2287" w:type="dxa"/>
          </w:tcPr>
          <w:p w14:paraId="524916A2">
            <w:pPr>
              <w:spacing w:after="0" w:line="240" w:lineRule="auto"/>
              <w:rPr>
                <w:rFonts w:hint="default" w:eastAsiaTheme="minorEastAsia"/>
                <w:kern w:val="0"/>
                <w:sz w:val="21"/>
                <w:szCs w:val="21"/>
                <w:lang w:val="en-US" w:eastAsia="zh-CN"/>
                <w14:ligatures w14:val="none"/>
              </w:rPr>
            </w:pPr>
            <w:r>
              <w:rPr>
                <w:rFonts w:hint="eastAsia"/>
                <w:kern w:val="0"/>
                <w:sz w:val="21"/>
                <w:szCs w:val="21"/>
                <w14:ligatures w14:val="none"/>
              </w:rPr>
              <w:t>0.</w:t>
            </w:r>
            <w:r>
              <w:rPr>
                <w:rFonts w:hint="eastAsia"/>
                <w:kern w:val="0"/>
                <w:sz w:val="21"/>
                <w:szCs w:val="21"/>
                <w:lang w:val="en-US" w:eastAsia="zh-CN"/>
                <w14:ligatures w14:val="none"/>
              </w:rPr>
              <w:t>01-</w:t>
            </w:r>
            <w:r>
              <w:rPr>
                <w:rFonts w:hint="eastAsia"/>
                <w:kern w:val="0"/>
                <w:sz w:val="21"/>
                <w:szCs w:val="21"/>
                <w14:ligatures w14:val="none"/>
              </w:rPr>
              <w:t>0.</w:t>
            </w:r>
            <w:r>
              <w:rPr>
                <w:rFonts w:hint="eastAsia"/>
                <w:kern w:val="0"/>
                <w:sz w:val="21"/>
                <w:szCs w:val="21"/>
                <w:lang w:val="en-US" w:eastAsia="zh-CN"/>
                <w14:ligatures w14:val="none"/>
              </w:rPr>
              <w:t>15</w:t>
            </w:r>
          </w:p>
        </w:tc>
      </w:tr>
    </w:tbl>
    <w:p w14:paraId="2E45DA61">
      <w:pPr>
        <w:rPr>
          <w:rFonts w:hint="eastAsia"/>
          <w:color w:val="E97132" w:themeColor="accent2"/>
          <w14:textFill>
            <w14:solidFill>
              <w14:schemeClr w14:val="accent2"/>
            </w14:solidFill>
          </w14:textFill>
        </w:rPr>
      </w:pPr>
      <w:r>
        <w:rPr>
          <w:rFonts w:hint="eastAsia"/>
        </w:rPr>
        <w:t>由于V2特性无虚拟库存，则根据最大稳定币库存设置持仓比例。最大持仓和虚拟持仓相同即可。最低利润判定不得低于</w:t>
      </w:r>
      <w:r>
        <w:rPr>
          <w:rFonts w:hint="eastAsia"/>
          <w:color w:val="E97132" w:themeColor="accent2"/>
          <w14:textFill>
            <w14:solidFill>
              <w14:schemeClr w14:val="accent2"/>
            </w14:solidFill>
          </w14:textFill>
        </w:rPr>
        <w:t>0.25</w:t>
      </w:r>
    </w:p>
    <w:p w14:paraId="4BAF90C1">
      <w:pPr>
        <w:rPr>
          <w:rFonts w:hint="default" w:eastAsiaTheme="minorEastAsia"/>
          <w:color w:val="E97132" w:themeColor="accent2"/>
          <w:lang w:val="en-US" w:eastAsia="zh-CN"/>
          <w14:textFill>
            <w14:solidFill>
              <w14:schemeClr w14:val="accent2"/>
            </w14:solidFill>
          </w14:textFill>
        </w:rPr>
      </w:pPr>
      <w:r>
        <w:rPr>
          <w:rFonts w:hint="eastAsia"/>
          <w:color w:val="E97132" w:themeColor="accent2"/>
          <w:lang w:val="en-US" w:eastAsia="zh-CN"/>
          <w14:textFill>
            <w14:solidFill>
              <w14:schemeClr w14:val="accent2"/>
            </w14:solidFill>
          </w14:textFill>
        </w:rPr>
        <w:t>V4代币：无实际库存，配置实际库存和虚拟库存相同值。</w:t>
      </w:r>
      <w:commentRangeStart w:id="4"/>
      <w:r>
        <w:rPr>
          <w:rFonts w:hint="eastAsia"/>
          <w:color w:val="E97132" w:themeColor="accent2"/>
          <w:lang w:val="en-US" w:eastAsia="zh-CN"/>
          <w14:textFill>
            <w14:solidFill>
              <w14:schemeClr w14:val="accent2"/>
            </w14:solidFill>
          </w14:textFill>
        </w:rPr>
        <w:t>V4</w:t>
      </w:r>
      <w:commentRangeEnd w:id="4"/>
      <w:r>
        <w:commentReference w:id="4"/>
      </w:r>
      <w:r>
        <w:rPr>
          <w:rFonts w:hint="eastAsia"/>
          <w:color w:val="E97132" w:themeColor="accent2"/>
          <w:lang w:val="en-US" w:eastAsia="zh-CN"/>
          <w14:textFill>
            <w14:solidFill>
              <w14:schemeClr w14:val="accent2"/>
            </w14:solidFill>
          </w14:textFill>
        </w:rPr>
        <w:t>代币最高持仓控制按情况设置最高买入量。最大不超过5W</w:t>
      </w:r>
    </w:p>
    <w:p w14:paraId="501A6E0F">
      <w:r>
        <w:rPr>
          <w:rFonts w:hint="eastAsia"/>
        </w:rPr>
        <w:t>参数调整情况说明：</w:t>
      </w:r>
    </w:p>
    <w:p w14:paraId="21A66464">
      <w:r>
        <w:rPr>
          <w:rFonts w:hint="eastAsia"/>
        </w:rPr>
        <w:t>持仓调整：根据当前token交易所和链上的成交量和价差,</w:t>
      </w:r>
      <w:commentRangeStart w:id="5"/>
      <w:r>
        <w:rPr>
          <w:rFonts w:hint="eastAsia"/>
          <w:color w:val="E97132" w:themeColor="accent2"/>
          <w14:textFill>
            <w14:solidFill>
              <w14:schemeClr w14:val="accent2"/>
            </w14:solidFill>
          </w14:textFill>
        </w:rPr>
        <w:t>成交量和价差越高,持仓则可上调,反之降低</w:t>
      </w:r>
      <w:r>
        <w:rPr>
          <w:rFonts w:hint="eastAsia"/>
        </w:rPr>
        <w:t>.。</w:t>
      </w:r>
      <w:commentRangeEnd w:id="5"/>
      <w:r>
        <w:commentReference w:id="5"/>
      </w:r>
    </w:p>
    <w:p w14:paraId="18F1AD44">
      <w:pPr>
        <w:rPr>
          <w:rFonts w:hint="eastAsia"/>
        </w:rPr>
      </w:pPr>
      <w:r>
        <w:rPr>
          <w:rFonts w:hint="eastAsia"/>
          <w:color w:val="auto"/>
        </w:rPr>
        <w:t>价格阈值</w:t>
      </w:r>
      <w:r>
        <w:rPr>
          <w:rFonts w:hint="eastAsia"/>
        </w:rPr>
        <w:t>：当交易所和链上</w:t>
      </w:r>
      <w:r>
        <w:rPr>
          <w:rFonts w:hint="eastAsia"/>
          <w:color w:val="E97132" w:themeColor="accent2"/>
          <w14:textFill>
            <w14:solidFill>
              <w14:schemeClr w14:val="accent2"/>
            </w14:solidFill>
          </w14:textFill>
        </w:rPr>
        <w:t>交易量活跃，价格波动较小时，可降低价格阈值</w:t>
      </w:r>
      <w:r>
        <w:rPr>
          <w:rFonts w:hint="eastAsia"/>
        </w:rPr>
        <w:t>，增加提单机会。当</w:t>
      </w:r>
      <w:r>
        <w:rPr>
          <w:rFonts w:hint="eastAsia"/>
          <w:color w:val="E97132" w:themeColor="accent2"/>
          <w14:textFill>
            <w14:solidFill>
              <w14:schemeClr w14:val="accent2"/>
            </w14:solidFill>
          </w14:textFill>
        </w:rPr>
        <w:t>订单比较多，利润增长较低时，可适当调高价格阈值</w:t>
      </w:r>
      <w:r>
        <w:rPr>
          <w:rFonts w:hint="eastAsia"/>
        </w:rPr>
        <w:t>。过滤部分利润较低的订单，减少gas费和捆绑费的支出和无常损失。</w:t>
      </w:r>
      <w:r>
        <w:br w:type="textWrapping"/>
      </w:r>
      <w:r>
        <w:rPr>
          <w:rFonts w:hint="eastAsia"/>
        </w:rPr>
        <w:t>参考数据：</w:t>
      </w:r>
      <w:r>
        <w:br w:type="textWrapping"/>
      </w:r>
      <w:r>
        <w:rPr>
          <w:rFonts w:hint="eastAsia"/>
        </w:rPr>
        <w:t>活跃的币</w:t>
      </w:r>
      <w:r>
        <w:rPr>
          <w:rFonts w:hint="eastAsia"/>
          <w:color w:val="E97132" w:themeColor="accent2"/>
          <w14:textFill>
            <w14:solidFill>
              <w14:schemeClr w14:val="accent2"/>
            </w14:solidFill>
          </w14:textFill>
        </w:rPr>
        <w:t>1分钟涨幅0.5%，5分钟k线涨幅超2%，上调</w:t>
      </w:r>
      <w:r>
        <w:rPr>
          <w:rFonts w:hint="eastAsia"/>
        </w:rPr>
        <w:t xml:space="preserve">。1分钟低于0.25%，5分钟低于1%下调。 </w:t>
      </w:r>
      <w:r>
        <w:br w:type="textWrapping"/>
      </w:r>
      <w:r>
        <w:rPr>
          <w:rFonts w:hint="eastAsia"/>
        </w:rPr>
        <w:t>不活跃的币</w:t>
      </w:r>
      <w:r>
        <w:rPr>
          <w:rFonts w:hint="eastAsia"/>
          <w:color w:val="E97132" w:themeColor="accent2"/>
          <w14:textFill>
            <w14:solidFill>
              <w14:schemeClr w14:val="accent2"/>
            </w14:solidFill>
          </w14:textFill>
        </w:rPr>
        <w:t>5分钟k线涨幅超2%，15分钟涨幅超5%上调</w:t>
      </w:r>
      <w:r>
        <w:rPr>
          <w:rFonts w:hint="eastAsia"/>
        </w:rPr>
        <w:t>。5分钟k线低于1%，15分钟低于2%下调。</w:t>
      </w:r>
    </w:p>
    <w:p w14:paraId="375E9165">
      <w:r>
        <w:rPr>
          <w:rFonts w:hint="eastAsia"/>
          <w:color w:val="auto"/>
        </w:rPr>
        <w:t>利润阈值</w:t>
      </w:r>
      <w:r>
        <w:rPr>
          <w:rFonts w:hint="eastAsia"/>
        </w:rPr>
        <w:t>：一般情况可不调整。当</w:t>
      </w:r>
      <w:commentRangeStart w:id="6"/>
      <w:r>
        <w:rPr>
          <w:rFonts w:hint="eastAsia"/>
        </w:rPr>
        <w:t>交易所和链上都比较活跃</w:t>
      </w:r>
      <w:commentRangeEnd w:id="6"/>
      <w:r>
        <w:commentReference w:id="6"/>
      </w:r>
      <w:r>
        <w:rPr>
          <w:rFonts w:hint="eastAsia"/>
        </w:rPr>
        <w:t>，价格阈值设置较低仍不触发订单可尝试降低利润阈值。</w:t>
      </w:r>
      <w:r>
        <w:br w:type="textWrapping"/>
      </w:r>
      <w:r>
        <w:rPr>
          <w:rFonts w:hint="eastAsia"/>
          <w:color w:val="E97132" w:themeColor="accent2"/>
          <w14:textFill>
            <w14:solidFill>
              <w14:schemeClr w14:val="accent2"/>
            </w14:solidFill>
          </w14:textFill>
        </w:rPr>
        <w:t>捆绑系数</w:t>
      </w:r>
      <w:r>
        <w:rPr>
          <w:rFonts w:hint="eastAsia"/>
        </w:rPr>
        <w:t>：后台【</w:t>
      </w:r>
      <w:commentRangeStart w:id="7"/>
      <w:r>
        <w:rPr>
          <w:rFonts w:hint="eastAsia"/>
        </w:rPr>
        <w:t>链上订单成功失败次数</w:t>
      </w:r>
      <w:commentRangeEnd w:id="7"/>
      <w:r>
        <w:commentReference w:id="7"/>
      </w:r>
      <w:r>
        <w:rPr>
          <w:rFonts w:hint="eastAsia"/>
        </w:rPr>
        <w:t>】成功率低于50%的币在失败订单推送群中计算竞争者捆绑参数，覆盖较多的订单调整</w:t>
      </w:r>
      <w:r>
        <w:t>捆绑比率百分比</w:t>
      </w:r>
      <w:r>
        <w:rPr>
          <w:rFonts w:hint="eastAsia"/>
        </w:rPr>
        <w:t>。每小时清除一次次数,并观察调整后的成功率。.</w:t>
      </w:r>
    </w:p>
    <w:p w14:paraId="36735306"/>
    <w:p w14:paraId="6DD71B7D"/>
    <w:p w14:paraId="2A038528"/>
    <w:p w14:paraId="456619D6">
      <w:pPr>
        <w:rPr>
          <w:b/>
          <w:bCs/>
        </w:rPr>
      </w:pPr>
    </w:p>
    <w:p w14:paraId="62101BDA">
      <w:pPr>
        <w:outlineLvl w:val="1"/>
        <w:rPr>
          <w:b/>
          <w:bCs/>
        </w:rPr>
      </w:pPr>
      <w:r>
        <w:rPr>
          <w:rFonts w:hint="eastAsia"/>
          <w:b/>
          <w:bCs/>
        </w:rPr>
        <w:t>3.2</w:t>
      </w:r>
      <w:r>
        <w:rPr>
          <w:b/>
          <w:bCs/>
        </w:rPr>
        <w:tab/>
      </w:r>
      <w:r>
        <w:rPr>
          <w:rFonts w:hint="eastAsia"/>
          <w:b/>
          <w:bCs/>
        </w:rPr>
        <w:t>新加白名单</w:t>
      </w:r>
    </w:p>
    <w:p w14:paraId="129CB34D">
      <w:r>
        <w:drawing>
          <wp:inline distT="0" distB="0" distL="0" distR="0">
            <wp:extent cx="5274310" cy="3416300"/>
            <wp:effectExtent l="0" t="0" r="8890" b="12700"/>
            <wp:docPr id="888941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41844" name="图片 1"/>
                    <pic:cNvPicPr>
                      <a:picLocks noChangeAspect="1"/>
                    </pic:cNvPicPr>
                  </pic:nvPicPr>
                  <pic:blipFill>
                    <a:blip r:embed="rId8"/>
                    <a:stretch>
                      <a:fillRect/>
                    </a:stretch>
                  </pic:blipFill>
                  <pic:spPr>
                    <a:xfrm>
                      <a:off x="0" y="0"/>
                      <a:ext cx="5274310" cy="3416300"/>
                    </a:xfrm>
                    <a:prstGeom prst="rect">
                      <a:avLst/>
                    </a:prstGeom>
                  </pic:spPr>
                </pic:pic>
              </a:graphicData>
            </a:graphic>
          </wp:inline>
        </w:drawing>
      </w:r>
    </w:p>
    <w:p w14:paraId="7E1F3578">
      <w:r>
        <w:drawing>
          <wp:inline distT="0" distB="0" distL="0" distR="0">
            <wp:extent cx="5274310" cy="3322955"/>
            <wp:effectExtent l="0" t="0" r="0" b="4445"/>
            <wp:docPr id="1649816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16657" name="图片 1"/>
                    <pic:cNvPicPr>
                      <a:picLocks noChangeAspect="1"/>
                    </pic:cNvPicPr>
                  </pic:nvPicPr>
                  <pic:blipFill>
                    <a:blip r:embed="rId9"/>
                    <a:stretch>
                      <a:fillRect/>
                    </a:stretch>
                  </pic:blipFill>
                  <pic:spPr>
                    <a:xfrm>
                      <a:off x="0" y="0"/>
                      <a:ext cx="5274310" cy="3322955"/>
                    </a:xfrm>
                    <a:prstGeom prst="rect">
                      <a:avLst/>
                    </a:prstGeom>
                  </pic:spPr>
                </pic:pic>
              </a:graphicData>
            </a:graphic>
          </wp:inline>
        </w:drawing>
      </w:r>
    </w:p>
    <w:p w14:paraId="6741CCE8">
      <w:r>
        <w:drawing>
          <wp:inline distT="0" distB="0" distL="114300" distR="114300">
            <wp:extent cx="4756150" cy="3727450"/>
            <wp:effectExtent l="0" t="0" r="190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4756150" cy="3727450"/>
                    </a:xfrm>
                    <a:prstGeom prst="rect">
                      <a:avLst/>
                    </a:prstGeom>
                    <a:noFill/>
                    <a:ln>
                      <a:noFill/>
                    </a:ln>
                  </pic:spPr>
                </pic:pic>
              </a:graphicData>
            </a:graphic>
          </wp:inline>
        </w:drawing>
      </w:r>
    </w:p>
    <w:p w14:paraId="2998997D">
      <w:pPr>
        <w:rPr>
          <w:b/>
          <w:bCs/>
          <w:color w:val="EE0000"/>
        </w:rPr>
      </w:pPr>
      <w:r>
        <w:rPr>
          <w:rFonts w:hint="eastAsia"/>
          <w:b/>
          <w:bCs/>
          <w:color w:val="EE0000"/>
        </w:rPr>
        <w:t>开币必要条件：交易对手续费为0.25%，0.05%，0.01%，无税率，链上流动性50万以上（特别活跃的可适当降低）。交易所存在正常交易且</w:t>
      </w:r>
      <w:commentRangeStart w:id="8"/>
      <w:r>
        <w:rPr>
          <w:rFonts w:hint="eastAsia"/>
          <w:b/>
          <w:bCs/>
          <w:color w:val="EE0000"/>
        </w:rPr>
        <w:t>24小时交易量</w:t>
      </w:r>
      <w:commentRangeEnd w:id="8"/>
      <w:r>
        <w:commentReference w:id="8"/>
      </w:r>
      <w:r>
        <w:rPr>
          <w:rFonts w:hint="eastAsia"/>
          <w:b/>
          <w:bCs/>
          <w:color w:val="EE0000"/>
        </w:rPr>
        <w:t>不低于10万usdt。链上6小时交易量不低于5万usdt。</w:t>
      </w:r>
    </w:p>
    <w:p w14:paraId="07282177">
      <w:r>
        <w:rPr>
          <w:rFonts w:hint="eastAsia"/>
          <w:b/>
          <w:bCs/>
        </w:rPr>
        <w:t>如何找币</w:t>
      </w:r>
      <w:r>
        <w:rPr>
          <w:rFonts w:hint="eastAsia"/>
        </w:rPr>
        <w:t>：</w:t>
      </w:r>
      <w:r>
        <w:br w:type="textWrapping"/>
      </w:r>
      <w:r>
        <w:rPr>
          <w:rFonts w:hint="eastAsia"/>
        </w:rPr>
        <w:t>1.在目前已接入的交易所公告中获取最新的上币公告，查找token地址，在链上查找是否创建交易对，如有看是否符合开币条件。</w:t>
      </w:r>
      <w:r>
        <w:br w:type="textWrapping"/>
      </w:r>
      <w:r>
        <w:rPr>
          <w:rFonts w:hint="eastAsia"/>
        </w:rPr>
        <w:t>2.各大交易所涨跌幅榜中查看是否有符合条件的未开启的新币。</w:t>
      </w:r>
      <w:r>
        <w:br w:type="textWrapping"/>
      </w:r>
      <w:r>
        <w:rPr>
          <w:rFonts w:hint="eastAsia"/>
        </w:rPr>
        <w:t>3.交易所链上交易（web3交易）板块。</w:t>
      </w:r>
      <w:r>
        <w:rPr>
          <w:rFonts w:hint="eastAsia"/>
        </w:rPr>
        <w:br w:type="textWrapping"/>
      </w:r>
      <w:r>
        <w:fldChar w:fldCharType="begin"/>
      </w:r>
      <w:r>
        <w:instrText xml:space="preserve"> HYPERLINK "https://docs.google.com/spreadsheets/d/1XKEJuoEk9MZS-yWCVW-KH1ZskJQfM7hpcWO7yZU7_w0/edit?gid=1995159190" \l "gid=1995159190" </w:instrText>
      </w:r>
      <w:r>
        <w:fldChar w:fldCharType="separate"/>
      </w:r>
      <w:r>
        <w:rPr>
          <w:rStyle w:val="21"/>
        </w:rPr>
        <w:t>https://docs.google.com/spreadsheets/d/1XKEJuoEk9MZS-yWCVW-KH1ZskJQfM7hpcWO7yZU7_w0/edit?gid=1995159190#gid=1995159190</w:t>
      </w:r>
      <w:r>
        <w:rPr>
          <w:rStyle w:val="21"/>
        </w:rPr>
        <w:fldChar w:fldCharType="end"/>
      </w:r>
      <w:r>
        <w:br w:type="textWrapping"/>
      </w:r>
      <w:r>
        <w:rPr>
          <w:rFonts w:hint="eastAsia"/>
        </w:rPr>
        <w:t>如发现可添加的新币，在表格内填写相关信息，并通知到值班人员及时添加。</w:t>
      </w:r>
    </w:p>
    <w:p w14:paraId="413F3463">
      <w:pPr>
        <w:rPr>
          <w:b/>
          <w:bCs/>
        </w:rPr>
      </w:pPr>
      <w:r>
        <w:rPr>
          <w:rFonts w:hint="eastAsia"/>
          <w:b/>
          <w:bCs/>
        </w:rPr>
        <w:t>开币流程：</w:t>
      </w:r>
    </w:p>
    <w:p w14:paraId="5014CD87">
      <w:pPr>
        <w:rPr>
          <w:color w:val="E97132" w:themeColor="accent2"/>
          <w14:textFill>
            <w14:solidFill>
              <w14:schemeClr w14:val="accent2"/>
            </w14:solidFill>
          </w14:textFill>
        </w:rPr>
      </w:pPr>
      <w:r>
        <w:rPr>
          <w:rFonts w:hint="eastAsia"/>
        </w:rPr>
        <w:t>当获取到新币token地址后，先在dextools上查看币的基本信息，然后在</w:t>
      </w:r>
      <w:r>
        <w:rPr>
          <w:rFonts w:hint="eastAsia"/>
          <w:highlight w:val="yellow"/>
        </w:rPr>
        <w:t>后台</w:t>
      </w:r>
      <w:r>
        <w:rPr>
          <w:rFonts w:hint="eastAsia"/>
          <w:color w:val="00B050"/>
        </w:rPr>
        <w:t>交易所pair白名单</w:t>
      </w:r>
      <w:r>
        <w:rPr>
          <w:rFonts w:hint="eastAsia"/>
        </w:rPr>
        <w:t>中查看是否采集到相关交易所交易对。如未获取到交易对，可在对冲采集群中输入</w:t>
      </w:r>
      <w:r>
        <w:rPr>
          <w:rFonts w:hint="eastAsia"/>
          <w:color w:val="00B0F0"/>
        </w:rPr>
        <w:t>update</w:t>
      </w:r>
      <w:r>
        <w:rPr>
          <w:rFonts w:hint="eastAsia"/>
        </w:rPr>
        <w:t>指令更新pair白名单。如采集到交易对，没有展示token地址，可在</w:t>
      </w:r>
      <w:r>
        <w:rPr>
          <w:rFonts w:hint="eastAsia"/>
          <w:color w:val="00B050"/>
        </w:rPr>
        <w:t>交易所数据采集</w:t>
      </w:r>
      <w:r>
        <w:rPr>
          <w:rFonts w:hint="eastAsia"/>
        </w:rPr>
        <w:t>表中查找该币是否采集到token地址。如果采集到，状态为未审核，则需要在该交易所</w:t>
      </w:r>
      <w:r>
        <w:rPr>
          <w:rFonts w:hint="eastAsia"/>
          <w:color w:val="EE0000"/>
        </w:rPr>
        <w:t>链上充值或链上提现页面匹配后台地址是否和合约地址一致</w:t>
      </w:r>
      <w:r>
        <w:rPr>
          <w:rFonts w:hint="eastAsia"/>
        </w:rPr>
        <w:t>。一致才能审核。审核后才可添加白名单。如交易所pair白名单和交易所数据采集表均未找到该币，输入</w:t>
      </w:r>
      <w:r>
        <w:rPr>
          <w:rFonts w:hint="eastAsia"/>
          <w:color w:val="00B0F0"/>
        </w:rPr>
        <w:t>token</w:t>
      </w:r>
      <w:r>
        <w:rPr>
          <w:rFonts w:hint="eastAsia"/>
        </w:rPr>
        <w:t>指令更新数据采集token。 白名单添加后，需观察交易所和链上的价格是否产生交互。正常交互可开启正常交易。</w:t>
      </w:r>
      <w:r>
        <w:rPr>
          <w:rFonts w:hint="eastAsia"/>
          <w:color w:val="E97132" w:themeColor="accent2"/>
          <w14:textFill>
            <w14:solidFill>
              <w14:schemeClr w14:val="accent2"/>
            </w14:solidFill>
          </w14:textFill>
        </w:rPr>
        <w:t>脱钩状态如果是链上价格较高则可先保持开启。如果是交易所价格高则不能开。</w:t>
      </w:r>
    </w:p>
    <w:p w14:paraId="444B3425">
      <w:r>
        <w:rPr>
          <w:rFonts w:hint="eastAsia"/>
          <w:b/>
          <w:bCs/>
        </w:rPr>
        <w:t>关币流程：</w:t>
      </w:r>
      <w:r>
        <w:rPr>
          <w:b/>
          <w:bCs/>
        </w:rPr>
        <w:br w:type="textWrapping"/>
      </w:r>
      <w:r>
        <w:rPr>
          <w:rFonts w:hint="eastAsia"/>
          <w:color w:val="E97132" w:themeColor="accent2"/>
          <w14:textFill>
            <w14:solidFill>
              <w14:schemeClr w14:val="accent2"/>
            </w14:solidFill>
          </w14:textFill>
        </w:rPr>
        <w:t>1-2小时没有订单的币，</w:t>
      </w:r>
      <w:r>
        <w:rPr>
          <w:rFonts w:hint="eastAsia"/>
          <w:color w:val="0E2841" w:themeColor="text2"/>
          <w14:textFill>
            <w14:solidFill>
              <w14:schemeClr w14:val="tx2"/>
            </w14:solidFill>
          </w14:textFill>
        </w:rPr>
        <w:t>手上还有持仓的情况下，开</w:t>
      </w:r>
      <w:r>
        <w:rPr>
          <w:rFonts w:hint="eastAsia"/>
          <w:color w:val="E97132" w:themeColor="accent2"/>
          <w14:textFill>
            <w14:solidFill>
              <w14:schemeClr w14:val="accent2"/>
            </w14:solidFill>
          </w14:textFill>
        </w:rPr>
        <w:t>只卖</w:t>
      </w:r>
      <w:r>
        <w:rPr>
          <w:rFonts w:hint="eastAsia"/>
        </w:rPr>
        <w:t>。然后在后台余额列表</w:t>
      </w:r>
      <w:r>
        <w:rPr>
          <w:rFonts w:hint="eastAsia"/>
          <w:color w:val="E97132" w:themeColor="accent2"/>
          <w14:textFill>
            <w14:solidFill>
              <w14:schemeClr w14:val="accent2"/>
            </w14:solidFill>
          </w14:textFill>
        </w:rPr>
        <w:t>手动卖币</w:t>
      </w:r>
      <w:r>
        <w:rPr>
          <w:rFonts w:hint="eastAsia"/>
        </w:rPr>
        <w:t>。</w:t>
      </w:r>
      <w:r>
        <w:rPr>
          <w:rStyle w:val="18"/>
          <w:rFonts w:hint="eastAsia"/>
        </w:rPr>
        <w:endnoteReference w:id="0"/>
      </w:r>
      <w:r>
        <w:rPr>
          <w:rFonts w:hint="eastAsia"/>
        </w:rPr>
        <w:t>在交易订单中</w:t>
      </w:r>
      <w:r>
        <w:rPr>
          <w:rFonts w:hint="eastAsia"/>
          <w:color w:val="E97132" w:themeColor="accent2"/>
          <w14:textFill>
            <w14:solidFill>
              <w14:schemeClr w14:val="accent2"/>
            </w14:solidFill>
          </w14:textFill>
        </w:rPr>
        <w:t>确认清仓后关闭</w:t>
      </w:r>
      <w:r>
        <w:rPr>
          <w:rFonts w:hint="eastAsia"/>
        </w:rPr>
        <w:t>。针对</w:t>
      </w:r>
      <w:commentRangeStart w:id="9"/>
      <w:r>
        <w:rPr>
          <w:rFonts w:hint="eastAsia"/>
          <w:color w:val="E97132" w:themeColor="accent2"/>
          <w14:textFill>
            <w14:solidFill>
              <w14:schemeClr w14:val="accent2"/>
            </w14:solidFill>
          </w14:textFill>
        </w:rPr>
        <w:t>手续费0.25%和V2的币需要及时清仓</w:t>
      </w:r>
      <w:commentRangeEnd w:id="9"/>
      <w:r>
        <w:commentReference w:id="9"/>
      </w:r>
      <w:r>
        <w:rPr>
          <w:rFonts w:hint="eastAsia"/>
        </w:rPr>
        <w:t>。</w:t>
      </w:r>
      <w:r>
        <w:rPr>
          <w:rFonts w:hint="eastAsia"/>
          <w:color w:val="E97132" w:themeColor="accent2"/>
          <w14:textFill>
            <w14:solidFill>
              <w14:schemeClr w14:val="accent2"/>
            </w14:solidFill>
          </w14:textFill>
        </w:rPr>
        <w:t>V3手续费0.01%和0.05%的币</w:t>
      </w:r>
      <w:r>
        <w:rPr>
          <w:rFonts w:hint="eastAsia"/>
          <w:color w:val="000000" w:themeColor="text1"/>
          <w14:textFill>
            <w14:solidFill>
              <w14:schemeClr w14:val="tx1"/>
            </w14:solidFill>
          </w14:textFill>
        </w:rPr>
        <w:t>可根据市场反应选择</w:t>
      </w:r>
      <w:r>
        <w:rPr>
          <w:rFonts w:hint="eastAsia"/>
          <w:color w:val="E97132" w:themeColor="accent2"/>
          <w14:textFill>
            <w14:solidFill>
              <w14:schemeClr w14:val="accent2"/>
            </w14:solidFill>
          </w14:textFill>
        </w:rPr>
        <w:t>只卖或者关闭</w:t>
      </w:r>
      <w:r>
        <w:rPr>
          <w:rFonts w:hint="eastAsia"/>
        </w:rPr>
        <w:t>。</w:t>
      </w:r>
    </w:p>
    <w:p w14:paraId="0DB94A33">
      <w:pPr>
        <w:outlineLvl w:val="1"/>
        <w:rPr>
          <w:b/>
          <w:bCs/>
        </w:rPr>
      </w:pPr>
      <w:r>
        <w:rPr>
          <w:rFonts w:hint="eastAsia"/>
          <w:b/>
          <w:bCs/>
        </w:rPr>
        <w:t>3.3日常观察</w:t>
      </w:r>
    </w:p>
    <w:p w14:paraId="1089E8FB">
      <w:r>
        <w:rPr>
          <w:rFonts w:hint="eastAsia"/>
        </w:rPr>
        <w:t>跨所套利相关群推送：</w:t>
      </w:r>
    </w:p>
    <w:p w14:paraId="56D0493A">
      <w:pPr>
        <w:pStyle w:val="35"/>
        <w:numPr>
          <w:ilvl w:val="0"/>
          <w:numId w:val="4"/>
        </w:numPr>
      </w:pPr>
      <w:r>
        <w:rPr>
          <w:rFonts w:hint="eastAsia"/>
        </w:rPr>
        <w:t>跨所套利-成功：所有成功上链的订单。观察是否有</w:t>
      </w:r>
      <w:r>
        <w:rPr>
          <w:rFonts w:hint="eastAsia"/>
          <w:color w:val="E97132" w:themeColor="accent2"/>
          <w14:textFill>
            <w14:solidFill>
              <w14:schemeClr w14:val="accent2"/>
            </w14:solidFill>
          </w14:textFill>
        </w:rPr>
        <w:t>订单激增的token及时调整参数</w:t>
      </w:r>
      <w:r>
        <w:rPr>
          <w:rFonts w:hint="eastAsia"/>
        </w:rPr>
        <w:t>。统计是否有</w:t>
      </w:r>
      <w:r>
        <w:rPr>
          <w:rFonts w:hint="eastAsia"/>
          <w:color w:val="E97132" w:themeColor="accent2"/>
          <w14:textFill>
            <w14:solidFill>
              <w14:schemeClr w14:val="accent2"/>
            </w14:solidFill>
          </w14:textFill>
        </w:rPr>
        <w:t>单笔利润</w:t>
      </w:r>
      <w:r>
        <w:rPr>
          <w:rFonts w:hint="eastAsia"/>
        </w:rPr>
        <w:t>，如无则可能统计有问题。需要通知运维或开发。如果</w:t>
      </w:r>
      <w:r>
        <w:rPr>
          <w:rFonts w:hint="eastAsia"/>
          <w:color w:val="E97132" w:themeColor="accent2"/>
          <w14:textFill>
            <w14:solidFill>
              <w14:schemeClr w14:val="accent2"/>
            </w14:solidFill>
          </w14:textFill>
        </w:rPr>
        <w:t>订单没有推送了需要查看链上合约是否有交易</w:t>
      </w:r>
      <w:r>
        <w:rPr>
          <w:rFonts w:hint="eastAsia"/>
        </w:rPr>
        <w:t>，如无可能是策略挂了，及时通知开发。当所有</w:t>
      </w:r>
      <w:r>
        <w:rPr>
          <w:rFonts w:hint="eastAsia"/>
          <w:color w:val="E97132" w:themeColor="accent2"/>
          <w14:textFill>
            <w14:solidFill>
              <w14:schemeClr w14:val="accent2"/>
            </w14:solidFill>
          </w14:textFill>
        </w:rPr>
        <w:t>token普遍成功率不高时尝试重启服务器</w:t>
      </w:r>
      <w:r>
        <w:rPr>
          <w:rFonts w:hint="eastAsia"/>
        </w:rPr>
        <w:t>如无法解决，及时联系运维，主管，开发。</w:t>
      </w:r>
    </w:p>
    <w:p w14:paraId="3D28C2F2">
      <w:pPr>
        <w:pStyle w:val="35"/>
        <w:numPr>
          <w:ilvl w:val="0"/>
          <w:numId w:val="4"/>
        </w:numPr>
      </w:pPr>
      <w:r>
        <w:rPr>
          <w:rFonts w:hint="eastAsia"/>
        </w:rPr>
        <w:t>跨所套利-失败：所有未成功上链的订单。观察是否有</w:t>
      </w:r>
      <w:r>
        <w:rPr>
          <w:rFonts w:hint="eastAsia"/>
          <w:color w:val="E97132" w:themeColor="accent2"/>
          <w14:textFill>
            <w14:solidFill>
              <w14:schemeClr w14:val="accent2"/>
            </w14:solidFill>
          </w14:textFill>
        </w:rPr>
        <w:t>token失败订单激增，及时调整捆绑系数</w:t>
      </w:r>
      <w:r>
        <w:rPr>
          <w:rFonts w:hint="eastAsia"/>
        </w:rPr>
        <w:t>。观察提交时间是否处于</w:t>
      </w:r>
      <w:r>
        <w:rPr>
          <w:rFonts w:hint="eastAsia"/>
          <w:color w:val="E97132" w:themeColor="accent2"/>
          <w14:textFill>
            <w14:solidFill>
              <w14:schemeClr w14:val="accent2"/>
            </w14:solidFill>
          </w14:textFill>
        </w:rPr>
        <w:t>正常时间</w:t>
      </w:r>
      <w:r>
        <w:rPr>
          <w:rFonts w:hint="eastAsia"/>
        </w:rPr>
        <w:t>内。如连续超</w:t>
      </w:r>
      <w:commentRangeStart w:id="10"/>
      <w:r>
        <w:rPr>
          <w:rFonts w:hint="eastAsia"/>
        </w:rPr>
        <w:t>过预定时间</w:t>
      </w:r>
      <w:commentRangeEnd w:id="10"/>
      <w:r>
        <w:commentReference w:id="10"/>
      </w:r>
      <w:r>
        <w:rPr>
          <w:rFonts w:hint="eastAsia"/>
        </w:rPr>
        <w:t>查看服务器状态，及时重启。</w:t>
      </w:r>
      <w:r>
        <w:rPr>
          <w:rFonts w:hint="eastAsia"/>
          <w:color w:val="E97132" w:themeColor="accent2"/>
          <w14:textFill>
            <w14:solidFill>
              <w14:schemeClr w14:val="accent2"/>
            </w14:solidFill>
          </w14:textFill>
        </w:rPr>
        <w:t>如果无竞争者参与失败订单连续出现，尝试重启服务器</w:t>
      </w:r>
      <w:r>
        <w:rPr>
          <w:rFonts w:hint="eastAsia"/>
        </w:rPr>
        <w:t>，如没有效果及时联系运维，主管，开发。</w:t>
      </w:r>
    </w:p>
    <w:p w14:paraId="3E25E2AE">
      <w:pPr>
        <w:pStyle w:val="35"/>
        <w:numPr>
          <w:ilvl w:val="0"/>
          <w:numId w:val="4"/>
        </w:numPr>
      </w:pPr>
      <w:r>
        <w:rPr>
          <w:rFonts w:hint="eastAsia"/>
        </w:rPr>
        <w:t>跨所套利运营预警：</w:t>
      </w:r>
      <w:r>
        <w:rPr>
          <w:rFonts w:hint="eastAsia"/>
          <w:color w:val="E97132" w:themeColor="accent2"/>
          <w14:textFill>
            <w14:solidFill>
              <w14:schemeClr w14:val="accent2"/>
            </w14:solidFill>
          </w14:textFill>
        </w:rPr>
        <w:t>1小时没有订单的token。观察并及时关闭</w:t>
      </w:r>
      <w:r>
        <w:rPr>
          <w:rFonts w:hint="eastAsia"/>
        </w:rPr>
        <w:t>。合约稳定币</w:t>
      </w:r>
      <w:r>
        <w:rPr>
          <w:rFonts w:hint="eastAsia"/>
          <w:color w:val="E97132" w:themeColor="accent2"/>
          <w14:textFill>
            <w14:solidFill>
              <w14:schemeClr w14:val="accent2"/>
            </w14:solidFill>
          </w14:textFill>
        </w:rPr>
        <w:t>余额不足提示。在余额列表手动卖币</w:t>
      </w:r>
      <w:r>
        <w:rPr>
          <w:rFonts w:hint="eastAsia"/>
        </w:rPr>
        <w:t>进行稳定币转换。</w:t>
      </w:r>
      <w:r>
        <w:rPr>
          <w:color w:val="000000" w:themeColor="text1"/>
          <w14:textFill>
            <w14:solidFill>
              <w14:schemeClr w14:val="tx1"/>
            </w14:solidFill>
          </w14:textFill>
        </w:rPr>
        <w:t>G</w:t>
      </w:r>
      <w:r>
        <w:rPr>
          <w:rFonts w:hint="eastAsia"/>
          <w:color w:val="000000" w:themeColor="text1"/>
          <w14:textFill>
            <w14:solidFill>
              <w14:schemeClr w14:val="tx1"/>
            </w14:solidFill>
          </w14:textFill>
        </w:rPr>
        <w:t>as费钱包余额不足</w:t>
      </w:r>
      <w:r>
        <w:rPr>
          <w:rFonts w:hint="eastAsia"/>
        </w:rPr>
        <w:t>，及时联系财务充值。</w:t>
      </w:r>
    </w:p>
    <w:p w14:paraId="6A28A35B">
      <w:pPr>
        <w:pStyle w:val="35"/>
        <w:numPr>
          <w:ilvl w:val="0"/>
          <w:numId w:val="4"/>
        </w:numPr>
      </w:pPr>
      <w:r>
        <w:rPr>
          <w:rFonts w:hint="eastAsia"/>
          <w:color w:val="EE0000"/>
        </w:rPr>
        <w:t>跨所套利活跃交易对推送（重要！）</w:t>
      </w:r>
      <w:r>
        <w:rPr>
          <w:rFonts w:hint="eastAsia"/>
        </w:rPr>
        <w:t>：未开启的币交易量和价格波动达到预设值，推送交易对信息。需</w:t>
      </w:r>
      <w:r>
        <w:rPr>
          <w:rFonts w:hint="eastAsia"/>
          <w:color w:val="E97132" w:themeColor="accent2"/>
          <w14:textFill>
            <w14:solidFill>
              <w14:schemeClr w14:val="accent2"/>
            </w14:solidFill>
          </w14:textFill>
        </w:rPr>
        <w:t>及时查看是否需要开启</w:t>
      </w:r>
      <w:r>
        <w:rPr>
          <w:rFonts w:hint="eastAsia"/>
        </w:rPr>
        <w:t>！针对</w:t>
      </w:r>
      <w:r>
        <w:rPr>
          <w:rFonts w:hint="eastAsia"/>
          <w:color w:val="E97132" w:themeColor="accent2"/>
          <w14:textFill>
            <w14:solidFill>
              <w14:schemeClr w14:val="accent2"/>
            </w14:solidFill>
          </w14:textFill>
        </w:rPr>
        <w:t>币安alpha板块的代币</w:t>
      </w:r>
      <w:r>
        <w:rPr>
          <w:rFonts w:hint="eastAsia"/>
        </w:rPr>
        <w:t>，已开启的代币在达到预设值时推送持仓调整。需</w:t>
      </w:r>
      <w:r>
        <w:rPr>
          <w:rFonts w:hint="eastAsia"/>
          <w:color w:val="E97132" w:themeColor="accent2"/>
          <w14:textFill>
            <w14:solidFill>
              <w14:schemeClr w14:val="accent2"/>
            </w14:solidFill>
          </w14:textFill>
        </w:rPr>
        <w:t>及时查看！并根据情况调整参数</w:t>
      </w:r>
      <w:r>
        <w:rPr>
          <w:rFonts w:hint="eastAsia"/>
        </w:rPr>
        <w:t>！</w:t>
      </w:r>
    </w:p>
    <w:p w14:paraId="1260ECC9">
      <w:pPr>
        <w:pStyle w:val="35"/>
        <w:numPr>
          <w:ilvl w:val="0"/>
          <w:numId w:val="4"/>
        </w:numPr>
      </w:pPr>
      <w:r>
        <w:rPr>
          <w:rFonts w:hint="eastAsia"/>
        </w:rPr>
        <w:t>跨所套利亏损预警：单笔亏损达到预设亏损比例的交易，如发现</w:t>
      </w:r>
      <w:r>
        <w:rPr>
          <w:rFonts w:hint="eastAsia"/>
          <w:color w:val="E97132" w:themeColor="accent2"/>
          <w14:textFill>
            <w14:solidFill>
              <w14:schemeClr w14:val="accent2"/>
            </w14:solidFill>
          </w14:textFill>
        </w:rPr>
        <w:t>token连续亏损，需及时查看并调整白名单参数或只卖</w:t>
      </w:r>
      <w:r>
        <w:rPr>
          <w:rFonts w:hint="eastAsia"/>
        </w:rPr>
        <w:t>。</w:t>
      </w:r>
    </w:p>
    <w:p w14:paraId="5D3F8703">
      <w:pPr>
        <w:pStyle w:val="35"/>
        <w:numPr>
          <w:ilvl w:val="0"/>
          <w:numId w:val="4"/>
        </w:numPr>
      </w:pPr>
      <w:r>
        <w:rPr>
          <w:rFonts w:hint="eastAsia"/>
        </w:rPr>
        <w:t>跨所套利查询：日志查询群，发现异常订单可查询日志。如果</w:t>
      </w:r>
      <w:r>
        <w:rPr>
          <w:rFonts w:hint="eastAsia"/>
          <w:color w:val="E97132" w:themeColor="accent2"/>
          <w14:textFill>
            <w14:solidFill>
              <w14:schemeClr w14:val="accent2"/>
            </w14:solidFill>
          </w14:textFill>
        </w:rPr>
        <w:t>某个币没有订单</w:t>
      </w:r>
      <w:r>
        <w:rPr>
          <w:rFonts w:hint="eastAsia"/>
        </w:rPr>
        <w:t>，找到该币的交易最近的交易区块号输入</w:t>
      </w:r>
      <w:r>
        <w:rPr>
          <w:rFonts w:hint="eastAsia"/>
          <w:color w:val="E97132" w:themeColor="accent2"/>
          <w14:textFill>
            <w14:solidFill>
              <w14:schemeClr w14:val="accent2"/>
            </w14:solidFill>
          </w14:textFill>
        </w:rPr>
        <w:t>区块号#68</w:t>
      </w:r>
      <w:r>
        <w:rPr>
          <w:rFonts w:hint="eastAsia"/>
        </w:rPr>
        <w:t xml:space="preserve">，查询是否有触发交易所。如果没有触发交易所，则检查开币流程是否正确！ </w:t>
      </w:r>
    </w:p>
    <w:p w14:paraId="06DB1CE8">
      <w:pPr>
        <w:pStyle w:val="35"/>
        <w:numPr>
          <w:ilvl w:val="0"/>
          <w:numId w:val="4"/>
        </w:numPr>
        <w:rPr>
          <w:color w:val="E97132" w:themeColor="accent2"/>
          <w14:textFill>
            <w14:solidFill>
              <w14:schemeClr w14:val="accent2"/>
            </w14:solidFill>
          </w14:textFill>
        </w:rPr>
      </w:pPr>
      <w:r>
        <w:rPr>
          <w:rFonts w:hint="eastAsia"/>
        </w:rPr>
        <w:t>对冲采集：交易所交易对，token地址采集1小时执行1次。</w:t>
      </w:r>
      <w:r>
        <w:rPr>
          <w:rFonts w:hint="eastAsia"/>
          <w:color w:val="E97132" w:themeColor="accent2"/>
          <w14:textFill>
            <w14:solidFill>
              <w14:schemeClr w14:val="accent2"/>
            </w14:solidFill>
          </w14:textFill>
        </w:rPr>
        <w:t>每小时观察一次</w:t>
      </w:r>
      <w:r>
        <w:rPr>
          <w:rFonts w:hint="eastAsia"/>
        </w:rPr>
        <w:t>是否正常运行。如</w:t>
      </w:r>
      <w:r>
        <w:rPr>
          <w:rFonts w:hint="eastAsia"/>
          <w:color w:val="E97132" w:themeColor="accent2"/>
          <w14:textFill>
            <w14:solidFill>
              <w14:schemeClr w14:val="accent2"/>
            </w14:solidFill>
          </w14:textFill>
        </w:rPr>
        <w:t>新币上线</w:t>
      </w:r>
      <w:r>
        <w:rPr>
          <w:rFonts w:hint="eastAsia"/>
          <w:color w:val="E97132" w:themeColor="accent2"/>
          <w:lang w:val="en-US" w:eastAsia="zh-CN"/>
          <w14:textFill>
            <w14:solidFill>
              <w14:schemeClr w14:val="accent2"/>
            </w14:solidFill>
          </w14:textFill>
        </w:rPr>
        <w:t>b</w:t>
      </w:r>
      <w:r>
        <w:rPr>
          <w:rFonts w:hint="eastAsia"/>
          <w:color w:val="E97132" w:themeColor="accent2"/>
          <w14:textFill>
            <w14:solidFill>
              <w14:schemeClr w14:val="accent2"/>
            </w14:solidFill>
          </w14:textFill>
        </w:rPr>
        <w:t>未采集到在群里输入</w:t>
      </w:r>
      <w:r>
        <w:rPr>
          <w:color w:val="E97132" w:themeColor="accent2"/>
          <w14:textFill>
            <w14:solidFill>
              <w14:schemeClr w14:val="accent2"/>
            </w14:solidFill>
          </w14:textFill>
        </w:rPr>
        <w:t>&lt;</w:t>
      </w:r>
      <w:r>
        <w:rPr>
          <w:rFonts w:hint="eastAsia"/>
          <w:color w:val="E97132" w:themeColor="accent2"/>
          <w:sz w:val="24"/>
          <w14:textFill>
            <w14:solidFill>
              <w14:schemeClr w14:val="accent2"/>
            </w14:solidFill>
          </w14:textFill>
        </w:rPr>
        <w:t>updat</w:t>
      </w:r>
      <w:r>
        <w:rPr>
          <w:color w:val="E97132" w:themeColor="accent2"/>
          <w:sz w:val="24"/>
          <w14:textFill>
            <w14:solidFill>
              <w14:schemeClr w14:val="accent2"/>
            </w14:solidFill>
          </w14:textFill>
        </w:rPr>
        <w:t>e&gt;</w:t>
      </w:r>
      <w:r>
        <w:rPr>
          <w:rFonts w:hint="eastAsia"/>
          <w:color w:val="E97132" w:themeColor="accent2"/>
          <w:sz w:val="24"/>
          <w14:textFill>
            <w14:solidFill>
              <w14:schemeClr w14:val="accent2"/>
            </w14:solidFill>
          </w14:textFill>
        </w:rPr>
        <w:t>采集交易对，</w:t>
      </w:r>
      <w:r>
        <w:rPr>
          <w:color w:val="E97132" w:themeColor="accent2"/>
          <w:sz w:val="24"/>
          <w14:textFill>
            <w14:solidFill>
              <w14:schemeClr w14:val="accent2"/>
            </w14:solidFill>
          </w14:textFill>
        </w:rPr>
        <w:t>&lt;</w:t>
      </w:r>
      <w:r>
        <w:rPr>
          <w:rFonts w:hint="eastAsia"/>
          <w:color w:val="E97132" w:themeColor="accent2"/>
          <w:sz w:val="24"/>
          <w14:textFill>
            <w14:solidFill>
              <w14:schemeClr w14:val="accent2"/>
            </w14:solidFill>
          </w14:textFill>
        </w:rPr>
        <w:t>token</w:t>
      </w:r>
      <w:r>
        <w:rPr>
          <w:color w:val="E97132" w:themeColor="accent2"/>
          <w:sz w:val="24"/>
          <w14:textFill>
            <w14:solidFill>
              <w14:schemeClr w14:val="accent2"/>
            </w14:solidFill>
          </w14:textFill>
        </w:rPr>
        <w:t>&gt;</w:t>
      </w:r>
      <w:r>
        <w:rPr>
          <w:rFonts w:hint="eastAsia"/>
          <w:color w:val="E97132" w:themeColor="accent2"/>
          <w:sz w:val="24"/>
          <w14:textFill>
            <w14:solidFill>
              <w14:schemeClr w14:val="accent2"/>
            </w14:solidFill>
          </w14:textFill>
        </w:rPr>
        <w:t>采集合约地址。</w:t>
      </w:r>
    </w:p>
    <w:p w14:paraId="1B56D9C6">
      <w:pPr>
        <w:rPr>
          <w:rFonts w:hint="eastAsia"/>
          <w:b/>
          <w:bCs/>
          <w:sz w:val="24"/>
        </w:rPr>
      </w:pPr>
      <w:r>
        <w:rPr>
          <w:rFonts w:hint="eastAsia"/>
          <w:b/>
          <w:bCs/>
          <w:sz w:val="24"/>
        </w:rPr>
        <w:t>订单失败的可能原因：</w:t>
      </w:r>
    </w:p>
    <w:p w14:paraId="742CDD26">
      <w:pPr>
        <w:pStyle w:val="35"/>
        <w:numPr>
          <w:ilvl w:val="0"/>
          <w:numId w:val="5"/>
        </w:numPr>
      </w:pPr>
      <w:r>
        <w:rPr>
          <w:rFonts w:hint="eastAsia"/>
        </w:rPr>
        <w:t>该区块为非捆绑区块</w:t>
      </w:r>
    </w:p>
    <w:p w14:paraId="296759FE">
      <w:pPr>
        <w:pStyle w:val="35"/>
        <w:ind w:left="360"/>
      </w:pPr>
      <w:commentRangeStart w:id="11"/>
      <w:r>
        <w:drawing>
          <wp:anchor distT="0" distB="0" distL="114300" distR="114300" simplePos="0" relativeHeight="251659264" behindDoc="0" locked="0" layoutInCell="1" allowOverlap="1">
            <wp:simplePos x="0" y="0"/>
            <wp:positionH relativeFrom="column">
              <wp:posOffset>0</wp:posOffset>
            </wp:positionH>
            <wp:positionV relativeFrom="paragraph">
              <wp:posOffset>228600</wp:posOffset>
            </wp:positionV>
            <wp:extent cx="5274310" cy="2533650"/>
            <wp:effectExtent l="0" t="0" r="2540" b="0"/>
            <wp:wrapSquare wrapText="bothSides"/>
            <wp:docPr id="1228494870" name="图片 1" descr="图形用户界面, 文本, 应用程序, 电子邮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94870" name="图片 1" descr="图形用户界面, 文本, 应用程序, 电子邮件"/>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533650"/>
                    </a:xfrm>
                    <a:prstGeom prst="rect">
                      <a:avLst/>
                    </a:prstGeom>
                  </pic:spPr>
                </pic:pic>
              </a:graphicData>
            </a:graphic>
          </wp:anchor>
        </w:drawing>
      </w:r>
      <w:commentRangeEnd w:id="11"/>
      <w:r>
        <w:commentReference w:id="11"/>
      </w:r>
      <w:r>
        <w:br w:type="textWrapping"/>
      </w:r>
      <w:r>
        <w:rPr>
          <w:rFonts w:hint="eastAsia"/>
        </w:rPr>
        <w:t>判断方法：查看区块的第二笔转账是不是各个捆绑平台的转账。目前捆绑平台：</w:t>
      </w:r>
      <w:r>
        <w:t>Txboost，BlockRazor，JetBldr.xyz，BloXroute</w:t>
      </w:r>
      <w:r>
        <w:rPr>
          <w:rFonts w:hint="eastAsia"/>
        </w:rPr>
        <w:t>，</w:t>
      </w:r>
      <w:r>
        <w:t>NodeReal，48.club</w:t>
      </w:r>
    </w:p>
    <w:p w14:paraId="10568DCA">
      <w:pPr>
        <w:pStyle w:val="35"/>
        <w:ind w:left="360"/>
        <w:rPr>
          <w:rFonts w:hint="eastAsia"/>
        </w:rPr>
      </w:pPr>
    </w:p>
    <w:p w14:paraId="71B47506">
      <w:pPr>
        <w:pStyle w:val="35"/>
        <w:numPr>
          <w:ilvl w:val="0"/>
          <w:numId w:val="5"/>
        </w:numPr>
      </w:pPr>
      <w:r>
        <w:rPr>
          <w:rFonts w:hint="eastAsia"/>
        </w:rPr>
        <w:t>与高捆绑费的竞争者竞争失败未上链</w:t>
      </w:r>
    </w:p>
    <w:p w14:paraId="483B705C">
      <w:pPr>
        <w:pStyle w:val="35"/>
        <w:ind w:left="360"/>
      </w:pPr>
      <w:r>
        <w:rPr>
          <w:rFonts w:hint="eastAsia"/>
        </w:rPr>
        <w:t>根据跨所套利</w:t>
      </w:r>
      <w:r>
        <w:t>-失败推送群查看与竞争者有交互的订单，</w:t>
      </w:r>
      <w:r>
        <w:rPr>
          <w:color w:val="E97132" w:themeColor="accent2"/>
          <w14:textFill>
            <w14:solidFill>
              <w14:schemeClr w14:val="accent2"/>
            </w14:solidFill>
          </w14:textFill>
        </w:rPr>
        <w:t>记录</w:t>
      </w:r>
      <w:r>
        <w:rPr>
          <w:rFonts w:hint="eastAsia"/>
          <w:color w:val="E97132" w:themeColor="accent2"/>
          <w14:textFill>
            <w14:solidFill>
              <w14:schemeClr w14:val="accent2"/>
            </w14:solidFill>
          </w14:textFill>
        </w:rPr>
        <w:t>排列在首位</w:t>
      </w:r>
      <w:r>
        <w:rPr>
          <w:color w:val="E97132" w:themeColor="accent2"/>
          <w14:textFill>
            <w14:solidFill>
              <w14:schemeClr w14:val="accent2"/>
            </w14:solidFill>
          </w14:textFill>
        </w:rPr>
        <w:t>竞争者的捆绑费+gas费总价以及我方的出价总价</w:t>
      </w:r>
      <w:r>
        <w:t>。我方的出价总价 = 理论利润*捆绑比率百分比。</w:t>
      </w:r>
    </w:p>
    <w:p w14:paraId="43FA7352">
      <w:r>
        <w:fldChar w:fldCharType="begin"/>
      </w:r>
      <w:r>
        <w:instrText xml:space="preserve"> HYPERLINK "https://docs.google.com/spreadsheets/d/1Py-UoRbCzxr7EuOu1kjFbwKxhkyCxL7NMZXkpxcHs0E/edit?gid=221669952#gid=22166995" </w:instrText>
      </w:r>
      <w:r>
        <w:fldChar w:fldCharType="separate"/>
      </w:r>
      <w:r>
        <w:rPr>
          <w:rStyle w:val="19"/>
        </w:rPr>
        <w:t>https://docs.google.com/spreadsheets/d/1Py-UoRbCzxr7EuOu1kjFbwKxhkyCxL7NMZXkpxcHs0E/edit?gid=221669952#gid=22166995</w:t>
      </w:r>
      <w:r>
        <w:rPr>
          <w:rStyle w:val="21"/>
        </w:rPr>
        <w:fldChar w:fldCharType="end"/>
      </w:r>
    </w:p>
    <w:p w14:paraId="328186F1">
      <w:pPr>
        <w:rPr>
          <w:rFonts w:hint="eastAsia"/>
        </w:rPr>
      </w:pPr>
      <w:r>
        <w:rPr>
          <w:rFonts w:hint="eastAsia"/>
        </w:rPr>
        <w:t>若该笔订单无竞争者，但是我们的订单仍为失败，则需查看日志。</w:t>
      </w:r>
      <w:r>
        <w:rPr>
          <w:rFonts w:hint="eastAsia"/>
          <w:color w:val="E97132" w:themeColor="accent2"/>
          <w14:textFill>
            <w14:solidFill>
              <w14:schemeClr w14:val="accent2"/>
            </w14:solidFill>
          </w14:textFill>
        </w:rPr>
        <w:t>将【区块号</w:t>
      </w:r>
      <w:r>
        <w:rPr>
          <w:color w:val="E97132" w:themeColor="accent2"/>
          <w14:textFill>
            <w14:solidFill>
              <w14:schemeClr w14:val="accent2"/>
            </w14:solidFill>
          </w14:textFill>
        </w:rPr>
        <w:t>#6</w:t>
      </w:r>
      <w:r>
        <w:rPr>
          <w:rFonts w:hint="eastAsia"/>
          <w:color w:val="E97132" w:themeColor="accent2"/>
          <w14:textFill>
            <w14:solidFill>
              <w14:schemeClr w14:val="accent2"/>
            </w14:solidFill>
          </w14:textFill>
        </w:rPr>
        <w:t>8</w:t>
      </w:r>
      <w:r>
        <w:rPr>
          <w:color w:val="E97132" w:themeColor="accent2"/>
          <w14:textFill>
            <w14:solidFill>
              <w14:schemeClr w14:val="accent2"/>
            </w14:solidFill>
          </w14:textFill>
        </w:rPr>
        <w:t>】输入到【跨所套利日志查询】群</w:t>
      </w:r>
      <w:r>
        <w:t>。</w:t>
      </w:r>
    </w:p>
    <w:p w14:paraId="6F0EB25F">
      <w:r>
        <w:rPr>
          <w:rFonts w:hint="eastAsia"/>
        </w:rPr>
        <w:t>只有</w:t>
      </w:r>
      <w:r>
        <w:t>48这个捆绑平台才可以查看未上链的原因但是并不是所有的订单都会给我</w:t>
      </w:r>
      <w:r>
        <w:rPr>
          <w:rFonts w:hint="eastAsia"/>
          <w:lang w:val="en-US" w:eastAsia="zh-CN"/>
        </w:rPr>
        <w:t>们</w:t>
      </w:r>
      <w:r>
        <w:t>返回未上链的原因，只有部分订单可以查看。</w:t>
      </w:r>
    </w:p>
    <w:p w14:paraId="0BC754A8">
      <w:r>
        <w:t>查询的</w:t>
      </w:r>
      <w:r>
        <w:rPr>
          <w:rFonts w:hint="eastAsia"/>
        </w:rPr>
        <w:t>网址：</w:t>
      </w:r>
      <w:r>
        <w:fldChar w:fldCharType="begin"/>
      </w:r>
      <w:r>
        <w:instrText xml:space="preserve">HYPERLINK "/Users/kk/Desktop/explore.48.club/v2/bundle?hash=？"</w:instrText>
      </w:r>
      <w:r>
        <w:fldChar w:fldCharType="separate"/>
      </w:r>
      <w:r>
        <w:rPr>
          <w:rStyle w:val="21"/>
          <w:color w:val="EE0000"/>
        </w:rPr>
        <w:t>explore.48.club/v2/bundle?hash=</w:t>
      </w:r>
      <w:r>
        <w:rPr>
          <w:rStyle w:val="21"/>
          <w:rFonts w:hint="eastAsia"/>
          <w:color w:val="EE0000"/>
        </w:rPr>
        <w:t>0x9cfd2a2525d41498a84e20229a14cb19e37ebdd588f0b7c85420b9fd874eaee7</w:t>
      </w:r>
      <w:r>
        <w:fldChar w:fldCharType="end"/>
      </w:r>
      <w:r>
        <w:rPr>
          <w:color w:val="EE0000"/>
        </w:rPr>
        <w:br w:type="textWrapping"/>
      </w:r>
      <w:r>
        <w:rPr>
          <w:rFonts w:hint="eastAsia"/>
        </w:rPr>
        <w:t>每次查看的时候去日志里面拿到捆绑</w:t>
      </w:r>
      <w:r>
        <w:t>hash，然后对应的替换网址的hash部分。</w:t>
      </w:r>
    </w:p>
    <w:p w14:paraId="778C5A56">
      <w:r>
        <w:rPr>
          <w:sz w:val="28"/>
          <w:szCs w:val="28"/>
        </w:rPr>
        <w:drawing>
          <wp:inline distT="0" distB="0" distL="0" distR="0">
            <wp:extent cx="5274310" cy="1118235"/>
            <wp:effectExtent l="0" t="0" r="8890" b="24765"/>
            <wp:docPr id="1770341790"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41790" name="图片 1" descr="图片包含 图示&#10;&#10;AI 生成的内容可能不正确。"/>
                    <pic:cNvPicPr>
                      <a:picLocks noChangeAspect="1"/>
                    </pic:cNvPicPr>
                  </pic:nvPicPr>
                  <pic:blipFill>
                    <a:blip r:embed="rId12"/>
                    <a:stretch>
                      <a:fillRect/>
                    </a:stretch>
                  </pic:blipFill>
                  <pic:spPr>
                    <a:xfrm>
                      <a:off x="0" y="0"/>
                      <a:ext cx="5274310" cy="1118235"/>
                    </a:xfrm>
                    <a:prstGeom prst="rect">
                      <a:avLst/>
                    </a:prstGeom>
                  </pic:spPr>
                </pic:pic>
              </a:graphicData>
            </a:graphic>
          </wp:inline>
        </w:drawing>
      </w:r>
    </w:p>
    <w:p w14:paraId="0DB559A8">
      <w:r>
        <w:rPr>
          <w:sz w:val="28"/>
          <w:szCs w:val="28"/>
        </w:rPr>
        <w:drawing>
          <wp:inline distT="0" distB="0" distL="0" distR="0">
            <wp:extent cx="5274310" cy="2451100"/>
            <wp:effectExtent l="0" t="0" r="8890" b="12700"/>
            <wp:docPr id="2073894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94480" name="图片 1"/>
                    <pic:cNvPicPr>
                      <a:picLocks noChangeAspect="1"/>
                    </pic:cNvPicPr>
                  </pic:nvPicPr>
                  <pic:blipFill>
                    <a:blip r:embed="rId13"/>
                    <a:stretch>
                      <a:fillRect/>
                    </a:stretch>
                  </pic:blipFill>
                  <pic:spPr>
                    <a:xfrm>
                      <a:off x="0" y="0"/>
                      <a:ext cx="5274310" cy="2451100"/>
                    </a:xfrm>
                    <a:prstGeom prst="rect">
                      <a:avLst/>
                    </a:prstGeom>
                  </pic:spPr>
                </pic:pic>
              </a:graphicData>
            </a:graphic>
          </wp:inline>
        </w:drawing>
      </w:r>
    </w:p>
    <w:p w14:paraId="3D59A6E7">
      <w:r>
        <w:rPr>
          <w:rFonts w:hint="eastAsia"/>
        </w:rPr>
        <w:t>捆绑平台有报错信息，可通过日志看到，即打印了</w:t>
      </w:r>
      <w:r>
        <w:t>error信息。</w:t>
      </w:r>
      <w:r>
        <w:rPr>
          <w:rFonts w:hint="eastAsia"/>
        </w:rPr>
        <w:t>报错信息需要和开发一起找到原因</w:t>
      </w:r>
    </w:p>
    <w:p w14:paraId="282A2851">
      <w:pPr>
        <w:rPr>
          <w:rFonts w:hint="eastAsia"/>
        </w:rPr>
      </w:pPr>
    </w:p>
    <w:p w14:paraId="297F1435">
      <w:pPr>
        <w:pStyle w:val="35"/>
        <w:numPr>
          <w:ilvl w:val="0"/>
          <w:numId w:val="5"/>
        </w:numPr>
        <w:outlineLvl w:val="0"/>
      </w:pPr>
      <w:r>
        <w:rPr>
          <w:rFonts w:hint="eastAsia"/>
        </w:rPr>
        <w:t>服务器状态异常————</w:t>
      </w:r>
    </w:p>
    <w:p w14:paraId="634DFE6F">
      <w:pPr>
        <w:pStyle w:val="35"/>
        <w:ind w:left="360"/>
        <w:rPr>
          <w:rFonts w:hint="eastAsia"/>
        </w:rPr>
      </w:pPr>
      <w:r>
        <w:rPr>
          <w:rFonts w:hint="eastAsia"/>
          <w:color w:val="E97132" w:themeColor="accent2"/>
          <w14:textFill>
            <w14:solidFill>
              <w14:schemeClr w14:val="accent2"/>
            </w14:solidFill>
          </w14:textFill>
        </w:rPr>
        <w:t>所有token成功率都普遍下降，无竞争者未上链的订单大量出现，</w:t>
      </w:r>
      <w:r>
        <w:rPr>
          <w:rFonts w:hint="eastAsia"/>
          <w:color w:val="E97132" w:themeColor="accent2"/>
          <w:lang w:val="en-US" w:eastAsia="zh-CN"/>
          <w14:textFill>
            <w14:solidFill>
              <w14:schemeClr w14:val="accent2"/>
            </w14:solidFill>
          </w14:textFill>
        </w:rPr>
        <w:t>区块延迟长期</w:t>
      </w:r>
      <w:r>
        <w:rPr>
          <w:rFonts w:hint="default"/>
          <w:color w:val="E97132" w:themeColor="accent2"/>
          <w:lang w:val="en-US" w:eastAsia="zh-CN"/>
          <w14:textFill>
            <w14:solidFill>
              <w14:schemeClr w14:val="accent2"/>
            </w14:solidFill>
          </w14:textFill>
        </w:rPr>
        <w:t>&gt;</w:t>
      </w:r>
      <w:r>
        <w:rPr>
          <w:rFonts w:hint="eastAsia"/>
          <w:color w:val="E97132" w:themeColor="accent2"/>
          <w:lang w:val="en-US" w:eastAsia="zh-CN"/>
          <w14:textFill>
            <w14:solidFill>
              <w14:schemeClr w14:val="accent2"/>
            </w14:solidFill>
          </w14:textFill>
        </w:rPr>
        <w:t>180ms</w:t>
      </w:r>
      <w:r>
        <w:rPr>
          <w:rFonts w:hint="eastAsia"/>
          <w:color w:val="E97132" w:themeColor="accent2"/>
          <w14:textFill>
            <w14:solidFill>
              <w14:schemeClr w14:val="accent2"/>
            </w14:solidFill>
          </w14:textFill>
        </w:rPr>
        <w:t>，订单量明显降低</w:t>
      </w:r>
      <w:r>
        <w:rPr>
          <w:rFonts w:hint="eastAsia"/>
        </w:rPr>
        <w:t>。出现以上任意情况重启服务器节点！！！</w:t>
      </w:r>
    </w:p>
    <w:p w14:paraId="53312C73">
      <w:r>
        <w:rPr>
          <w:rFonts w:hint="eastAsia"/>
        </w:rPr>
        <w:t>交易看板总览观察指南：</w:t>
      </w:r>
    </w:p>
    <w:p w14:paraId="20831B0F">
      <w:pPr>
        <w:pStyle w:val="35"/>
        <w:widowControl/>
        <w:numPr>
          <w:ilvl w:val="0"/>
          <w:numId w:val="6"/>
        </w:numPr>
        <w:contextualSpacing w:val="0"/>
      </w:pPr>
      <w:r>
        <w:rPr>
          <w:rFonts w:hint="eastAsia"/>
        </w:rPr>
        <w:t>价格曲线</w:t>
      </w:r>
      <w:r>
        <w:br w:type="textWrapping"/>
      </w:r>
      <w:r>
        <w:rPr>
          <w:rFonts w:hint="eastAsia"/>
        </w:rPr>
        <w:t>根据策略原理，价格波动带来价差。价差影响提单和利润变化。所以当价格曲线波动频繁，订单量应随之增加。理想状态下当价格上涨，利润和订单随之上涨。当价格下跌利润曲线伴随小幅度下跌后保持稳定增长或趋于平缓。当</w:t>
      </w:r>
      <w:r>
        <w:rPr>
          <w:rFonts w:hint="eastAsia"/>
          <w:color w:val="E97132" w:themeColor="accent2"/>
          <w14:textFill>
            <w14:solidFill>
              <w14:schemeClr w14:val="accent2"/>
            </w14:solidFill>
          </w14:textFill>
        </w:rPr>
        <w:t>价格波动较大时，应及时加仓，调整触发阈值</w:t>
      </w:r>
      <w:r>
        <w:rPr>
          <w:rFonts w:hint="eastAsia"/>
        </w:rPr>
        <w:t>，更频繁的提单创造利润。</w:t>
      </w:r>
      <w:r>
        <w:rPr>
          <w:rFonts w:hint="eastAsia"/>
          <w:color w:val="E97132" w:themeColor="accent2"/>
          <w14:textFill>
            <w14:solidFill>
              <w14:schemeClr w14:val="accent2"/>
            </w14:solidFill>
          </w14:textFill>
        </w:rPr>
        <w:t>反之降低持仓</w:t>
      </w:r>
      <w:r>
        <w:rPr>
          <w:rFonts w:hint="eastAsia"/>
        </w:rPr>
        <w:t>。减少损失。</w:t>
      </w:r>
    </w:p>
    <w:p w14:paraId="60B1DBC6">
      <w:pPr>
        <w:pStyle w:val="35"/>
        <w:widowControl/>
        <w:numPr>
          <w:ilvl w:val="0"/>
          <w:numId w:val="6"/>
        </w:numPr>
        <w:contextualSpacing w:val="0"/>
      </w:pPr>
      <w:r>
        <w:rPr>
          <w:rFonts w:hint="eastAsia"/>
        </w:rPr>
        <w:t>利润曲线</w:t>
      </w:r>
      <w:r>
        <w:br w:type="textWrapping"/>
      </w:r>
      <w:r>
        <w:rPr>
          <w:rFonts w:hint="eastAsia"/>
        </w:rPr>
        <w:t>当利润平稳上涨，订单量也应呈现总体上涨。</w:t>
      </w:r>
      <w:r>
        <w:rPr>
          <w:rFonts w:hint="eastAsia"/>
          <w:color w:val="E97132" w:themeColor="accent2"/>
          <w14:textFill>
            <w14:solidFill>
              <w14:schemeClr w14:val="accent2"/>
            </w14:solidFill>
          </w14:textFill>
        </w:rPr>
        <w:t>当利润增长缓慢或下跌，订单量稳定上涨时，应考虑降低持仓和触发阈值</w:t>
      </w:r>
      <w:r>
        <w:rPr>
          <w:rFonts w:hint="eastAsia"/>
        </w:rPr>
        <w:t>。当利润曲线变化较大时要重点观察，及时调整参数。</w:t>
      </w:r>
    </w:p>
    <w:p w14:paraId="22492627">
      <w:pPr>
        <w:pStyle w:val="35"/>
        <w:widowControl/>
        <w:numPr>
          <w:ilvl w:val="0"/>
          <w:numId w:val="6"/>
        </w:numPr>
        <w:contextualSpacing w:val="0"/>
      </w:pPr>
      <w:r>
        <w:rPr>
          <w:rFonts w:hint="eastAsia"/>
        </w:rPr>
        <w:t>订单量曲线</w:t>
      </w:r>
      <w:r>
        <w:br w:type="textWrapping"/>
      </w:r>
      <w:r>
        <w:rPr>
          <w:rFonts w:hint="eastAsia"/>
        </w:rPr>
        <w:t>理想状态下订单量应稳定上涨，当</w:t>
      </w:r>
      <w:r>
        <w:rPr>
          <w:rFonts w:hint="eastAsia"/>
          <w:color w:val="E97132" w:themeColor="accent2"/>
          <w14:textFill>
            <w14:solidFill>
              <w14:schemeClr w14:val="accent2"/>
            </w14:solidFill>
          </w14:textFill>
        </w:rPr>
        <w:t>订单量涨幅较低</w:t>
      </w:r>
      <w:r>
        <w:rPr>
          <w:rFonts w:hint="eastAsia"/>
        </w:rPr>
        <w:t>时，应观察是否正常提单，是否价格脱钩导致？当</w:t>
      </w:r>
      <w:r>
        <w:rPr>
          <w:rFonts w:hint="eastAsia"/>
          <w:color w:val="E97132" w:themeColor="accent2"/>
          <w14:textFill>
            <w14:solidFill>
              <w14:schemeClr w14:val="accent2"/>
            </w14:solidFill>
          </w14:textFill>
        </w:rPr>
        <w:t>价格脱钩严重时应及时清仓</w:t>
      </w:r>
      <w:r>
        <w:rPr>
          <w:rFonts w:hint="eastAsia"/>
        </w:rPr>
        <w:t>。</w:t>
      </w:r>
    </w:p>
    <w:p w14:paraId="19EDA588"/>
    <w:p w14:paraId="7D9DCAF1">
      <w:pPr>
        <w:rPr>
          <w:highlight w:val="cyan"/>
        </w:rPr>
      </w:pPr>
      <w:r>
        <w:rPr>
          <w:rFonts w:hint="eastAsia"/>
          <w:highlight w:val="cyan"/>
        </w:rPr>
        <w:t>后台关注内容：</w:t>
      </w:r>
    </w:p>
    <w:p w14:paraId="48F133A1">
      <w:r>
        <w:rPr>
          <w:rFonts w:hint="eastAsia"/>
        </w:rPr>
        <w:t>链上提单成功失败次数表：每小时清空一次数据。</w:t>
      </w:r>
      <w:commentRangeStart w:id="12"/>
      <w:r>
        <w:rPr>
          <w:rFonts w:hint="eastAsia"/>
          <w:color w:val="E97132" w:themeColor="accent2"/>
          <w14:textFill>
            <w14:solidFill>
              <w14:schemeClr w14:val="accent2"/>
            </w14:solidFill>
          </w14:textFill>
        </w:rPr>
        <w:t>低于50%成功率</w:t>
      </w:r>
      <w:commentRangeEnd w:id="12"/>
      <w:r>
        <w:commentReference w:id="12"/>
      </w:r>
      <w:r>
        <w:rPr>
          <w:rFonts w:hint="eastAsia"/>
        </w:rPr>
        <w:t>的token需要及时</w:t>
      </w:r>
      <w:r>
        <w:rPr>
          <w:rFonts w:hint="eastAsia"/>
          <w:color w:val="E97132" w:themeColor="accent2"/>
          <w14:textFill>
            <w14:solidFill>
              <w14:schemeClr w14:val="accent2"/>
            </w14:solidFill>
          </w14:textFill>
        </w:rPr>
        <w:t>计算</w:t>
      </w:r>
      <w:r>
        <w:rPr>
          <w:rFonts w:hint="eastAsia"/>
          <w:color w:val="0E2841" w:themeColor="text2"/>
          <w14:textFill>
            <w14:solidFill>
              <w14:schemeClr w14:val="tx2"/>
            </w14:solidFill>
          </w14:textFill>
        </w:rPr>
        <w:t>竞争者的</w:t>
      </w:r>
      <w:r>
        <w:rPr>
          <w:rFonts w:hint="eastAsia"/>
          <w:color w:val="E97132" w:themeColor="accent2"/>
          <w14:textFill>
            <w14:solidFill>
              <w14:schemeClr w14:val="accent2"/>
            </w14:solidFill>
          </w14:textFill>
        </w:rPr>
        <w:t>捆绑比例</w:t>
      </w:r>
      <w:r>
        <w:rPr>
          <w:rFonts w:hint="eastAsia"/>
        </w:rPr>
        <w:t>。</w:t>
      </w:r>
      <w:r>
        <w:rPr>
          <w:rFonts w:hint="eastAsia"/>
          <w:color w:val="E97132" w:themeColor="accent2"/>
          <w14:textFill>
            <w14:solidFill>
              <w14:schemeClr w14:val="accent2"/>
            </w14:solidFill>
          </w14:textFill>
        </w:rPr>
        <w:t>调整</w:t>
      </w:r>
      <w:r>
        <w:rPr>
          <w:rFonts w:hint="eastAsia"/>
        </w:rPr>
        <w:t>我方的捆绑比例。</w:t>
      </w:r>
    </w:p>
    <w:p w14:paraId="1C3BD1B8">
      <w:r>
        <w:rPr>
          <w:rFonts w:hint="eastAsia"/>
        </w:rPr>
        <w:t>钱包余额列表：跨所套利合约内最后交易时间</w:t>
      </w:r>
      <w:r>
        <w:rPr>
          <w:rFonts w:hint="eastAsia"/>
          <w:color w:val="E97132" w:themeColor="accent2"/>
          <w14:textFill>
            <w14:solidFill>
              <w14:schemeClr w14:val="accent2"/>
            </w14:solidFill>
          </w14:textFill>
        </w:rPr>
        <w:t>超过1小时的token</w:t>
      </w:r>
      <w:r>
        <w:rPr>
          <w:rFonts w:hint="eastAsia"/>
          <w:color w:val="000000" w:themeColor="text1"/>
          <w14:textFill>
            <w14:solidFill>
              <w14:schemeClr w14:val="tx1"/>
            </w14:solidFill>
          </w14:textFill>
        </w:rPr>
        <w:t>及时观察是否需要</w:t>
      </w:r>
      <w:r>
        <w:rPr>
          <w:rFonts w:hint="eastAsia"/>
          <w:color w:val="E97132" w:themeColor="accent2"/>
          <w14:textFill>
            <w14:solidFill>
              <w14:schemeClr w14:val="accent2"/>
            </w14:solidFill>
          </w14:textFill>
        </w:rPr>
        <w:t>手动卖币</w:t>
      </w:r>
      <w:r>
        <w:rPr>
          <w:rFonts w:hint="eastAsia"/>
          <w:color w:val="000000" w:themeColor="text1"/>
          <w14:textFill>
            <w14:solidFill>
              <w14:schemeClr w14:val="tx1"/>
            </w14:solidFill>
          </w14:textFill>
        </w:rPr>
        <w:t>清仓，并</w:t>
      </w:r>
      <w:r>
        <w:rPr>
          <w:rFonts w:hint="eastAsia"/>
          <w:color w:val="E97132" w:themeColor="accent2"/>
          <w14:textFill>
            <w14:solidFill>
              <w14:schemeClr w14:val="accent2"/>
            </w14:solidFill>
          </w14:textFill>
        </w:rPr>
        <w:t>关闭token</w:t>
      </w:r>
      <w:r>
        <w:rPr>
          <w:rFonts w:hint="eastAsia"/>
        </w:rPr>
        <w:t>。</w:t>
      </w:r>
    </w:p>
    <w:p w14:paraId="55FAA472">
      <w:commentRangeStart w:id="13"/>
      <w:r>
        <w:rPr>
          <w:rFonts w:hint="eastAsia"/>
        </w:rPr>
        <w:t>交易所pair白名单：交易所交易对采集</w:t>
      </w:r>
      <w:r>
        <w:t>,</w:t>
      </w:r>
      <w:r>
        <w:rPr>
          <w:rFonts w:hint="eastAsia"/>
          <w:color w:val="000000" w:themeColor="text1"/>
          <w14:textFill>
            <w14:solidFill>
              <w14:schemeClr w14:val="tx1"/>
            </w14:solidFill>
          </w14:textFill>
        </w:rPr>
        <w:t>添加新币时</w:t>
      </w:r>
      <w:r>
        <w:rPr>
          <w:rFonts w:hint="eastAsia"/>
        </w:rPr>
        <w:t>查看是否有采集到，如未采集到在</w:t>
      </w:r>
      <w:r>
        <w:rPr>
          <w:rFonts w:hint="eastAsia"/>
          <w:color w:val="E97132" w:themeColor="accent2"/>
          <w14:textFill>
            <w14:solidFill>
              <w14:schemeClr w14:val="accent2"/>
            </w14:solidFill>
          </w14:textFill>
        </w:rPr>
        <w:t>对冲采集群输入</w:t>
      </w:r>
      <w:r>
        <w:rPr>
          <w:rFonts w:hint="eastAsia"/>
        </w:rPr>
        <w:t xml:space="preserve"> </w:t>
      </w:r>
      <w:r>
        <w:rPr>
          <w:color w:val="E97132" w:themeColor="accent2"/>
          <w14:textFill>
            <w14:solidFill>
              <w14:schemeClr w14:val="accent2"/>
            </w14:solidFill>
          </w14:textFill>
        </w:rPr>
        <w:t>update</w:t>
      </w:r>
      <w:commentRangeEnd w:id="13"/>
      <w:r>
        <w:commentReference w:id="13"/>
      </w:r>
    </w:p>
    <w:p w14:paraId="43CB7E7F">
      <w:r>
        <w:rPr>
          <w:rFonts w:hint="eastAsia"/>
        </w:rPr>
        <w:t>交易所数据采集：token地址采集，</w:t>
      </w:r>
      <w:r>
        <w:rPr>
          <w:rFonts w:hint="eastAsia"/>
          <w:color w:val="E97132" w:themeColor="accent2"/>
          <w14:textFill>
            <w14:solidFill>
              <w14:schemeClr w14:val="accent2"/>
            </w14:solidFill>
          </w14:textFill>
        </w:rPr>
        <w:t>在对应交易所充值/提现页面核对token地址一致后才能审核</w:t>
      </w:r>
      <w:r>
        <w:rPr>
          <w:rFonts w:hint="eastAsia"/>
        </w:rPr>
        <w:t>。不同交易所有可能上线时间不一样，应及时查看并审核。</w:t>
      </w:r>
    </w:p>
    <w:p w14:paraId="1131C4DA">
      <w:r>
        <w:rPr>
          <w:rFonts w:hint="eastAsia"/>
        </w:rPr>
        <w:t>竞争者日报：每小时</w:t>
      </w:r>
      <w:commentRangeStart w:id="14"/>
      <w:r>
        <w:rPr>
          <w:rFonts w:hint="eastAsia"/>
        </w:rPr>
        <w:t>观察主要竞争者</w:t>
      </w:r>
      <w:commentRangeEnd w:id="14"/>
      <w:r>
        <w:commentReference w:id="14"/>
      </w:r>
      <w:r>
        <w:rPr>
          <w:rFonts w:hint="eastAsia"/>
        </w:rPr>
        <w:t>的token盈亏数据，</w:t>
      </w:r>
      <w:r>
        <w:rPr>
          <w:rFonts w:hint="eastAsia"/>
          <w:color w:val="E97132" w:themeColor="accent2"/>
          <w14:textFill>
            <w14:solidFill>
              <w14:schemeClr w14:val="accent2"/>
            </w14:solidFill>
          </w14:textFill>
        </w:rPr>
        <w:t>观察竞争者订单量较大的token</w:t>
      </w:r>
      <w:r>
        <w:rPr>
          <w:rFonts w:hint="eastAsia"/>
        </w:rPr>
        <w:t>，如果没有开启，及时开启。</w:t>
      </w:r>
    </w:p>
    <w:p w14:paraId="6162808A">
      <w:pPr>
        <w:rPr>
          <w:b/>
          <w:bCs/>
        </w:rPr>
      </w:pPr>
      <w:r>
        <w:rPr>
          <w:rFonts w:hint="eastAsia"/>
          <w:b/>
          <w:bCs/>
        </w:rPr>
        <w:t>常用工具：</w:t>
      </w:r>
      <w:r>
        <w:rPr>
          <w:b/>
          <w:bCs/>
        </w:rPr>
        <w:br w:type="textWrapping"/>
      </w:r>
      <w:r>
        <w:fldChar w:fldCharType="begin"/>
      </w:r>
      <w:r>
        <w:instrText xml:space="preserve"> HYPERLINK "https://www.dextools.io/app/cn/bnb/pairs" </w:instrText>
      </w:r>
      <w:r>
        <w:fldChar w:fldCharType="separate"/>
      </w:r>
      <w:r>
        <w:rPr>
          <w:rStyle w:val="21"/>
          <w:b/>
          <w:bCs/>
        </w:rPr>
        <w:t>https://www.dextools.io/app/cn/bnb/pairs</w:t>
      </w:r>
      <w:r>
        <w:rPr>
          <w:rStyle w:val="21"/>
          <w:b/>
          <w:bCs/>
        </w:rPr>
        <w:fldChar w:fldCharType="end"/>
      </w:r>
      <w:r>
        <w:rPr>
          <w:rFonts w:hint="eastAsia"/>
          <w:b/>
          <w:bCs/>
        </w:rPr>
        <w:t xml:space="preserve">   </w:t>
      </w:r>
    </w:p>
    <w:p w14:paraId="1AEA0A13">
      <w:pPr>
        <w:rPr>
          <w:b/>
          <w:bCs/>
        </w:rPr>
      </w:pPr>
      <w:r>
        <w:rPr>
          <w:rFonts w:hint="eastAsia"/>
          <w:b/>
          <w:bCs/>
        </w:rPr>
        <w:t>第三方查询token基本信息和交易对交易列表。</w:t>
      </w:r>
    </w:p>
    <w:p w14:paraId="1F912983">
      <w:pPr>
        <w:rPr>
          <w:b/>
          <w:bCs/>
        </w:rPr>
      </w:pPr>
      <w:r>
        <w:fldChar w:fldCharType="begin"/>
      </w:r>
      <w:r>
        <w:instrText xml:space="preserve"> HYPERLINK "https://bscscan.com/" </w:instrText>
      </w:r>
      <w:r>
        <w:fldChar w:fldCharType="separate"/>
      </w:r>
      <w:r>
        <w:rPr>
          <w:rStyle w:val="21"/>
          <w:b/>
          <w:bCs/>
        </w:rPr>
        <w:t>https://bscscan.com/</w:t>
      </w:r>
      <w:r>
        <w:rPr>
          <w:rStyle w:val="21"/>
          <w:b/>
          <w:bCs/>
        </w:rPr>
        <w:fldChar w:fldCharType="end"/>
      </w:r>
      <w:r>
        <w:rPr>
          <w:rFonts w:hint="eastAsia"/>
          <w:b/>
          <w:bCs/>
        </w:rPr>
        <w:t xml:space="preserve"> 官方查询平台。</w:t>
      </w:r>
    </w:p>
    <w:p w14:paraId="491D2F2B">
      <w:pPr>
        <w:rPr>
          <w:rFonts w:hint="eastAsia"/>
          <w:lang w:val="en-US" w:eastAsia="zh-CN"/>
        </w:rPr>
      </w:pPr>
      <w:r>
        <w:rPr>
          <w:rFonts w:hint="eastAsia"/>
        </w:rPr>
        <w:t>已接入的交易所：币安，芝麻开门，bybit，抹茶，bitget</w:t>
      </w:r>
      <w:r>
        <w:rPr>
          <w:rFonts w:hint="eastAsia"/>
          <w:lang w:eastAsia="zh-CN"/>
        </w:rPr>
        <w:t>，</w:t>
      </w:r>
      <w:r>
        <w:rPr>
          <w:rFonts w:hint="eastAsia"/>
          <w:lang w:val="en-US" w:eastAsia="zh-CN"/>
        </w:rPr>
        <w:t>Lbank（</w:t>
      </w:r>
      <w:commentRangeStart w:id="15"/>
      <w:r>
        <w:rPr>
          <w:rFonts w:hint="eastAsia"/>
          <w:lang w:val="en-US" w:eastAsia="zh-CN"/>
        </w:rPr>
        <w:t>手动添加token地址</w:t>
      </w:r>
      <w:commentRangeEnd w:id="15"/>
      <w:r>
        <w:commentReference w:id="15"/>
      </w:r>
      <w:r>
        <w:rPr>
          <w:rFonts w:hint="eastAsia"/>
          <w:lang w:val="en-US" w:eastAsia="zh-CN"/>
        </w:rPr>
        <w:t>），BingX（手动添加token地址），KuCoin，BitMart，Weex（手动添加token地址），XT</w:t>
      </w:r>
    </w:p>
    <w:p w14:paraId="75B91093">
      <w:pPr>
        <w:rPr>
          <w:rFonts w:hint="eastAsia"/>
          <w:lang w:val="en-US" w:eastAsia="zh-CN"/>
        </w:rPr>
      </w:pPr>
    </w:p>
    <w:p w14:paraId="52171B75">
      <w:pPr>
        <w:rPr>
          <w:rFonts w:hint="eastAsia"/>
          <w:b/>
          <w:bCs/>
          <w:lang w:val="en-US" w:eastAsia="zh-CN"/>
        </w:rPr>
      </w:pPr>
      <w:r>
        <w:rPr>
          <w:rFonts w:hint="eastAsia"/>
          <w:b/>
          <w:bCs/>
          <w:lang w:val="en-US" w:eastAsia="zh-CN"/>
        </w:rPr>
        <w:t>触发方式：（4种）</w:t>
      </w:r>
    </w:p>
    <w:p w14:paraId="02805289">
      <w:pPr>
        <w:rPr>
          <w:rFonts w:hint="default"/>
          <w:color w:val="FF0000"/>
          <w:lang w:val="en-US" w:eastAsia="zh-CN"/>
        </w:rPr>
      </w:pPr>
      <w:r>
        <w:rPr>
          <w:rFonts w:hint="eastAsia"/>
          <w:lang w:val="en-US" w:eastAsia="zh-CN"/>
        </w:rPr>
        <w:t>1、现货挂单价：1小时最大成交量交易所买1，卖1。</w:t>
      </w:r>
      <w:r>
        <w:rPr>
          <w:rFonts w:hint="eastAsia"/>
          <w:lang w:val="en-US" w:eastAsia="zh-CN"/>
        </w:rPr>
        <w:br w:type="textWrapping"/>
      </w:r>
      <w:r>
        <w:rPr>
          <w:rFonts w:hint="eastAsia"/>
          <w:lang w:val="en-US" w:eastAsia="zh-CN"/>
        </w:rPr>
        <w:t>2、合约：币安合约买1，卖1（币安的最新成交价：触发交易所的最新成交价，（目前小乌龟订单量异常大的币大概率是最新成交价）一般情况都不开，可尝试对比小乌龟开。</w:t>
      </w:r>
      <w:r>
        <w:rPr>
          <w:rFonts w:hint="eastAsia"/>
          <w:color w:val="FF0000"/>
          <w:lang w:val="en-US" w:eastAsia="zh-CN"/>
        </w:rPr>
        <w:t>价格阈值0.001-0.0015，利润阈值：0.01-0.2看订单量与利润进行调整.</w:t>
      </w:r>
    </w:p>
    <w:p w14:paraId="0A3EF080">
      <w:pPr>
        <w:rPr>
          <w:rFonts w:hint="default"/>
          <w:color w:val="FF0000"/>
          <w:lang w:val="en-US" w:eastAsia="zh-CN"/>
        </w:rPr>
      </w:pPr>
      <w:r>
        <w:rPr>
          <w:rFonts w:hint="eastAsia"/>
          <w:lang w:val="en-US" w:eastAsia="zh-CN"/>
        </w:rPr>
        <w:t>3、价格指数：价格指数是 交易所1权重*交易所1价格 + 交易所2权重*交易所2价格+。。。。+交易所n权重*交易所n价格。按各交易所成交量赋予权重。（脱钩时可尝试开启指数，链上插针，交易所插针（pair白名单关闭插针交易所的交易对，次日重置），下跌趋势的币最好都不开）</w:t>
      </w:r>
      <w:r>
        <w:rPr>
          <w:rFonts w:hint="eastAsia"/>
          <w:color w:val="FF0000"/>
          <w:lang w:val="en-US" w:eastAsia="zh-CN"/>
        </w:rPr>
        <w:t>价格阈值0.0005/0.001-0.0015，利润阈值：0.1-0.2看订单量与利润进行调整.</w:t>
      </w:r>
    </w:p>
    <w:p w14:paraId="38E7B26F">
      <w:pPr>
        <w:rPr>
          <w:rFonts w:hint="eastAsia"/>
          <w:color w:val="FF0000"/>
          <w:highlight w:val="none"/>
          <w:lang w:val="en-US" w:eastAsia="zh-CN"/>
        </w:rPr>
      </w:pPr>
      <w:r>
        <w:rPr>
          <w:rFonts w:hint="eastAsia"/>
          <w:color w:val="FF0000"/>
          <w:highlight w:val="none"/>
          <w:lang w:val="en-US" w:eastAsia="zh-CN"/>
        </w:rPr>
        <w:t>开币跨1，跨2同时开，跨1尝试价格指数去跑一会，无亏损可持续开启，跨2以挂单为主。</w:t>
      </w:r>
      <w:commentRangeStart w:id="16"/>
      <w:r>
        <w:rPr>
          <w:rFonts w:hint="eastAsia"/>
          <w:color w:val="FF0000"/>
          <w:highlight w:val="none"/>
          <w:lang w:val="en-US" w:eastAsia="zh-CN"/>
        </w:rPr>
        <w:t>跨1，跨2尽量不跑相同触发标的。</w:t>
      </w:r>
      <w:commentRangeEnd w:id="16"/>
      <w:r>
        <w:commentReference w:id="16"/>
      </w:r>
    </w:p>
    <w:p w14:paraId="3CA06A52">
      <w:pPr>
        <w:rPr>
          <w:rFonts w:hint="eastAsia"/>
          <w:b/>
          <w:bCs/>
          <w:lang w:val="en-US" w:eastAsia="zh-CN"/>
        </w:rPr>
      </w:pPr>
      <w:r>
        <w:rPr>
          <w:rFonts w:hint="eastAsia"/>
          <w:color w:val="FF0000"/>
          <w:highlight w:val="none"/>
          <w:lang w:val="en-US" w:eastAsia="zh-CN"/>
        </w:rPr>
        <w:t>4、alpha板块触发</w:t>
      </w:r>
      <w:r>
        <w:rPr>
          <w:rFonts w:hint="eastAsia"/>
          <w:color w:val="FF0000"/>
          <w:highlight w:val="none"/>
          <w:lang w:val="en-US" w:eastAsia="zh-CN"/>
        </w:rPr>
        <w:br w:type="textWrapping"/>
      </w:r>
      <w:r>
        <w:rPr>
          <w:rFonts w:hint="eastAsia"/>
          <w:lang w:val="en-US" w:eastAsia="zh-CN"/>
        </w:rPr>
        <w:br w:type="textWrapping"/>
      </w:r>
      <w:r>
        <w:rPr>
          <w:rFonts w:hint="eastAsia"/>
          <w:b/>
          <w:bCs/>
          <w:lang w:val="en-US" w:eastAsia="zh-CN"/>
        </w:rPr>
        <w:t>日志查询：</w:t>
      </w:r>
    </w:p>
    <w:p w14:paraId="29881CD5">
      <w:pPr>
        <w:rPr>
          <w:rFonts w:hint="eastAsia"/>
          <w:b w:val="0"/>
          <w:bCs w:val="0"/>
          <w:lang w:val="en-US" w:eastAsia="zh-CN"/>
        </w:rPr>
      </w:pPr>
      <w:r>
        <w:rPr>
          <w:rFonts w:hint="eastAsia"/>
          <w:b w:val="0"/>
          <w:bCs w:val="0"/>
          <w:lang w:val="en-US" w:eastAsia="zh-CN"/>
        </w:rPr>
        <w:t>发现代币不提单：跨1</w:t>
      </w:r>
      <w:r>
        <w:rPr>
          <w:rFonts w:hint="default"/>
          <w:b w:val="0"/>
          <w:bCs w:val="0"/>
          <w:lang w:val="en-US" w:eastAsia="zh-CN"/>
        </w:rPr>
        <w:t>&gt;</w:t>
      </w:r>
      <w:r>
        <w:rPr>
          <w:rFonts w:hint="eastAsia"/>
          <w:b w:val="0"/>
          <w:bCs w:val="0"/>
          <w:lang w:val="en-US" w:eastAsia="zh-CN"/>
        </w:rPr>
        <w:t>区块号#68，跨2</w:t>
      </w:r>
      <w:r>
        <w:rPr>
          <w:rFonts w:hint="default"/>
          <w:b w:val="0"/>
          <w:bCs w:val="0"/>
          <w:lang w:val="en-US" w:eastAsia="zh-CN"/>
        </w:rPr>
        <w:t>&gt;</w:t>
      </w:r>
      <w:r>
        <w:rPr>
          <w:rFonts w:hint="eastAsia"/>
          <w:b w:val="0"/>
          <w:bCs w:val="0"/>
          <w:lang w:val="en-US" w:eastAsia="zh-CN"/>
        </w:rPr>
        <w:t>区块号#70，首先查询是否存在触发交易所</w:t>
      </w:r>
    </w:p>
    <w:p w14:paraId="10E89D96">
      <w:r>
        <w:drawing>
          <wp:inline distT="0" distB="0" distL="114300" distR="114300">
            <wp:extent cx="5270500" cy="281940"/>
            <wp:effectExtent l="0" t="0" r="12700" b="228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270500" cy="281940"/>
                    </a:xfrm>
                    <a:prstGeom prst="rect">
                      <a:avLst/>
                    </a:prstGeom>
                    <a:noFill/>
                    <a:ln>
                      <a:noFill/>
                    </a:ln>
                  </pic:spPr>
                </pic:pic>
              </a:graphicData>
            </a:graphic>
          </wp:inline>
        </w:drawing>
      </w:r>
    </w:p>
    <w:p w14:paraId="2DD57E80">
      <w:pPr>
        <w:rPr>
          <w:rFonts w:hint="eastAsia"/>
          <w:lang w:val="en-US" w:eastAsia="zh-CN"/>
        </w:rPr>
      </w:pPr>
      <w:r>
        <w:rPr>
          <w:rFonts w:hint="eastAsia"/>
          <w:lang w:val="en-US" w:eastAsia="zh-CN"/>
        </w:rPr>
        <w:t>有触发后进行价差计算JM1买单JM2卖单，</w:t>
      </w:r>
    </w:p>
    <w:p w14:paraId="4975F327">
      <w:pPr>
        <w:rPr>
          <w:rFonts w:hint="default"/>
          <w:lang w:val="en-US" w:eastAsia="zh-CN"/>
        </w:rPr>
      </w:pPr>
      <w:r>
        <w:drawing>
          <wp:inline distT="0" distB="0" distL="114300" distR="114300">
            <wp:extent cx="5260975" cy="284480"/>
            <wp:effectExtent l="0" t="0" r="22225" b="203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60975" cy="284480"/>
                    </a:xfrm>
                    <a:prstGeom prst="rect">
                      <a:avLst/>
                    </a:prstGeom>
                    <a:noFill/>
                    <a:ln>
                      <a:noFill/>
                    </a:ln>
                  </pic:spPr>
                </pic:pic>
              </a:graphicData>
            </a:graphic>
          </wp:inline>
        </w:drawing>
      </w:r>
    </w:p>
    <w:p w14:paraId="7C98F5CA">
      <w:pPr>
        <w:rPr>
          <w:rFonts w:hint="eastAsia"/>
          <w:lang w:val="en-US" w:eastAsia="zh-CN"/>
        </w:rPr>
      </w:pPr>
      <w:r>
        <w:rPr>
          <w:rFonts w:hint="eastAsia"/>
          <w:lang w:val="en-US" w:eastAsia="zh-CN"/>
        </w:rPr>
        <w:t>返回小于价格阈值后说明价差不足，根据后面的交易对去查是否触发的正常交易对。</w:t>
      </w:r>
      <w:r>
        <w:rPr>
          <w:rFonts w:hint="eastAsia"/>
          <w:lang w:val="en-US" w:eastAsia="zh-CN"/>
        </w:rPr>
        <w:br w:type="textWrapping"/>
      </w:r>
      <w:r>
        <w:rPr>
          <w:rFonts w:hint="eastAsia"/>
          <w:lang w:val="en-US" w:eastAsia="zh-CN"/>
        </w:rPr>
        <w:t>价格阈值满足后进行利润计算：</w:t>
      </w:r>
      <w:r>
        <w:rPr>
          <w:rFonts w:hint="eastAsia"/>
          <w:lang w:val="en-US" w:eastAsia="zh-CN"/>
        </w:rPr>
        <w:br w:type="textWrapping"/>
      </w:r>
      <w:r>
        <w:drawing>
          <wp:inline distT="0" distB="0" distL="114300" distR="114300">
            <wp:extent cx="5266690" cy="349885"/>
            <wp:effectExtent l="0" t="0" r="1651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66690" cy="349885"/>
                    </a:xfrm>
                    <a:prstGeom prst="rect">
                      <a:avLst/>
                    </a:prstGeom>
                    <a:noFill/>
                    <a:ln>
                      <a:noFill/>
                    </a:ln>
                  </pic:spPr>
                </pic:pic>
              </a:graphicData>
            </a:graphic>
          </wp:inline>
        </w:drawing>
      </w:r>
      <w:r>
        <w:br w:type="textWrapping"/>
      </w:r>
      <w:r>
        <w:rPr>
          <w:rFonts w:hint="eastAsia"/>
          <w:lang w:val="en-US" w:eastAsia="zh-CN"/>
        </w:rPr>
        <w:t>算出利润后，根据交易方向判断仓位，然后开始进行模拟打包，</w:t>
      </w:r>
      <w:r>
        <w:rPr>
          <w:rFonts w:hint="eastAsia"/>
          <w:lang w:val="en-US" w:eastAsia="zh-CN"/>
        </w:rPr>
        <w:br w:type="textWrapping"/>
      </w:r>
      <w:r>
        <w:rPr>
          <w:rFonts w:hint="eastAsia"/>
          <w:lang w:val="en-US" w:eastAsia="zh-CN"/>
        </w:rPr>
        <w:t>模拟打包之后没提单原因：利润不足，gas费回滚、没余额回滚、交易所的swap有问题回滚</w:t>
      </w:r>
    </w:p>
    <w:p w14:paraId="5BC08140">
      <w:pPr>
        <w:rPr>
          <w:rFonts w:hint="default"/>
          <w:lang w:val="en-US" w:eastAsia="zh-CN"/>
        </w:rPr>
      </w:pPr>
      <w:r>
        <w:rPr>
          <w:rFonts w:hint="eastAsia"/>
          <w:lang w:val="en-US" w:eastAsia="zh-CN"/>
        </w:rPr>
        <w:t>最后提单buy/sell</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69657601" w:date="2026-02-05T15:21:18Z" w:initials="">
    <w:p w14:paraId="33EDA3CD">
      <w:pPr>
        <w:pStyle w:val="11"/>
        <w:rPr>
          <w:rFonts w:hint="eastAsia"/>
          <w:lang w:val="en-US" w:eastAsia="zh-CN"/>
        </w:rPr>
      </w:pPr>
      <w:r>
        <w:rPr>
          <w:rFonts w:hint="eastAsia"/>
          <w:lang w:val="en-US" w:eastAsia="zh-CN"/>
        </w:rPr>
        <w:t>流程</w:t>
      </w:r>
      <w:r>
        <w:rPr>
          <w:rFonts w:hint="eastAsia"/>
          <w:lang w:val="en-US" w:eastAsia="zh-CN"/>
        </w:rPr>
        <w:br w:type="textWrapping"/>
      </w:r>
      <w:r>
        <w:rPr>
          <w:rFonts w:hint="eastAsia"/>
          <w:lang w:val="en-US" w:eastAsia="zh-CN"/>
        </w:rPr>
        <w:t>当价差达到设定的价格阈值后触发交易（可在日志上查看，触发过程，到提单）</w:t>
      </w:r>
    </w:p>
    <w:p w14:paraId="4C37420F">
      <w:pPr>
        <w:pStyle w:val="11"/>
        <w:rPr>
          <w:rFonts w:hint="default"/>
          <w:lang w:val="en-US" w:eastAsia="zh-CN"/>
        </w:rPr>
      </w:pPr>
      <w:r>
        <w:rPr>
          <w:rFonts w:hint="eastAsia"/>
          <w:lang w:val="en-US" w:eastAsia="zh-CN"/>
        </w:rPr>
        <w:t>如果顺利提单，之后看是否有被捆绑平台打包上链（涉及到捆绑费gas费，服务器状态，）</w:t>
      </w:r>
    </w:p>
  </w:comment>
  <w:comment w:id="1" w:author="WPS_1769657601" w:date="2026-02-05T15:25:47Z" w:initials="">
    <w:p w14:paraId="2B258FEC">
      <w:pPr>
        <w:pStyle w:val="11"/>
        <w:rPr>
          <w:rFonts w:hint="default" w:eastAsiaTheme="minorEastAsia"/>
          <w:lang w:val="en-US" w:eastAsia="zh-CN"/>
        </w:rPr>
      </w:pPr>
      <w:r>
        <w:rPr>
          <w:rFonts w:hint="eastAsia"/>
          <w:lang w:val="en-US" w:eastAsia="zh-CN"/>
        </w:rPr>
        <w:t>策略所指的交互是指dex和cex价格存在螺旋交叉形式波动，注意单方面过高，而持仓情况下，需注意手动卖出，手动卖出要注意，链上是否处于正常交易状态</w:t>
      </w:r>
    </w:p>
  </w:comment>
  <w:comment w:id="2" w:author="WPS_1769657601" w:date="2026-02-05T15:30:20Z" w:initials="">
    <w:p w14:paraId="5C003537">
      <w:pPr>
        <w:pStyle w:val="11"/>
        <w:rPr>
          <w:rFonts w:hint="default" w:eastAsiaTheme="minorEastAsia"/>
          <w:lang w:val="en-US" w:eastAsia="zh-CN"/>
        </w:rPr>
      </w:pPr>
      <w:r>
        <w:rPr>
          <w:rFonts w:hint="eastAsia"/>
          <w:lang w:val="en-US" w:eastAsia="zh-CN"/>
        </w:rPr>
        <w:t>成交量较小可能存在参与人数过小的情况，难以获取价格波动的利润，与流动性类似（资金规模）</w:t>
      </w:r>
    </w:p>
  </w:comment>
  <w:comment w:id="3" w:author="yy" w:date="2026-01-30T18:56:43Z" w:initials="y">
    <w:p w14:paraId="1F48F669">
      <w:pPr>
        <w:pStyle w:val="11"/>
        <w:rPr>
          <w:rFonts w:hint="eastAsia"/>
          <w:lang w:val="en-US" w:eastAsia="zh-CN"/>
        </w:rPr>
      </w:pPr>
      <w:r>
        <w:rPr>
          <w:rFonts w:hint="eastAsia"/>
          <w:lang w:val="en-US" w:eastAsia="zh-CN"/>
        </w:rPr>
        <w:t>项目整体流程：</w:t>
      </w:r>
    </w:p>
    <w:p w14:paraId="41AC2735">
      <w:pPr>
        <w:pStyle w:val="11"/>
        <w:rPr>
          <w:rFonts w:hint="default"/>
          <w:lang w:val="en-US" w:eastAsia="zh-CN"/>
        </w:rPr>
      </w:pPr>
      <w:r>
        <w:rPr>
          <w:rFonts w:hint="eastAsia"/>
          <w:lang w:val="en-US" w:eastAsia="zh-CN"/>
        </w:rPr>
        <w:t>1、确定交易标的和token</w:t>
      </w:r>
    </w:p>
    <w:p w14:paraId="5104A230">
      <w:pPr>
        <w:pStyle w:val="11"/>
        <w:rPr>
          <w:rFonts w:hint="eastAsia"/>
          <w:lang w:val="en-US" w:eastAsia="zh-CN"/>
        </w:rPr>
      </w:pPr>
      <w:r>
        <w:rPr>
          <w:rFonts w:hint="eastAsia"/>
          <w:lang w:val="en-US" w:eastAsia="zh-CN"/>
        </w:rPr>
        <w:t>2、数据采集：cex和dex的对应token数据采集（数据批处理）</w:t>
      </w:r>
    </w:p>
    <w:p w14:paraId="039E90D2">
      <w:pPr>
        <w:pStyle w:val="11"/>
        <w:rPr>
          <w:rFonts w:hint="eastAsia"/>
          <w:lang w:val="en-US" w:eastAsia="zh-CN"/>
        </w:rPr>
      </w:pPr>
      <w:r>
        <w:rPr>
          <w:rFonts w:hint="eastAsia"/>
          <w:lang w:val="en-US" w:eastAsia="zh-CN"/>
        </w:rPr>
        <w:t>3、数据库的构建：</w:t>
      </w:r>
    </w:p>
    <w:p w14:paraId="206C0B12">
      <w:pPr>
        <w:pStyle w:val="11"/>
        <w:rPr>
          <w:rFonts w:hint="default"/>
          <w:lang w:val="en-US" w:eastAsia="zh-CN"/>
        </w:rPr>
      </w:pPr>
      <w:r>
        <w:rPr>
          <w:rFonts w:hint="eastAsia"/>
          <w:lang w:val="en-US" w:eastAsia="zh-CN"/>
        </w:rPr>
        <w:t>4、策略搭建：包括交易策略，监控策略，数据流统计处理策略</w:t>
      </w:r>
    </w:p>
    <w:p w14:paraId="7DB1A49D">
      <w:pPr>
        <w:pStyle w:val="11"/>
        <w:rPr>
          <w:rFonts w:hint="eastAsia"/>
          <w:lang w:val="en-US" w:eastAsia="zh-CN"/>
        </w:rPr>
      </w:pPr>
      <w:r>
        <w:rPr>
          <w:rFonts w:hint="eastAsia"/>
          <w:lang w:val="en-US" w:eastAsia="zh-CN"/>
        </w:rPr>
        <w:t>5、交易实时数据采集：（数据流处理）</w:t>
      </w:r>
    </w:p>
    <w:p w14:paraId="0BB7B87B">
      <w:pPr>
        <w:pStyle w:val="11"/>
        <w:rPr>
          <w:rFonts w:hint="eastAsia"/>
          <w:lang w:val="en-US" w:eastAsia="zh-CN"/>
        </w:rPr>
      </w:pPr>
      <w:r>
        <w:rPr>
          <w:rFonts w:hint="eastAsia"/>
          <w:lang w:val="en-US" w:eastAsia="zh-CN"/>
        </w:rPr>
        <w:t>6、数据推送：结合实时数据和交易策略结果数据进行实时数据推送</w:t>
      </w:r>
    </w:p>
    <w:p w14:paraId="6409BF50">
      <w:pPr>
        <w:pStyle w:val="11"/>
      </w:pPr>
      <w:r>
        <w:rPr>
          <w:rFonts w:hint="eastAsia"/>
          <w:lang w:val="en-US" w:eastAsia="zh-CN"/>
        </w:rPr>
        <w:t>7、策略运行结果监控：对策略运行情况进行实时监控，并将数据结构，结合风控标准进行实时推送</w:t>
      </w:r>
    </w:p>
  </w:comment>
  <w:comment w:id="4" w:author="WPS_1769657601" w:date="2026-02-05T18:18:36Z" w:initials="">
    <w:p w14:paraId="2E9BA36E">
      <w:pPr>
        <w:pStyle w:val="11"/>
        <w:rPr>
          <w:rFonts w:hint="default" w:eastAsiaTheme="minorEastAsia"/>
          <w:lang w:val="en-US" w:eastAsia="zh-CN"/>
        </w:rPr>
      </w:pPr>
      <w:r>
        <w:rPr>
          <w:rFonts w:hint="eastAsia"/>
          <w:lang w:val="en-US" w:eastAsia="zh-CN"/>
        </w:rPr>
        <w:t>通过dextool可以查看属于那个版本协议，选择对应的持仓比例</w:t>
      </w:r>
    </w:p>
  </w:comment>
  <w:comment w:id="5" w:author="WPS_1769657601" w:date="2026-02-05T15:39:42Z" w:initials="">
    <w:p w14:paraId="00231D01">
      <w:pPr>
        <w:pStyle w:val="11"/>
        <w:rPr>
          <w:rFonts w:hint="eastAsia"/>
          <w:lang w:val="en-US" w:eastAsia="zh-CN"/>
        </w:rPr>
      </w:pPr>
      <w:r>
        <w:rPr>
          <w:rFonts w:hint="eastAsia"/>
          <w:lang w:val="en-US" w:eastAsia="zh-CN"/>
        </w:rPr>
        <w:t>主要看价差，说明空间越大，持仓后脱手的机会越高（持仓）</w:t>
      </w:r>
    </w:p>
    <w:p w14:paraId="04155E46">
      <w:pPr>
        <w:pStyle w:val="11"/>
        <w:rPr>
          <w:rFonts w:hint="eastAsia"/>
          <w:lang w:val="en-US" w:eastAsia="zh-CN"/>
        </w:rPr>
      </w:pPr>
    </w:p>
    <w:p w14:paraId="405E2673">
      <w:pPr>
        <w:pStyle w:val="11"/>
        <w:rPr>
          <w:rFonts w:hint="default"/>
          <w:lang w:val="en-US" w:eastAsia="zh-CN"/>
        </w:rPr>
      </w:pPr>
      <w:r>
        <w:rPr>
          <w:rFonts w:hint="eastAsia"/>
          <w:lang w:val="en-US" w:eastAsia="zh-CN"/>
        </w:rPr>
        <w:t>交易量活跃而价格波动较小即横盘时，降低价格阈值，但若订单增加导致利润下降，则可增加阈值；活跃的上涨小幅增加阈值，不活跃需大幅增加，避免易进难出，总的标准是确保策略的闭环能够完整实现，（顺利提单，保证策略的正常运行，参数的调整要么是增加提单的竞争力，如价格阈值，捆绑比例；要没事降低交易风险；如价格阈值，仓位指数</w:t>
      </w:r>
      <w:bookmarkStart w:id="0" w:name="_GoBack"/>
      <w:bookmarkEnd w:id="0"/>
    </w:p>
  </w:comment>
  <w:comment w:id="6" w:author="WPS_1769657601" w:date="2026-02-05T15:44:59Z" w:initials="">
    <w:p w14:paraId="5A4DBE72">
      <w:pPr>
        <w:pStyle w:val="11"/>
        <w:rPr>
          <w:rFonts w:hint="default" w:eastAsiaTheme="minorEastAsia"/>
          <w:lang w:val="en-US" w:eastAsia="zh-CN"/>
        </w:rPr>
      </w:pPr>
      <w:r>
        <w:rPr>
          <w:rFonts w:hint="eastAsia"/>
          <w:lang w:val="en-US" w:eastAsia="zh-CN"/>
        </w:rPr>
        <w:t>活跃的判断标准是什么，</w:t>
      </w:r>
    </w:p>
  </w:comment>
  <w:comment w:id="7" w:author="WPS_1769657601" w:date="2026-02-05T15:46:59Z" w:initials="">
    <w:p w14:paraId="629A9C6C">
      <w:pPr>
        <w:pStyle w:val="11"/>
        <w:rPr>
          <w:rFonts w:hint="default"/>
          <w:lang w:val="en-US" w:eastAsia="zh-CN"/>
        </w:rPr>
      </w:pPr>
      <w:r>
        <w:rPr>
          <w:rFonts w:hint="eastAsia"/>
          <w:lang w:val="en-US" w:eastAsia="zh-CN"/>
        </w:rPr>
        <w:t>可以去看每个跨所中的竞争者成功率</w:t>
      </w:r>
    </w:p>
  </w:comment>
  <w:comment w:id="8" w:author="yy" w:date="2026-01-30T13:13:40Z" w:initials="y">
    <w:p w14:paraId="1693DD92">
      <w:pPr>
        <w:pStyle w:val="11"/>
        <w:rPr>
          <w:rFonts w:hint="default" w:eastAsiaTheme="minorEastAsia"/>
          <w:lang w:val="en-US" w:eastAsia="zh-CN"/>
        </w:rPr>
      </w:pPr>
      <w:r>
        <w:rPr>
          <w:rFonts w:hint="eastAsia"/>
          <w:lang w:val="en-US" w:eastAsia="zh-CN"/>
        </w:rPr>
        <w:t>对应交易对信息24h volume</w:t>
      </w:r>
    </w:p>
  </w:comment>
  <w:comment w:id="9" w:author="yy" w:date="2026-01-30T13:10:55Z" w:initials="y">
    <w:p w14:paraId="461E9B64">
      <w:pPr>
        <w:pStyle w:val="11"/>
        <w:rPr>
          <w:rFonts w:hint="default" w:eastAsiaTheme="minorEastAsia"/>
          <w:lang w:val="en-US" w:eastAsia="zh-CN"/>
        </w:rPr>
      </w:pPr>
      <w:r>
        <w:rPr>
          <w:rFonts w:hint="eastAsia"/>
          <w:lang w:val="en-US" w:eastAsia="zh-CN"/>
        </w:rPr>
        <w:t>手续费在dextool看板查看</w:t>
      </w:r>
    </w:p>
  </w:comment>
  <w:comment w:id="10" w:author="yy" w:date="2026-01-30T13:21:45Z" w:initials="y">
    <w:p w14:paraId="6A9E6FFE">
      <w:pPr>
        <w:pStyle w:val="11"/>
        <w:rPr>
          <w:rFonts w:hint="default" w:eastAsiaTheme="minorEastAsia"/>
          <w:lang w:val="en-US" w:eastAsia="zh-CN"/>
        </w:rPr>
      </w:pPr>
      <w:r>
        <w:rPr>
          <w:rFonts w:hint="eastAsia"/>
          <w:lang w:val="en-US" w:eastAsia="zh-CN"/>
        </w:rPr>
        <w:t>当下单时间超过300ms，系统延迟时间超过180ms，一个区块链450ms</w:t>
      </w:r>
    </w:p>
  </w:comment>
  <w:comment w:id="11" w:author="yy" w:date="2026-01-30T14:08:24Z" w:initials="y">
    <w:p w14:paraId="41DC372A">
      <w:pPr>
        <w:pStyle w:val="11"/>
        <w:rPr>
          <w:rFonts w:hint="default" w:eastAsiaTheme="minorEastAsia"/>
          <w:lang w:val="en-US" w:eastAsia="zh-CN"/>
        </w:rPr>
      </w:pPr>
      <w:r>
        <w:rPr>
          <w:rFonts w:hint="eastAsia"/>
          <w:lang w:val="en-US" w:eastAsia="zh-CN"/>
        </w:rPr>
        <w:t>找到对应订单的区块，查看该区块全部交易列表下的第二笔转账</w:t>
      </w:r>
    </w:p>
  </w:comment>
  <w:comment w:id="12" w:author="yy" w:date="2026-01-30T16:10:43Z" w:initials="y">
    <w:p w14:paraId="110F6A9F">
      <w:pPr>
        <w:pStyle w:val="11"/>
        <w:rPr>
          <w:rFonts w:hint="default" w:eastAsiaTheme="minorEastAsia"/>
          <w:lang w:val="en-US" w:eastAsia="zh-CN"/>
        </w:rPr>
      </w:pPr>
      <w:r>
        <w:rPr>
          <w:rFonts w:hint="eastAsia"/>
          <w:lang w:val="en-US" w:eastAsia="zh-CN"/>
        </w:rPr>
        <w:t>能够调整的要么是服务器的问题，要么是捆绑费的问题，根据胜率调整我方的捆绑比例；捆绑平台的问题没有办法</w:t>
      </w:r>
    </w:p>
  </w:comment>
  <w:comment w:id="13" w:author="yy" w:date="2026-01-30T14:23:07Z" w:initials="y">
    <w:p w14:paraId="7530A42E">
      <w:pPr>
        <w:pStyle w:val="11"/>
        <w:rPr>
          <w:rFonts w:hint="default"/>
          <w:lang w:val="en-US" w:eastAsia="zh-CN"/>
        </w:rPr>
      </w:pPr>
      <w:r>
        <w:rPr>
          <w:rFonts w:hint="eastAsia"/>
          <w:lang w:val="en-US" w:eastAsia="zh-CN"/>
        </w:rPr>
        <w:t>当空头日历中看到新币发布信息时，查看是否有采集到相应的数据，对于token地址的采集需要核对是否一致，才能够进行审核；审核完成后才能开启，注意发现新币后添加白名单，开启是在token白名单中开启的</w:t>
      </w:r>
    </w:p>
  </w:comment>
  <w:comment w:id="14" w:author="yy" w:date="2026-01-30T14:28:54Z" w:initials="y">
    <w:p w14:paraId="58A92FF5">
      <w:pPr>
        <w:pStyle w:val="11"/>
        <w:rPr>
          <w:rFonts w:hint="default" w:eastAsiaTheme="minorEastAsia"/>
          <w:lang w:val="en-US" w:eastAsia="zh-CN"/>
        </w:rPr>
      </w:pPr>
      <w:r>
        <w:rPr>
          <w:rFonts w:hint="eastAsia"/>
          <w:lang w:val="en-US" w:eastAsia="zh-CN"/>
        </w:rPr>
        <w:t>一般是龟跨所1和2；找到利润前几的token，看是否有开启</w:t>
      </w:r>
    </w:p>
  </w:comment>
  <w:comment w:id="15" w:author="WPS_1769657601" w:date="2026-02-05T17:32:45Z" w:initials="">
    <w:p w14:paraId="500C0FFB">
      <w:pPr>
        <w:pStyle w:val="11"/>
        <w:rPr>
          <w:rFonts w:hint="default" w:eastAsiaTheme="minorEastAsia"/>
          <w:lang w:val="en-US" w:eastAsia="zh-CN"/>
        </w:rPr>
      </w:pPr>
      <w:r>
        <w:rPr>
          <w:rFonts w:hint="eastAsia"/>
          <w:lang w:val="en-US" w:eastAsia="zh-CN"/>
        </w:rPr>
        <w:t>是由于交易量一般不大，在采集新币时，如果有对应的交易所，需要手动添加token</w:t>
      </w:r>
    </w:p>
  </w:comment>
  <w:comment w:id="16" w:author="WPS_1769657601" w:date="2026-02-05T17:36:15Z" w:initials="">
    <w:p w14:paraId="4F3B2F4C">
      <w:pPr>
        <w:pStyle w:val="11"/>
        <w:rPr>
          <w:rFonts w:hint="eastAsia"/>
          <w:lang w:val="en-US" w:eastAsia="zh-CN"/>
        </w:rPr>
      </w:pPr>
      <w:r>
        <w:rPr>
          <w:rFonts w:hint="eastAsia"/>
          <w:lang w:val="en-US" w:eastAsia="zh-CN"/>
        </w:rPr>
        <w:t>交互：挂单、alpha价格</w:t>
      </w:r>
    </w:p>
    <w:p w14:paraId="62FF06B0">
      <w:pPr>
        <w:pStyle w:val="11"/>
        <w:rPr>
          <w:rFonts w:hint="default"/>
          <w:lang w:val="en-US" w:eastAsia="zh-CN"/>
        </w:rPr>
      </w:pPr>
      <w:r>
        <w:rPr>
          <w:rFonts w:hint="eastAsia"/>
          <w:lang w:val="en-US" w:eastAsia="zh-CN"/>
        </w:rPr>
        <w:t>脱钩：挂单、价格指数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37420F" w15:done="0"/>
  <w15:commentEx w15:paraId="2B258FEC" w15:done="0"/>
  <w15:commentEx w15:paraId="5C003537" w15:done="0"/>
  <w15:commentEx w15:paraId="6409BF50" w15:done="0"/>
  <w15:commentEx w15:paraId="2E9BA36E" w15:done="0"/>
  <w15:commentEx w15:paraId="405E2673" w15:done="0"/>
  <w15:commentEx w15:paraId="5A4DBE72" w15:done="0"/>
  <w15:commentEx w15:paraId="629A9C6C" w15:done="0"/>
  <w15:commentEx w15:paraId="1693DD92" w15:done="0"/>
  <w15:commentEx w15:paraId="461E9B64" w15:done="0"/>
  <w15:commentEx w15:paraId="6A9E6FFE" w15:done="0"/>
  <w15:commentEx w15:paraId="41DC372A" w15:done="0"/>
  <w15:commentEx w15:paraId="110F6A9F" w15:done="0"/>
  <w15:commentEx w15:paraId="7530A42E" w15:done="0"/>
  <w15:commentEx w15:paraId="58A92FF5" w15:done="0"/>
  <w15:commentEx w15:paraId="500C0FFB" w15:done="0"/>
  <w15:commentEx w15:paraId="62FF06B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pPr>
        <w:spacing w:line="240" w:lineRule="auto"/>
      </w:pPr>
    </w:p>
  </w:endnote>
  <w:endnote w:type="continuationSeparator" w:id="3">
    <w:p>
      <w:pPr>
        <w:spacing w:line="240" w:lineRule="auto"/>
      </w:pPr>
    </w:p>
  </w:endnote>
  <w:endnote w:id="0">
    <w:p w14:paraId="2434AFD7">
      <w:pPr>
        <w:pStyle w:val="12"/>
        <w:snapToGrid w:val="0"/>
      </w:pPr>
    </w:p>
    <w:p w14:paraId="759624E3">
      <w:pPr>
        <w:pStyle w:val="12"/>
        <w:snapToGrid w:val="0"/>
      </w:pPr>
    </w:p>
    <w:p w14:paraId="4E511FFC">
      <w:pPr>
        <w:pStyle w:val="12"/>
        <w:snapToGrid w:val="0"/>
      </w:pPr>
    </w:p>
    <w:p w14:paraId="3C78F617">
      <w:pPr>
        <w:pStyle w:val="12"/>
        <w:snapToGrid w:val="0"/>
      </w:pPr>
    </w:p>
    <w:p w14:paraId="232CEC14">
      <w:pPr>
        <w:pStyle w:val="12"/>
        <w:snapToGrid w:val="0"/>
      </w:pPr>
    </w:p>
    <w:p w14:paraId="0DE6F527">
      <w:pPr>
        <w:pStyle w:val="12"/>
        <w:snapToGrid w:val="0"/>
      </w:pPr>
    </w:p>
    <w:p w14:paraId="1E1160C6">
      <w:pPr>
        <w:pStyle w:val="12"/>
        <w:snapToGrid w:val="0"/>
      </w:pPr>
    </w:p>
    <w:p w14:paraId="4D2C1134">
      <w:pPr>
        <w:pStyle w:val="12"/>
        <w:snapToGrid w:val="0"/>
      </w:pPr>
    </w:p>
    <w:p w14:paraId="03EB87A1">
      <w:pPr>
        <w:pStyle w:val="12"/>
        <w:snapToGrid w:val="0"/>
      </w:pPr>
    </w:p>
    <w:p w14:paraId="2CCF7560">
      <w:pPr>
        <w:pStyle w:val="12"/>
        <w:snapToGrid w:val="0"/>
      </w:pPr>
    </w:p>
    <w:p w14:paraId="7C2A749E">
      <w:pPr>
        <w:pStyle w:val="12"/>
        <w:snapToGrid w:val="0"/>
      </w:pPr>
    </w:p>
    <w:p w14:paraId="2C9C6B41">
      <w:pPr>
        <w:pStyle w:val="12"/>
        <w:snapToGrid w:val="0"/>
      </w:pPr>
    </w:p>
    <w:p w14:paraId="10C29F19">
      <w:pPr>
        <w:pStyle w:val="12"/>
        <w:snapToGrid w:val="0"/>
      </w:pPr>
    </w:p>
    <w:p w14:paraId="01E85E0E">
      <w:pPr>
        <w:pStyle w:val="12"/>
        <w:snapToGrid w:val="0"/>
      </w:pPr>
    </w:p>
    <w:p w14:paraId="7B07D2F8">
      <w:pPr>
        <w:pStyle w:val="12"/>
        <w:snapToGrid w:val="0"/>
      </w:pPr>
    </w:p>
    <w:p w14:paraId="058C6701">
      <w:pPr>
        <w:pStyle w:val="12"/>
        <w:snapToGrid w:val="0"/>
      </w:pPr>
    </w:p>
    <w:p w14:paraId="75E40AA3">
      <w:pPr>
        <w:pStyle w:val="12"/>
        <w:snapToGrid w:val="0"/>
      </w:pPr>
    </w:p>
    <w:p w14:paraId="691E4922">
      <w:pPr>
        <w:keepNext w:val="0"/>
        <w:keepLines w:val="0"/>
        <w:widowControl/>
        <w:numPr>
          <w:ilvl w:val="0"/>
          <w:numId w:val="0"/>
        </w:numPr>
        <w:suppressLineNumbers w:val="0"/>
        <w:spacing w:before="0" w:beforeAutospacing="0" w:after="0" w:afterAutospacing="0"/>
        <w:ind w:right="0" w:rightChars="0"/>
        <w:rPr>
          <w:rFonts w:hint="default" w:ascii="Helvetica Neue" w:hAnsi="Helvetica Neue" w:eastAsia="宋体" w:cs="Helvetica Neue"/>
          <w:sz w:val="22"/>
          <w:szCs w:val="22"/>
          <w:lang w:val="en-US" w:eastAsia="zh-CN"/>
        </w:rPr>
      </w:pPr>
      <w:r>
        <w:rPr>
          <w:rFonts w:hint="eastAsia" w:ascii="Helvetica Neue" w:hAnsi="Helvetica Neue" w:eastAsia="宋体" w:cs="Helvetica Neue"/>
          <w:sz w:val="22"/>
          <w:szCs w:val="22"/>
          <w:lang w:val="en-US" w:eastAsia="zh-CN"/>
        </w:rPr>
        <w:t>流程对比</w:t>
      </w:r>
    </w:p>
    <w:p w14:paraId="116F9D71">
      <w:pPr>
        <w:keepNext w:val="0"/>
        <w:keepLines w:val="0"/>
        <w:widowControl/>
        <w:numPr>
          <w:ilvl w:val="0"/>
          <w:numId w:val="0"/>
        </w:numPr>
        <w:suppressLineNumbers w:val="0"/>
        <w:spacing w:before="0" w:beforeAutospacing="0" w:after="0" w:afterAutospacing="0"/>
        <w:ind w:left="360" w:leftChars="0" w:right="0" w:rightChars="0"/>
        <w:rPr>
          <w:rFonts w:hint="default" w:ascii="Helvetica Neue" w:hAnsi="Helvetica Neue" w:eastAsia="Helvetica Neue" w:cs="Helvetica Neue"/>
          <w:sz w:val="18"/>
          <w:szCs w:val="18"/>
        </w:rPr>
      </w:pPr>
    </w:p>
    <w:p w14:paraId="7C2270B5">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Fonts w:hint="default" w:ascii="Helvetica Neue" w:hAnsi="Helvetica Neue" w:eastAsia="Helvetica Neue" w:cs="Helvetica Neue"/>
          <w:sz w:val="18"/>
          <w:szCs w:val="18"/>
        </w:rPr>
        <w:t>发现价差套利机会（CEX-DEX 或 DEX 内部三角不一致）</w:t>
      </w:r>
    </w:p>
    <w:p w14:paraId="413CEE96">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Fonts w:hint="default" w:ascii="Helvetica Neue" w:hAnsi="Helvetica Neue" w:eastAsia="Helvetica Neue" w:cs="Helvetica Neue"/>
          <w:sz w:val="18"/>
          <w:szCs w:val="18"/>
        </w:rPr>
        <w:t>查询目标池流动性深度及 tick 分布，评估滑点；设置 Gas 上限 和 最小输出量（amountOutMin）</w:t>
      </w:r>
    </w:p>
    <w:p w14:paraId="407807EE">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Fonts w:hint="default" w:ascii="Helvetica Neue" w:hAnsi="Helvetica Neue" w:eastAsia="Helvetica Neue" w:cs="Helvetica Neue"/>
          <w:sz w:val="18"/>
          <w:szCs w:val="18"/>
        </w:rPr>
        <w:t>通过 Tenderly 模拟交易，验证净利 &gt; 0</w:t>
      </w:r>
    </w:p>
    <w:p w14:paraId="21F1B7B2">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Fonts w:hint="default" w:ascii="Helvetica Neue" w:hAnsi="Helvetica Neue" w:eastAsia="Helvetica Neue" w:cs="Helvetica Neue"/>
          <w:sz w:val="18"/>
          <w:szCs w:val="18"/>
        </w:rPr>
        <w:t>通过 Aave 等协议借入 Flash Loan 资金（如需杠杆）</w:t>
      </w:r>
    </w:p>
    <w:p w14:paraId="7D0A855A">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Fonts w:hint="default" w:ascii="Helvetica Neue" w:hAnsi="Helvetica Neue" w:eastAsia="Helvetica Neue" w:cs="Helvetica Neue"/>
          <w:sz w:val="18"/>
          <w:szCs w:val="18"/>
        </w:rPr>
        <w:t>通过 Flashbots 私有通道提交原子化交易，避免 MEV 抢跑</w:t>
      </w:r>
    </w:p>
    <w:p w14:paraId="08F10D0A">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Fonts w:hint="default" w:ascii="Helvetica Neue" w:hAnsi="Helvetica Neue" w:eastAsia="Helvetica Neue" w:cs="Helvetica Neue"/>
          <w:sz w:val="18"/>
          <w:szCs w:val="18"/>
        </w:rPr>
        <w:t>交易成功则盈利，失败则仅损失 Gas 费</w:t>
      </w:r>
    </w:p>
    <w:p w14:paraId="337EC270">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Fonts w:hint="default" w:ascii="Helvetica Neue" w:hAnsi="Helvetica Neue" w:eastAsia="Helvetica Neue" w:cs="Helvetica Neue"/>
          <w:sz w:val="18"/>
          <w:szCs w:val="18"/>
        </w:rPr>
        <w:t>持续分析 EigenPhi 数据，识别竞争格局、优化参数、规避高风险场景</w:t>
      </w:r>
    </w:p>
    <w:p w14:paraId="2E94F559">
      <w:pPr>
        <w:pStyle w:val="44"/>
        <w:keepNext w:val="0"/>
        <w:keepLines w:val="0"/>
        <w:widowControl/>
        <w:suppressLineNumbers w:val="0"/>
        <w:rPr>
          <w:sz w:val="18"/>
          <w:szCs w:val="18"/>
        </w:rPr>
      </w:pPr>
    </w:p>
    <w:p w14:paraId="7FEF71DE">
      <w:pPr>
        <w:pStyle w:val="41"/>
        <w:keepNext w:val="0"/>
        <w:keepLines w:val="0"/>
        <w:widowControl/>
        <w:suppressLineNumbers w:val="0"/>
        <w:rPr>
          <w:sz w:val="18"/>
          <w:szCs w:val="18"/>
        </w:rPr>
      </w:pPr>
      <w:r>
        <w:rPr>
          <w:sz w:val="18"/>
          <w:szCs w:val="18"/>
        </w:rPr>
        <w:t>（通过分析eigenphi实时数据，发现竞争者的盈利点和亏损点，对策略进行优化，风险进行规避）</w:t>
      </w:r>
    </w:p>
    <w:p w14:paraId="3ABC2BBD">
      <w:pPr>
        <w:pStyle w:val="44"/>
        <w:keepNext w:val="0"/>
        <w:keepLines w:val="0"/>
        <w:widowControl/>
        <w:suppressLineNumbers w:val="0"/>
        <w:rPr>
          <w:sz w:val="18"/>
          <w:szCs w:val="18"/>
        </w:rPr>
      </w:pPr>
    </w:p>
    <w:p w14:paraId="3935CE7F">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Fonts w:hint="default" w:ascii="Helvetica Neue" w:hAnsi="Helvetica Neue" w:eastAsia="Helvetica Neue" w:cs="Helvetica Neue"/>
          <w:sz w:val="18"/>
          <w:szCs w:val="18"/>
        </w:rPr>
        <w:t>识别哪些池子/资产对 MEV 竞争激烈（避免红海）</w:t>
      </w:r>
    </w:p>
    <w:p w14:paraId="00F1ABFA">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Fonts w:hint="default" w:ascii="Helvetica Neue" w:hAnsi="Helvetica Neue" w:eastAsia="Helvetica Neue" w:cs="Helvetica Neue"/>
          <w:sz w:val="18"/>
          <w:szCs w:val="18"/>
        </w:rPr>
        <w:t>发现 bot 常用的滑点容忍度（如设 amountOutMin 更激进）</w:t>
      </w:r>
    </w:p>
    <w:p w14:paraId="3AC5782E">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Fonts w:hint="default" w:ascii="Helvetica Neue" w:hAnsi="Helvetica Neue" w:eastAsia="Helvetica Neue" w:cs="Helvetica Neue"/>
          <w:sz w:val="18"/>
          <w:szCs w:val="18"/>
        </w:rPr>
        <w:t>观察失败交易的 revert 原因（优化参数）</w:t>
      </w:r>
    </w:p>
    <w:p w14:paraId="5985CCE7">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18"/>
          <w:szCs w:val="18"/>
        </w:rPr>
      </w:pPr>
      <w:r>
        <w:rPr>
          <w:rStyle w:val="42"/>
          <w:sz w:val="18"/>
          <w:szCs w:val="18"/>
        </w:rPr>
        <w:t>追踪头部</w:t>
      </w:r>
      <w:r>
        <w:rPr>
          <w:rFonts w:hint="default" w:ascii="Helvetica Neue" w:hAnsi="Helvetica Neue" w:eastAsia="Helvetica Neue" w:cs="Helvetica Neue"/>
          <w:sz w:val="18"/>
          <w:szCs w:val="18"/>
        </w:rPr>
        <w:t xml:space="preserve"> searcher </w:t>
      </w:r>
      <w:r>
        <w:rPr>
          <w:rStyle w:val="42"/>
          <w:sz w:val="18"/>
          <w:szCs w:val="18"/>
        </w:rPr>
        <w:t>的策略（学习</w:t>
      </w:r>
      <w:r>
        <w:rPr>
          <w:rFonts w:hint="default" w:ascii="Helvetica Neue" w:hAnsi="Helvetica Neue" w:eastAsia="Helvetica Neue" w:cs="Helvetica Neue"/>
          <w:sz w:val="18"/>
          <w:szCs w:val="18"/>
        </w:rPr>
        <w:t xml:space="preserve"> or </w:t>
      </w:r>
      <w:r>
        <w:rPr>
          <w:rStyle w:val="42"/>
          <w:sz w:val="18"/>
          <w:szCs w:val="18"/>
        </w:rPr>
        <w:t>规避）</w:t>
      </w:r>
    </w:p>
    <w:p w14:paraId="3A4DD9B4">
      <w:pPr>
        <w:pStyle w:val="11"/>
      </w:pPr>
    </w:p>
    <w:p w14:paraId="5C7BC423">
      <w:pPr>
        <w:pStyle w:val="11"/>
        <w:rPr>
          <w:rFonts w:hint="eastAsia" w:ascii="仿宋" w:hAnsi="仿宋" w:eastAsia="仿宋" w:cs="仿宋"/>
          <w:sz w:val="21"/>
          <w:szCs w:val="22"/>
          <w:lang w:val="en-US" w:eastAsia="zh-CN"/>
        </w:rPr>
      </w:pPr>
      <w:r>
        <w:rPr>
          <w:rFonts w:hint="eastAsia" w:ascii="仿宋" w:hAnsi="仿宋" w:eastAsia="仿宋" w:cs="仿宋"/>
          <w:sz w:val="21"/>
          <w:szCs w:val="22"/>
          <w:lang w:val="en-US" w:eastAsia="zh-CN"/>
        </w:rPr>
        <w:t>条件：跨所套利，交易所数量多，dex相对于cex存在滞后性；大量的买一卖一带动价格偏离产生与dex的价格偏差；产生套利空间，dex紧跟挂单，由于存在滞后性，在交互交互状态下，会跟随大单方向变化。</w:t>
      </w:r>
    </w:p>
    <w:p w14:paraId="77F30225">
      <w:pPr>
        <w:pStyle w:val="11"/>
        <w:rPr>
          <w:rFonts w:hint="eastAsia" w:ascii="仿宋" w:hAnsi="仿宋" w:eastAsia="仿宋" w:cs="仿宋"/>
          <w:sz w:val="21"/>
          <w:szCs w:val="22"/>
          <w:lang w:val="en-US" w:eastAsia="zh-CN"/>
        </w:rPr>
      </w:pPr>
    </w:p>
    <w:p w14:paraId="62678BFB">
      <w:pPr>
        <w:pStyle w:val="11"/>
        <w:rPr>
          <w:rFonts w:hint="eastAsia" w:ascii="仿宋" w:hAnsi="仿宋" w:eastAsia="仿宋" w:cs="仿宋"/>
          <w:sz w:val="21"/>
          <w:szCs w:val="22"/>
          <w:lang w:val="en-US" w:eastAsia="zh-CN"/>
        </w:rPr>
      </w:pPr>
      <w:r>
        <w:rPr>
          <w:rFonts w:hint="eastAsia" w:ascii="仿宋" w:hAnsi="仿宋" w:eastAsia="仿宋" w:cs="仿宋"/>
          <w:sz w:val="21"/>
          <w:szCs w:val="22"/>
          <w:lang w:val="en-US" w:eastAsia="zh-CN"/>
        </w:rPr>
        <w:t>价格指数（交易所的综合价格）在脱钩情况下通过加权来确定均衡价格，通过偏差套利</w:t>
      </w:r>
    </w:p>
    <w:p w14:paraId="7531D1A3">
      <w:pPr>
        <w:pStyle w:val="11"/>
        <w:rPr>
          <w:rFonts w:hint="eastAsia" w:ascii="仿宋" w:hAnsi="仿宋" w:eastAsia="仿宋" w:cs="仿宋"/>
          <w:sz w:val="21"/>
          <w:szCs w:val="22"/>
          <w:lang w:val="en-US" w:eastAsia="zh-CN"/>
        </w:rPr>
      </w:pPr>
    </w:p>
    <w:p w14:paraId="34C7EF10">
      <w:pPr>
        <w:pStyle w:val="11"/>
        <w:rPr>
          <w:rFonts w:hint="eastAsia" w:ascii="仿宋" w:hAnsi="仿宋" w:eastAsia="仿宋" w:cs="仿宋"/>
          <w:sz w:val="21"/>
          <w:szCs w:val="22"/>
          <w:lang w:val="en-US" w:eastAsia="zh-CN"/>
        </w:rPr>
      </w:pPr>
      <w:r>
        <w:rPr>
          <w:rFonts w:hint="eastAsia" w:ascii="仿宋" w:hAnsi="仿宋" w:eastAsia="仿宋" w:cs="仿宋"/>
          <w:sz w:val="21"/>
          <w:szCs w:val="22"/>
          <w:lang w:val="en-US" w:eastAsia="zh-CN"/>
        </w:rPr>
        <w:t>alpha与合约触发同样是买一卖一，只是不同的标的，单四种触发方式都是通过四种标的的订单簿大量成交带来的价格偏差进行营利的</w:t>
      </w:r>
    </w:p>
    <w:p w14:paraId="6372EBD7">
      <w:pPr>
        <w:pStyle w:val="11"/>
        <w:rPr>
          <w:rFonts w:hint="eastAsia" w:ascii="仿宋" w:hAnsi="仿宋" w:eastAsia="仿宋" w:cs="仿宋"/>
          <w:sz w:val="21"/>
          <w:szCs w:val="22"/>
          <w:lang w:val="en-US" w:eastAsia="zh-CN"/>
        </w:rPr>
      </w:pPr>
      <w:r>
        <w:rPr>
          <w:rFonts w:hint="eastAsia" w:ascii="仿宋" w:hAnsi="仿宋" w:eastAsia="仿宋" w:cs="仿宋"/>
          <w:sz w:val="21"/>
          <w:szCs w:val="22"/>
          <w:lang w:val="en-US" w:eastAsia="zh-CN"/>
        </w:rPr>
        <w:t>（同样的底层逻辑交易策略——卖一买一的价格偏差（设置偏差阈值，达到触发条件，模拟交易利润达到阈值实现出场），改变的是标的，以此实现对冲）——扣除交易成本，实现盈利；在高盈亏比的情况下检测胜率</w:t>
      </w:r>
    </w:p>
    <w:p w14:paraId="5643C48B">
      <w:pPr>
        <w:pStyle w:val="11"/>
        <w:rPr>
          <w:rFonts w:hint="eastAsia" w:ascii="仿宋" w:hAnsi="仿宋" w:eastAsia="仿宋" w:cs="仿宋"/>
          <w:sz w:val="21"/>
          <w:szCs w:val="22"/>
          <w:lang w:val="en-US" w:eastAsia="zh-CN"/>
        </w:rPr>
      </w:pPr>
    </w:p>
    <w:p w14:paraId="587B0A98">
      <w:pPr>
        <w:pStyle w:val="11"/>
        <w:rPr>
          <w:rFonts w:hint="eastAsia" w:ascii="仿宋" w:hAnsi="仿宋" w:eastAsia="仿宋" w:cs="仿宋"/>
          <w:sz w:val="21"/>
          <w:szCs w:val="22"/>
          <w:lang w:val="en-US" w:eastAsia="zh-CN"/>
        </w:rPr>
      </w:pPr>
      <w:r>
        <w:rPr>
          <w:rFonts w:hint="eastAsia" w:ascii="仿宋" w:hAnsi="仿宋" w:eastAsia="仿宋" w:cs="仿宋"/>
          <w:sz w:val="21"/>
          <w:szCs w:val="22"/>
          <w:lang w:val="en-US" w:eastAsia="zh-CN"/>
        </w:rPr>
        <w:t>扩展引申：跨品种套利，品种多，一般三角套利</w:t>
      </w:r>
    </w:p>
    <w:p w14:paraId="77A3E7DD">
      <w:pPr>
        <w:pStyle w:val="12"/>
        <w:snapToGrid w:val="0"/>
      </w:pPr>
    </w:p>
    <w:p w14:paraId="16C4893D">
      <w:pPr>
        <w:pStyle w:val="12"/>
        <w:snapToGrid w:val="0"/>
      </w:pPr>
    </w:p>
    <w:p w14:paraId="1AA0B543">
      <w:pPr>
        <w:pStyle w:val="12"/>
        <w:snapToGrid w:val="0"/>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p>
  </w:footnote>
  <w:footnote w:type="continuationSeparator" w:id="1">
    <w:p>
      <w:pPr>
        <w:spacing w:before="0" w:after="0" w:line="278"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722005"/>
    <w:multiLevelType w:val="multilevel"/>
    <w:tmpl w:val="EF7220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2122C0A"/>
    <w:multiLevelType w:val="multilevel"/>
    <w:tmpl w:val="02122C0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5433EA6"/>
    <w:multiLevelType w:val="multilevel"/>
    <w:tmpl w:val="25433EA6"/>
    <w:lvl w:ilvl="0" w:tentative="0">
      <w:start w:val="1"/>
      <w:numFmt w:val="decimal"/>
      <w:lvlText w:val="%1"/>
      <w:lvlJc w:val="left"/>
      <w:pPr>
        <w:ind w:left="425" w:hanging="425"/>
      </w:pPr>
      <w:rPr>
        <w:rFonts w:hint="default"/>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
    <w:nsid w:val="34085073"/>
    <w:multiLevelType w:val="multilevel"/>
    <w:tmpl w:val="3408507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E725364"/>
    <w:multiLevelType w:val="multilevel"/>
    <w:tmpl w:val="3E72536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7D2CD189"/>
    <w:multiLevelType w:val="multilevel"/>
    <w:tmpl w:val="7D2CD1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5"/>
  </w:num>
  <w:num w:numId="3">
    <w:abstractNumId w:val="2"/>
  </w:num>
  <w:num w:numId="4">
    <w:abstractNumId w:val="1"/>
  </w:num>
  <w:num w:numId="5">
    <w:abstractNumId w:val="4"/>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69657601">
    <w15:presenceInfo w15:providerId="WPS Office" w15:userId="8481428943"/>
  </w15:person>
  <w15:person w15:author="yy">
    <w15:presenceInfo w15:providerId="None" w15:userId="y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2"/>
    <w:endnote w:id="3"/>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07C"/>
    <w:rsid w:val="0001541A"/>
    <w:rsid w:val="000A7467"/>
    <w:rsid w:val="001964A9"/>
    <w:rsid w:val="001A7006"/>
    <w:rsid w:val="001B24E0"/>
    <w:rsid w:val="0020596D"/>
    <w:rsid w:val="002D3F41"/>
    <w:rsid w:val="0035203E"/>
    <w:rsid w:val="003B2EF5"/>
    <w:rsid w:val="003E0CF1"/>
    <w:rsid w:val="003F3310"/>
    <w:rsid w:val="004304CF"/>
    <w:rsid w:val="00453CCE"/>
    <w:rsid w:val="00462061"/>
    <w:rsid w:val="004F107C"/>
    <w:rsid w:val="004F6267"/>
    <w:rsid w:val="005E09B5"/>
    <w:rsid w:val="00647ABF"/>
    <w:rsid w:val="00653CBA"/>
    <w:rsid w:val="0065519A"/>
    <w:rsid w:val="00677121"/>
    <w:rsid w:val="00741CDD"/>
    <w:rsid w:val="00767519"/>
    <w:rsid w:val="007B3066"/>
    <w:rsid w:val="007C388A"/>
    <w:rsid w:val="007C5D04"/>
    <w:rsid w:val="0083352B"/>
    <w:rsid w:val="00834FAB"/>
    <w:rsid w:val="00837A26"/>
    <w:rsid w:val="0088170F"/>
    <w:rsid w:val="008D5A1B"/>
    <w:rsid w:val="00916B30"/>
    <w:rsid w:val="00920A67"/>
    <w:rsid w:val="0093569D"/>
    <w:rsid w:val="00976BE8"/>
    <w:rsid w:val="00995099"/>
    <w:rsid w:val="009E284F"/>
    <w:rsid w:val="009E3FF2"/>
    <w:rsid w:val="00A63AA5"/>
    <w:rsid w:val="00A71249"/>
    <w:rsid w:val="00A838A4"/>
    <w:rsid w:val="00B0019E"/>
    <w:rsid w:val="00B82573"/>
    <w:rsid w:val="00C41D65"/>
    <w:rsid w:val="00C9421E"/>
    <w:rsid w:val="00EB65A9"/>
    <w:rsid w:val="00EC5DA6"/>
    <w:rsid w:val="00F4277C"/>
    <w:rsid w:val="00F803CC"/>
    <w:rsid w:val="0DBF0689"/>
    <w:rsid w:val="26DF0711"/>
    <w:rsid w:val="3CDFB1D9"/>
    <w:rsid w:val="3FAD5AC1"/>
    <w:rsid w:val="3FDEAB1E"/>
    <w:rsid w:val="3FF7EFC8"/>
    <w:rsid w:val="533F7DC8"/>
    <w:rsid w:val="59DF4A17"/>
    <w:rsid w:val="69DB1AC0"/>
    <w:rsid w:val="6CDFB8FB"/>
    <w:rsid w:val="6D6F274D"/>
    <w:rsid w:val="736D12DD"/>
    <w:rsid w:val="7FFF8919"/>
    <w:rsid w:val="A5CF316F"/>
    <w:rsid w:val="B37FB31B"/>
    <w:rsid w:val="B7FBB850"/>
    <w:rsid w:val="BAFB195B"/>
    <w:rsid w:val="CA9FED18"/>
    <w:rsid w:val="DBB32A24"/>
    <w:rsid w:val="DBFD8870"/>
    <w:rsid w:val="DF3CFCA0"/>
    <w:rsid w:val="DFB75AAC"/>
    <w:rsid w:val="F3BD6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7"/>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endnote text"/>
    <w:basedOn w:val="1"/>
    <w:semiHidden/>
    <w:unhideWhenUsed/>
    <w:uiPriority w:val="99"/>
    <w:pPr>
      <w:snapToGrid w:val="0"/>
      <w:jc w:val="left"/>
    </w:pPr>
  </w:style>
  <w:style w:type="paragraph" w:styleId="13">
    <w:name w:val="Subtitle"/>
    <w:basedOn w:val="1"/>
    <w:next w:val="1"/>
    <w:link w:val="3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3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pPr>
      <w:spacing w:after="0" w:line="240" w:lineRule="auto"/>
    </w:pPr>
    <w:rPr>
      <w:kern w:val="0"/>
      <w:sz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ndnote reference"/>
    <w:basedOn w:val="17"/>
    <w:semiHidden/>
    <w:unhideWhenUsed/>
    <w:uiPriority w:val="99"/>
    <w:rPr>
      <w:vertAlign w:val="superscript"/>
    </w:rPr>
  </w:style>
  <w:style w:type="character" w:styleId="19">
    <w:name w:val="FollowedHyperlink"/>
    <w:basedOn w:val="17"/>
    <w:semiHidden/>
    <w:unhideWhenUsed/>
    <w:uiPriority w:val="99"/>
    <w:rPr>
      <w:color w:val="96607D" w:themeColor="followedHyperlink"/>
      <w:u w:val="single"/>
      <w14:textFill>
        <w14:solidFill>
          <w14:schemeClr w14:val="folHlink"/>
        </w14:solidFill>
      </w14:textFill>
    </w:rPr>
  </w:style>
  <w:style w:type="character" w:styleId="20">
    <w:name w:val="Emphasis"/>
    <w:basedOn w:val="17"/>
    <w:qFormat/>
    <w:uiPriority w:val="20"/>
    <w:rPr>
      <w:i/>
    </w:rPr>
  </w:style>
  <w:style w:type="character" w:styleId="21">
    <w:name w:val="Hyperlink"/>
    <w:basedOn w:val="17"/>
    <w:unhideWhenUsed/>
    <w:uiPriority w:val="99"/>
    <w:rPr>
      <w:color w:val="467886" w:themeColor="hyperlink"/>
      <w:u w:val="single"/>
      <w14:textFill>
        <w14:solidFill>
          <w14:schemeClr w14:val="hlink"/>
        </w14:solidFill>
      </w14:textFill>
    </w:rPr>
  </w:style>
  <w:style w:type="character" w:customStyle="1" w:styleId="22">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23">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4">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5">
    <w:name w:val="标题 4 字符"/>
    <w:basedOn w:val="17"/>
    <w:link w:val="5"/>
    <w:semiHidden/>
    <w:uiPriority w:val="9"/>
    <w:rPr>
      <w:rFonts w:cstheme="majorBidi"/>
      <w:color w:val="104862" w:themeColor="accent1" w:themeShade="BF"/>
      <w:sz w:val="28"/>
      <w:szCs w:val="28"/>
    </w:rPr>
  </w:style>
  <w:style w:type="character" w:customStyle="1" w:styleId="26">
    <w:name w:val="标题 5 字符"/>
    <w:basedOn w:val="17"/>
    <w:link w:val="6"/>
    <w:semiHidden/>
    <w:uiPriority w:val="9"/>
    <w:rPr>
      <w:rFonts w:cstheme="majorBidi"/>
      <w:color w:val="104862" w:themeColor="accent1" w:themeShade="BF"/>
      <w:sz w:val="24"/>
    </w:rPr>
  </w:style>
  <w:style w:type="character" w:customStyle="1" w:styleId="27">
    <w:name w:val="标题 6 字符"/>
    <w:basedOn w:val="17"/>
    <w:link w:val="7"/>
    <w:semiHidden/>
    <w:uiPriority w:val="9"/>
    <w:rPr>
      <w:rFonts w:cstheme="majorBidi"/>
      <w:b/>
      <w:bCs/>
      <w:color w:val="104862" w:themeColor="accent1" w:themeShade="BF"/>
    </w:rPr>
  </w:style>
  <w:style w:type="character" w:customStyle="1" w:styleId="28">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32">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7"/>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7"/>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明显引用 字符"/>
    <w:basedOn w:val="17"/>
    <w:link w:val="37"/>
    <w:uiPriority w:val="30"/>
    <w:rPr>
      <w:i/>
      <w:iCs/>
      <w:color w:val="104862" w:themeColor="accent1" w:themeShade="BF"/>
    </w:rPr>
  </w:style>
  <w:style w:type="character" w:customStyle="1" w:styleId="39">
    <w:name w:val="Intense Reference"/>
    <w:basedOn w:val="17"/>
    <w:qFormat/>
    <w:uiPriority w:val="32"/>
    <w:rPr>
      <w:b/>
      <w:bCs/>
      <w:smallCaps/>
      <w:color w:val="104862" w:themeColor="accent1" w:themeShade="BF"/>
      <w:spacing w:val="5"/>
    </w:rPr>
  </w:style>
  <w:style w:type="character" w:customStyle="1" w:styleId="40">
    <w:name w:val="Unresolved Mention"/>
    <w:basedOn w:val="17"/>
    <w:semiHidden/>
    <w:unhideWhenUsed/>
    <w:uiPriority w:val="99"/>
    <w:rPr>
      <w:color w:val="605E5C"/>
      <w:shd w:val="clear" w:color="auto" w:fill="E1DFDD"/>
    </w:rPr>
  </w:style>
  <w:style w:type="paragraph" w:customStyle="1" w:styleId="41">
    <w:name w:val="p1"/>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character" w:customStyle="1" w:styleId="42">
    <w:name w:val="s2"/>
    <w:basedOn w:val="17"/>
    <w:uiPriority w:val="0"/>
    <w:rPr>
      <w:rFonts w:ascii="PingFang SC" w:hAnsi="PingFang SC" w:eastAsia="PingFang SC" w:cs="PingFang SC"/>
      <w:sz w:val="26"/>
      <w:szCs w:val="26"/>
    </w:rPr>
  </w:style>
  <w:style w:type="character" w:customStyle="1" w:styleId="43">
    <w:name w:val="s1"/>
    <w:basedOn w:val="17"/>
    <w:uiPriority w:val="0"/>
    <w:rPr>
      <w:rFonts w:ascii="menlo" w:hAnsi="menlo" w:eastAsia="menlo" w:cs="menlo"/>
      <w:sz w:val="18"/>
      <w:szCs w:val="18"/>
    </w:rPr>
  </w:style>
  <w:style w:type="paragraph" w:customStyle="1" w:styleId="44">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762</Words>
  <Characters>4349</Characters>
  <Lines>36</Lines>
  <Paragraphs>10</Paragraphs>
  <TotalTime>734</TotalTime>
  <ScaleCrop>false</ScaleCrop>
  <LinksUpToDate>false</LinksUpToDate>
  <CharactersWithSpaces>5101</CharactersWithSpaces>
  <Application>WPS Office_12.1.25195.25195_F1E327BC-269C-435d-A152-05C5408002CA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2025-08-04T10:24:00Z</dcterms:created>
  <dc:creator>KK</dc:creator>
  <cp:lastModifiedBy>WPS_1769657601</cp:lastModifiedBy>
  <dcterms:modified xsi:type="dcterms:W3CDTF">2026-02-06T19:04:54Z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8403D32043ED3E05A81890685C7C9706_43</vt:lpwstr>
  </property>
</Properties>
</file>