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51" w:rsidRPr="006E0E51" w:rsidRDefault="006E0E51" w:rsidP="006E0E51">
      <w:pPr>
        <w:spacing w:before="77"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 xml:space="preserve">------------------------------------------------------------------------------ </w:t>
      </w:r>
    </w:p>
    <w:p w:rsidR="006E0E51" w:rsidRPr="006E0E51" w:rsidRDefault="006E0E51" w:rsidP="006E0E51">
      <w:pPr>
        <w:spacing w:before="77"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 xml:space="preserve">Chamadas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</w:p>
    <w:p w:rsidR="006E0E51" w:rsidRPr="006E0E51" w:rsidRDefault="006E0E51" w:rsidP="006E0E51">
      <w:pPr>
        <w:spacing w:before="77"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CALL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FOR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PAPERS</w:t>
      </w:r>
      <w:proofErr w:type="spellEnd"/>
    </w:p>
    <w:p w:rsidR="006E0E51" w:rsidRPr="006E0E51" w:rsidRDefault="006E0E51" w:rsidP="006E0E51">
      <w:pPr>
        <w:spacing w:before="77"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 xml:space="preserve">XXI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Congresso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Ibero-Americano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Software (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2018)</w:t>
      </w:r>
    </w:p>
    <w:p w:rsidR="006E0E51" w:rsidRPr="006E0E51" w:rsidRDefault="006E0E51" w:rsidP="006E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6E0E51" w:rsidRPr="006E0E51" w:rsidRDefault="006E0E51" w:rsidP="006E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 xml:space="preserve">Bogotá,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Colômbia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>, 23 a 27 de abril de 2018</w:t>
      </w:r>
    </w:p>
    <w:p w:rsidR="006E0E51" w:rsidRPr="006E0E51" w:rsidRDefault="006E0E51" w:rsidP="006E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6E0E51" w:rsidRPr="006E0E51" w:rsidRDefault="006E0E51" w:rsidP="006E0E51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>http://cibseconference.org</w:t>
      </w:r>
    </w:p>
    <w:p w:rsidR="006E0E51" w:rsidRPr="006E0E51" w:rsidRDefault="006E0E51" w:rsidP="006E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6E0E51" w:rsidRPr="006E0E51" w:rsidRDefault="006E0E51" w:rsidP="006E0E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é o principal fórum de pesquisa/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investigação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Software (ES) nos países ibero-americanos. O principal objetivo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desta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é promover a pesquisa/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investigação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científica de alta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qualidade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nos países ibero-americanos,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apoiando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os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pesquisadores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/investigadores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dessa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comunidade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na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publicação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discussão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disso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, 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promove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colaboração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 sinergia entre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pesquisadores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estudantes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membros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indústria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software.</w:t>
      </w:r>
    </w:p>
    <w:p w:rsidR="006E0E51" w:rsidRPr="006E0E51" w:rsidRDefault="006E0E51" w:rsidP="006E0E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2018 acontecerá na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Universidade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dos Andes,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Bogotá,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das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cidades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mais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vibrantes da América do Sul e do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coração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Colômbia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. O evento incluirá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várias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linhas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temáticas, expositores da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indústria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, palestras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pesquisadores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profissionais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prática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influentes da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comunidade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ES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atividades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sociais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>.</w:t>
      </w:r>
    </w:p>
    <w:p w:rsidR="006E0E51" w:rsidRPr="006E0E51" w:rsidRDefault="006E0E51" w:rsidP="006E0E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 xml:space="preserve">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se organiza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conjunto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dois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eventos satélites: o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 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primeira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edição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Escola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Ibero-Americana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Software. O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permitirá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/discutir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desenvolvimento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 objeto das pesquisas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doutorado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na área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Software. 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escola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será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apresentada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por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palestrantes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reconhecida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competência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oferecendo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programa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atraente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, combinando palestras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tutoriais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baseados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nas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atuais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tendências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Software e objetos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discussão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>.</w:t>
      </w:r>
    </w:p>
    <w:p w:rsidR="006E0E51" w:rsidRPr="006E0E51" w:rsidRDefault="006E0E51" w:rsidP="006E0E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 xml:space="preserve">Convidamos os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pesquisadores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interessados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submeter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 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para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mais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nossas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linhas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temáticas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>:</w:t>
      </w:r>
    </w:p>
    <w:p w:rsidR="006E0E51" w:rsidRPr="006E0E51" w:rsidRDefault="006E0E51" w:rsidP="006E0E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E0E51">
        <w:rPr>
          <w:rFonts w:ascii="Arial" w:eastAsia="Times New Roman" w:hAnsi="Arial" w:cs="Arial"/>
          <w:color w:val="000000"/>
        </w:rPr>
        <w:t xml:space="preserve">◦SET - </w:t>
      </w:r>
      <w:proofErr w:type="spellStart"/>
      <w:r w:rsidRPr="006E0E51">
        <w:rPr>
          <w:rFonts w:ascii="Arial" w:eastAsia="Times New Roman" w:hAnsi="Arial" w:cs="Arial"/>
          <w:color w:val="000000"/>
        </w:rPr>
        <w:t>Engenharia</w:t>
      </w:r>
      <w:proofErr w:type="spellEnd"/>
      <w:r w:rsidRPr="006E0E51">
        <w:rPr>
          <w:rFonts w:ascii="Arial" w:eastAsia="Times New Roman" w:hAnsi="Arial" w:cs="Arial"/>
          <w:color w:val="000000"/>
        </w:rPr>
        <w:t xml:space="preserve"> de Software</w:t>
      </w:r>
    </w:p>
    <w:p w:rsidR="006E0E51" w:rsidRPr="006E0E51" w:rsidRDefault="006E0E51" w:rsidP="006E0E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E0E51">
        <w:rPr>
          <w:rFonts w:ascii="Arial" w:eastAsia="Times New Roman" w:hAnsi="Arial" w:cs="Arial"/>
          <w:color w:val="000000"/>
        </w:rPr>
        <w:t>◦</w:t>
      </w:r>
      <w:proofErr w:type="spellStart"/>
      <w:r w:rsidRPr="006E0E51">
        <w:rPr>
          <w:rFonts w:ascii="Arial" w:eastAsia="Times New Roman" w:hAnsi="Arial" w:cs="Arial"/>
          <w:color w:val="000000"/>
        </w:rPr>
        <w:t>WER</w:t>
      </w:r>
      <w:proofErr w:type="spellEnd"/>
      <w:r w:rsidRPr="006E0E5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6E0E51">
        <w:rPr>
          <w:rFonts w:ascii="Arial" w:eastAsia="Times New Roman" w:hAnsi="Arial" w:cs="Arial"/>
          <w:color w:val="000000"/>
        </w:rPr>
        <w:t>Engenharia</w:t>
      </w:r>
      <w:proofErr w:type="spellEnd"/>
      <w:r w:rsidRPr="006E0E51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E0E51">
        <w:rPr>
          <w:rFonts w:ascii="Arial" w:eastAsia="Times New Roman" w:hAnsi="Arial" w:cs="Arial"/>
          <w:color w:val="000000"/>
        </w:rPr>
        <w:t>Requisitos</w:t>
      </w:r>
      <w:proofErr w:type="spellEnd"/>
    </w:p>
    <w:p w:rsidR="006E0E51" w:rsidRPr="006E0E51" w:rsidRDefault="006E0E51" w:rsidP="006E0E51">
      <w:pPr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E0E51">
        <w:rPr>
          <w:rFonts w:ascii="Arial" w:eastAsia="Times New Roman" w:hAnsi="Arial" w:cs="Arial"/>
          <w:color w:val="000000"/>
        </w:rPr>
        <w:t>◦</w:t>
      </w:r>
      <w:proofErr w:type="spellStart"/>
      <w:r w:rsidRPr="006E0E51">
        <w:rPr>
          <w:rFonts w:ascii="Arial" w:eastAsia="Times New Roman" w:hAnsi="Arial" w:cs="Arial"/>
          <w:color w:val="000000"/>
        </w:rPr>
        <w:t>ESELAW</w:t>
      </w:r>
      <w:proofErr w:type="spellEnd"/>
      <w:r w:rsidRPr="006E0E5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6E0E51">
        <w:rPr>
          <w:rFonts w:ascii="Arial" w:eastAsia="Times New Roman" w:hAnsi="Arial" w:cs="Arial"/>
          <w:color w:val="000000"/>
        </w:rPr>
        <w:t>Engenharia</w:t>
      </w:r>
      <w:proofErr w:type="spellEnd"/>
      <w:r w:rsidRPr="006E0E51">
        <w:rPr>
          <w:rFonts w:ascii="Arial" w:eastAsia="Times New Roman" w:hAnsi="Arial" w:cs="Arial"/>
          <w:color w:val="000000"/>
        </w:rPr>
        <w:t xml:space="preserve"> de Software Experimental</w:t>
      </w:r>
    </w:p>
    <w:p w:rsidR="006E0E51" w:rsidRPr="006E0E51" w:rsidRDefault="006E0E51" w:rsidP="006E0E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 xml:space="preserve">Os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podem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apresentados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qualquer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das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três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categorias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(i.e. Técnicos,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Idéias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Emergentes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)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das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três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línguas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oficiais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: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inglês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espanhol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português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. A seguir, os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detalhes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cada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linha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temática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descritos, juntamente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coordenadores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programa.</w:t>
      </w:r>
    </w:p>
    <w:p w:rsidR="006E0E51" w:rsidRDefault="006E0E51" w:rsidP="006E0E51">
      <w:pPr>
        <w:spacing w:after="200" w:line="240" w:lineRule="auto"/>
        <w:jc w:val="both"/>
        <w:rPr>
          <w:rFonts w:ascii="Arial" w:eastAsia="Times New Roman" w:hAnsi="Arial" w:cs="Arial"/>
          <w:color w:val="000000"/>
          <w:lang w:val="es-CO"/>
        </w:rPr>
      </w:pPr>
      <w:r w:rsidRPr="006E0E51">
        <w:rPr>
          <w:rFonts w:ascii="Arial" w:eastAsia="Times New Roman" w:hAnsi="Arial" w:cs="Arial"/>
          <w:color w:val="000000"/>
          <w:lang w:val="es-CO"/>
        </w:rPr>
        <w:t xml:space="preserve">Para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mais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informações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, visite o portal do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2018 (</w:t>
      </w:r>
      <w:hyperlink r:id="rId5" w:history="1">
        <w:r w:rsidRPr="006E0E51">
          <w:rPr>
            <w:rFonts w:ascii="Arial" w:eastAsia="Times New Roman" w:hAnsi="Arial" w:cs="Arial"/>
            <w:color w:val="1155CC"/>
            <w:u w:val="single"/>
            <w:lang w:val="es-CO"/>
          </w:rPr>
          <w:t>http://cibseconference.org</w:t>
        </w:r>
      </w:hyperlink>
      <w:r w:rsidRPr="006E0E51">
        <w:rPr>
          <w:rFonts w:ascii="Arial" w:eastAsia="Times New Roman" w:hAnsi="Arial" w:cs="Arial"/>
          <w:color w:val="000000"/>
          <w:lang w:val="es-CO"/>
        </w:rPr>
        <w:t xml:space="preserve">), entre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contato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por e-mail (info.cibse@gmail.com)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use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qualquer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dos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nossos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meios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comunicação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6E0E51">
        <w:rPr>
          <w:rFonts w:ascii="Arial" w:eastAsia="Times New Roman" w:hAnsi="Arial" w:cs="Arial"/>
          <w:color w:val="000000"/>
          <w:lang w:val="es-CO"/>
        </w:rPr>
        <w:t>sociais</w:t>
      </w:r>
      <w:proofErr w:type="spellEnd"/>
      <w:r w:rsidRPr="006E0E51">
        <w:rPr>
          <w:rFonts w:ascii="Arial" w:eastAsia="Times New Roman" w:hAnsi="Arial" w:cs="Arial"/>
          <w:color w:val="000000"/>
          <w:lang w:val="es-CO"/>
        </w:rPr>
        <w:t xml:space="preserve"> (Twitter e Facebook).</w:t>
      </w:r>
    </w:p>
    <w:p w:rsidR="006E0E51" w:rsidRDefault="006E0E51" w:rsidP="006E0E51">
      <w:pPr>
        <w:spacing w:after="200" w:line="240" w:lineRule="auto"/>
        <w:jc w:val="both"/>
        <w:rPr>
          <w:rFonts w:ascii="Arial" w:eastAsia="Times New Roman" w:hAnsi="Arial" w:cs="Arial"/>
          <w:color w:val="000000"/>
          <w:lang w:val="es-CO"/>
        </w:rPr>
      </w:pPr>
    </w:p>
    <w:p w:rsidR="006E0E51" w:rsidRDefault="006E0E51" w:rsidP="006E0E51">
      <w:pPr>
        <w:spacing w:after="200" w:line="240" w:lineRule="auto"/>
        <w:jc w:val="both"/>
        <w:rPr>
          <w:rFonts w:ascii="Arial" w:eastAsia="Times New Roman" w:hAnsi="Arial" w:cs="Arial"/>
          <w:color w:val="000000"/>
          <w:lang w:val="es-CO"/>
        </w:rPr>
      </w:pPr>
    </w:p>
    <w:p w:rsidR="006E0E51" w:rsidRPr="006E0E51" w:rsidRDefault="006E0E51" w:rsidP="006E0E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p w:rsidR="00C91B5F" w:rsidRPr="00C91B5F" w:rsidRDefault="00C91B5F" w:rsidP="00C91B5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lastRenderedPageBreak/>
        <w:t>-------------------------------------------------------------------------------</w:t>
      </w:r>
    </w:p>
    <w:p w:rsidR="00C91B5F" w:rsidRPr="00C91B5F" w:rsidRDefault="00C91B5F" w:rsidP="00C91B5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Trilhas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</w:p>
    <w:p w:rsidR="00C91B5F" w:rsidRPr="00C91B5F" w:rsidRDefault="00C91B5F" w:rsidP="00C91B5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-------------------------------------------------------------------------------</w:t>
      </w:r>
    </w:p>
    <w:p w:rsidR="00C91B5F" w:rsidRPr="00C91B5F" w:rsidRDefault="00C91B5F" w:rsidP="00C91B5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Os autores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convidados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submeter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pesquisa de alta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resultados significativos,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originais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publicados,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qualquer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temáticas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categorias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seguintes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: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1B5F">
        <w:rPr>
          <w:rFonts w:ascii="Arial" w:eastAsia="Times New Roman" w:hAnsi="Arial" w:cs="Arial"/>
          <w:color w:val="000000"/>
        </w:rPr>
        <w:t>Categorias</w:t>
      </w:r>
      <w:proofErr w:type="spellEnd"/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B5F" w:rsidRPr="00C91B5F" w:rsidRDefault="00C91B5F" w:rsidP="00C91B5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técnicos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excedendo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14 páginas):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pesquisas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inovadoras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nos tópicos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trilhas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nesta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categoria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novas/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inovadoras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para os tópicos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justificar cuidadosamente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essas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usando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citações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literatura relevante.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Critérios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base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originalidade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solidez,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relevância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importância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validação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adequada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comparação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relacionados.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baseia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anteriores do (s) autor (es), a nova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descrita claramente. Os documentos técnicos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mostrar claramente como os resultados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validados.</w:t>
      </w:r>
    </w:p>
    <w:p w:rsidR="00C91B5F" w:rsidRPr="00C91B5F" w:rsidRDefault="00C91B5F" w:rsidP="00C91B5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(NOVO</w:t>
      </w:r>
      <w:proofErr w:type="gramStart"/>
      <w:r w:rsidRPr="00C91B5F">
        <w:rPr>
          <w:rFonts w:ascii="Arial" w:eastAsia="Times New Roman" w:hAnsi="Arial" w:cs="Arial"/>
          <w:color w:val="000000"/>
          <w:lang w:val="es-CO"/>
        </w:rPr>
        <w:t>!</w:t>
      </w:r>
      <w:proofErr w:type="gramEnd"/>
      <w:r w:rsidRPr="00C91B5F">
        <w:rPr>
          <w:rFonts w:ascii="Arial" w:eastAsia="Times New Roman" w:hAnsi="Arial" w:cs="Arial"/>
          <w:color w:val="000000"/>
          <w:lang w:val="es-CO"/>
        </w:rPr>
        <w:t xml:space="preserve">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Emergentes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superior a 8 páginas):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emergentes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novas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abordagens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convencionais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sobre os tópicos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trilhas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que se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diferenciam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prática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“normal/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padrão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”.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Destinam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-se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pesquisa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bem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definidas e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fase inicial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investigação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Critérios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emergentes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principalmente pelo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nível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originalidade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potencial de impacto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termos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promoção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pensamento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inovador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inadequações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 estado da arte 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pertinência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correção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impacto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descritas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clareza.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Embora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descrita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precise ser totalmente validada, é esperada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resultados preliminares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fornecem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informações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iniciais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viabilidade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e/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impacto. Caso 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seja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aceito, os autores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preparar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r w:rsidRPr="00C91B5F">
        <w:rPr>
          <w:rFonts w:ascii="Arial" w:eastAsia="Times New Roman" w:hAnsi="Arial" w:cs="Arial"/>
          <w:i/>
          <w:iCs/>
          <w:color w:val="000000"/>
          <w:lang w:val="es-CO"/>
        </w:rPr>
        <w:t xml:space="preserve">poster </w:t>
      </w:r>
      <w:r w:rsidRPr="00C91B5F">
        <w:rPr>
          <w:rFonts w:ascii="Arial" w:eastAsia="Times New Roman" w:hAnsi="Arial" w:cs="Arial"/>
          <w:color w:val="000000"/>
          <w:lang w:val="es-CO"/>
        </w:rPr>
        <w:t xml:space="preserve">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apresentá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-lo na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Posteres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Pôsteres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será realizada separada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técnicos,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permitindo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autores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obter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retorno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imediato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pessoal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participantes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durante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enquanto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pôsteres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também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oferecem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participantes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oportunidade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observar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novos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maneira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menos formal.</w:t>
      </w:r>
    </w:p>
    <w:p w:rsidR="00C91B5F" w:rsidRPr="00C91B5F" w:rsidRDefault="00C91B5F" w:rsidP="00C91B5F">
      <w:pPr>
        <w:numPr>
          <w:ilvl w:val="0"/>
          <w:numId w:val="1"/>
        </w:numPr>
        <w:spacing w:after="20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(NOVO</w:t>
      </w:r>
      <w:proofErr w:type="gramStart"/>
      <w:r w:rsidRPr="00C91B5F">
        <w:rPr>
          <w:rFonts w:ascii="Arial" w:eastAsia="Times New Roman" w:hAnsi="Arial" w:cs="Arial"/>
          <w:color w:val="000000"/>
          <w:lang w:val="es-CO"/>
        </w:rPr>
        <w:t>!</w:t>
      </w:r>
      <w:proofErr w:type="gramEnd"/>
      <w:r w:rsidRPr="00C91B5F">
        <w:rPr>
          <w:rFonts w:ascii="Arial" w:eastAsia="Times New Roman" w:hAnsi="Arial" w:cs="Arial"/>
          <w:color w:val="000000"/>
          <w:lang w:val="es-CO"/>
        </w:rPr>
        <w:t xml:space="preserve">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superior a 8 páginas):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complementam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pesquisa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acordo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duas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perspectivas: (i)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foi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usada anteriormente como parte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estrutura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(por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exemplo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para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coletar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dados,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resultados, etc.);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Ii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)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implementa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técnica/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abordagem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previamente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proposta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enquadrar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-se nos tópicos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incluir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breve vídeo (máx. cinco minutos)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funcionalidades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url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 para o vídeo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incluída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 resumo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Observe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produtos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comerciais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aceitos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Este tipo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como objetivo promover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científicas no lugar de promover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vendas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atualmente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comercializada. Os autores 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aceitos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convidados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demonstrar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“</w:t>
      </w:r>
      <w:proofErr w:type="spellStart"/>
      <w:r w:rsidRPr="00C91B5F">
        <w:rPr>
          <w:rFonts w:ascii="Arial" w:eastAsia="Times New Roman" w:hAnsi="Arial" w:cs="Arial"/>
          <w:i/>
          <w:iCs/>
          <w:color w:val="000000"/>
          <w:lang w:val="es-CO"/>
        </w:rPr>
        <w:t>Hands-</w:t>
      </w:r>
      <w:r w:rsidRPr="00C91B5F">
        <w:rPr>
          <w:rFonts w:ascii="Arial" w:eastAsia="Times New Roman" w:hAnsi="Arial" w:cs="Arial"/>
          <w:i/>
          <w:iCs/>
          <w:color w:val="000000"/>
          <w:lang w:val="es-CO"/>
        </w:rPr>
        <w:lastRenderedPageBreak/>
        <w:t>on</w:t>
      </w:r>
      <w:proofErr w:type="spellEnd"/>
      <w:r w:rsidRPr="00C91B5F">
        <w:rPr>
          <w:rFonts w:ascii="Arial" w:eastAsia="Times New Roman" w:hAnsi="Arial" w:cs="Arial"/>
          <w:i/>
          <w:iCs/>
          <w:color w:val="000000"/>
          <w:lang w:val="es-CO"/>
        </w:rPr>
        <w:t>”</w:t>
      </w:r>
      <w:r w:rsidRPr="00C91B5F">
        <w:rPr>
          <w:rFonts w:ascii="Arial" w:eastAsia="Times New Roman" w:hAnsi="Arial" w:cs="Arial"/>
          <w:color w:val="000000"/>
          <w:lang w:val="es-CO"/>
        </w:rPr>
        <w:t xml:space="preserve">. Tanto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como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demonstração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agendadas dentro do programa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.</w:t>
      </w:r>
    </w:p>
    <w:p w:rsidR="00C91B5F" w:rsidRPr="00C91B5F" w:rsidRDefault="00C91B5F" w:rsidP="00C91B5F">
      <w:pPr>
        <w:spacing w:after="200" w:line="240" w:lineRule="auto"/>
        <w:ind w:left="720"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Critérios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procuramos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incluem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(i)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motivação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clara; (ii)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desafios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que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pretende suportar; (iii)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discussão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diferenças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semelhanças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similares; (iv)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descrição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das funcionalidades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usuários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cenários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uso; (v) resultados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estudos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validação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para o caso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algum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grau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utilização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projeto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estudos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planejados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protótipo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inicial.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A seguir,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detalhes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as datas,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assuntos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importantes e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organização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cada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 principal: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DATAS IMPORTANTES</w:t>
      </w:r>
    </w:p>
    <w:p w:rsidR="00C91B5F" w:rsidRPr="00C91B5F" w:rsidRDefault="00C91B5F" w:rsidP="00C91B5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resumo: 4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dezembro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2017</w:t>
      </w:r>
    </w:p>
    <w:p w:rsidR="00C91B5F" w:rsidRPr="00C91B5F" w:rsidRDefault="00C91B5F" w:rsidP="00C91B5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11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dezembro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2017</w:t>
      </w:r>
    </w:p>
    <w:p w:rsidR="00C91B5F" w:rsidRPr="00C91B5F" w:rsidRDefault="00C91B5F" w:rsidP="00C91B5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Notificação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autores: 5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fevereiro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2018</w:t>
      </w:r>
    </w:p>
    <w:p w:rsidR="00C91B5F" w:rsidRPr="00C91B5F" w:rsidRDefault="00C91B5F" w:rsidP="00C91B5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Camera-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Ready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26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fevereiro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2018</w:t>
      </w:r>
    </w:p>
    <w:p w:rsidR="00397A8D" w:rsidRDefault="00397A8D" w:rsidP="00C91B5F">
      <w:pPr>
        <w:spacing w:after="20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Todos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submetidos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através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sistema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EasyChair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https</w:t>
      </w:r>
      <w:proofErr w:type="gramStart"/>
      <w:r w:rsidRPr="00C91B5F">
        <w:rPr>
          <w:rFonts w:ascii="Arial" w:eastAsia="Times New Roman" w:hAnsi="Arial" w:cs="Arial"/>
          <w:color w:val="000000"/>
          <w:lang w:val="es-CO"/>
        </w:rPr>
        <w:t>:/</w:t>
      </w:r>
      <w:proofErr w:type="gramEnd"/>
      <w:r w:rsidRPr="00C91B5F">
        <w:rPr>
          <w:rFonts w:ascii="Arial" w:eastAsia="Times New Roman" w:hAnsi="Arial" w:cs="Arial"/>
          <w:color w:val="000000"/>
          <w:lang w:val="es-CO"/>
        </w:rPr>
        <w:t xml:space="preserve">/easychair.org/conferences/, usando apenas o formato PDF.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formatadas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acordo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o estilo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LNCS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Pelo menos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autor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aceito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registar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-se no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prazo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fixado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para a camera-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ready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registro corresponde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único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.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REVISÃO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Qualquer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esteja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dentro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escopo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siga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diretrizes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formatação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será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rejeitado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revisão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Todas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revistas por pares por pelo menos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três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membros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Programa.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Todos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aceitos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publicados pela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organização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anais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digitais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disso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artigos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indexados na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Scopus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DBLP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.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melhor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cada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receberá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certificado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distinção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Também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estamos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trabalhando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para publicar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melhores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edição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especial de revista internacional.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Tilha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(SET)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</w:t>
      </w:r>
    </w:p>
    <w:p w:rsidR="00C91B5F" w:rsidRPr="00C91B5F" w:rsidRDefault="00C91B5F" w:rsidP="00C91B5F">
      <w:pPr>
        <w:shd w:val="clear" w:color="auto" w:fill="FFFFFF"/>
        <w:spacing w:after="0" w:line="240" w:lineRule="auto"/>
        <w:ind w:left="-40"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O SET é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fórum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onde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pesquisadores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/investigadores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profissionais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Ibero-Americanos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podem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apresentar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debater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novos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resultados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investigação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todas as áreas da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Software, exceptuando os tópicos relacionados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requisitos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experimental, que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discutidos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trilhas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correspondentes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. </w:t>
      </w:r>
    </w:p>
    <w:p w:rsidR="00C91B5F" w:rsidRPr="00C91B5F" w:rsidRDefault="00C91B5F" w:rsidP="00397A8D">
      <w:pPr>
        <w:shd w:val="clear" w:color="auto" w:fill="FFFFFF"/>
        <w:spacing w:before="300" w:after="0" w:line="240" w:lineRule="auto"/>
        <w:ind w:right="-340" w:hanging="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TÓPICOS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INTERESSE</w:t>
      </w:r>
      <w:proofErr w:type="spellEnd"/>
    </w:p>
    <w:p w:rsidR="00C91B5F" w:rsidRPr="00C91B5F" w:rsidRDefault="00C91B5F" w:rsidP="00397A8D">
      <w:pPr>
        <w:shd w:val="clear" w:color="auto" w:fill="FFFFFF"/>
        <w:spacing w:before="300" w:after="0" w:line="240" w:lineRule="auto"/>
        <w:ind w:right="-340" w:hanging="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lastRenderedPageBreak/>
        <w:t xml:space="preserve">Os tópicos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interesse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do SET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incluem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gram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mas</w:t>
      </w:r>
      <w:proofErr w:type="gram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limitam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seguintes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: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Processos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metodologias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orientada a modelos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Geração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automática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inversa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modernização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Evolução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manutenção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Qualidade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medição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avaliação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produtos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processos</w:t>
      </w:r>
      <w:proofErr w:type="spellEnd"/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Teste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Arquitetura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baseada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busca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serviços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Famílias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produtos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variabilidade</w:t>
      </w:r>
      <w:proofErr w:type="spellEnd"/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Reutilização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linguagens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Métodos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formais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aplicados à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Integração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interação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homem-máquina</w:t>
      </w:r>
      <w:proofErr w:type="spellEnd"/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Ontologias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aplicadas à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para sistemas autónomos e auto-adaptativos</w:t>
      </w:r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para sistemas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ciber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-físicos</w:t>
      </w: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COORDENADORES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PROGRAMA DO SET </w:t>
      </w: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Francisco Pino (Universidad del Cauca,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Colômbia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)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Jesús García Molina (Universidad de Murcia,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Espanha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)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Requisitos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WER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)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Esta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 é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evolução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Workshop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Requisitos. O Workshop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iniciou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-se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evento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comunidade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Ibero-americana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requisitos, mas no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decorrer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anos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chamado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também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atenção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investigadores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outros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países.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WER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é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eventos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compõem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.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TÓPICOS</w:t>
      </w: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Os tópicos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interesse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incluem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gram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mas</w:t>
      </w:r>
      <w:proofErr w:type="gram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limitam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seguintes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: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Elicitação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análise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documentação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Validação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visualização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Linguagem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métodos,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especificação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Gestão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rastreabilidade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priorização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negociação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métodos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ágeis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Requisitos no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orientado a modelos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funcionais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Conformidade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com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regulamentos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arquitetura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orientada a aspectos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orientada a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serviços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Requisitos para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aplicações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Web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aplicações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móveis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para sistemas auto-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adaptáveis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Requisitos para o paradigma orientado a agentes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para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linhas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produtos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lastRenderedPageBreak/>
        <w:t xml:space="preserve">Aspectos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sociais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culturais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cognitivos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Alinhamento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para objetivos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negócio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Educação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treinamento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COORDENADORES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PROGRAMA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WER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397A8D" w:rsidRDefault="00397A8D" w:rsidP="00C91B5F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val="es-CO"/>
        </w:rPr>
      </w:pPr>
    </w:p>
    <w:p w:rsidR="00C91B5F" w:rsidRPr="00C91B5F" w:rsidRDefault="00C91B5F" w:rsidP="00C91B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Isabel </w:t>
      </w:r>
      <w:proofErr w:type="spellStart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>Sofia</w:t>
      </w:r>
      <w:proofErr w:type="spellEnd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 Brito (</w:t>
      </w:r>
      <w:proofErr w:type="spellStart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>Polytechnic</w:t>
      </w:r>
      <w:proofErr w:type="spellEnd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>Institute</w:t>
      </w:r>
      <w:proofErr w:type="spellEnd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 of Beja, Portugal)</w:t>
      </w:r>
    </w:p>
    <w:p w:rsidR="00C91B5F" w:rsidRPr="00C91B5F" w:rsidRDefault="00C91B5F" w:rsidP="00C91B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Giovanni </w:t>
      </w:r>
      <w:proofErr w:type="spellStart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>Giachetti</w:t>
      </w:r>
      <w:proofErr w:type="spellEnd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 (Universidad Tecnológica de Chile INACAP, Chile)</w:t>
      </w:r>
    </w:p>
    <w:p w:rsidR="00C91B5F" w:rsidRPr="00C91B5F" w:rsidRDefault="00C91B5F" w:rsidP="00C91B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-----------------------------------------------------------------------------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Trilha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Experimental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ESELAW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)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------------------------------------------------------------------------------</w:t>
      </w:r>
    </w:p>
    <w:p w:rsidR="00C91B5F" w:rsidRPr="00C91B5F" w:rsidRDefault="00C91B5F" w:rsidP="00C91B5F">
      <w:pPr>
        <w:shd w:val="clear" w:color="auto" w:fill="FFFFFF"/>
        <w:spacing w:before="300"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Esta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trilha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é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evolução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do Workshop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Experimental (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ESELAW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). O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ESELAW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é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importantes eventos Ibero-americanos que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apresenta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fórum estimulante,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onde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pesquisadores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profissionais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podem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apresentar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discutir resultados de pesquisas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recentes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sobre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ampla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gama de temas relacionados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Experimental. O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ESELAW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incentiva a troca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ideias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para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melhor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compreensão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dos pontos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fortes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fracos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das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tecnologias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métodos da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a partir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forte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ponto de vista experimental,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incluindo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diferentes tipos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.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Além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disso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investigação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sobre métodos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como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elaboração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análise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também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bem-vindas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shd w:val="clear" w:color="auto" w:fill="FFFFFF"/>
        <w:spacing w:before="300"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Os tópicos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interesse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incluem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gram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mas</w:t>
      </w:r>
      <w:proofErr w:type="gram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limitados a: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sobre 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produtos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Avaliação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comparação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técnicas e modelos (estimativa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custos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análise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métodos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design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, testes etc.).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Relatos sobre 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benefícios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derivados da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utilização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tecnologias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específicas.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modelos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preditivos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para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Experiências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métodos de pesquisa: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teoria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medição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projeto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experimental,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modelagem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qualitativa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abordagens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análise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teoria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fundamentada, protocolos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famílias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experimentos.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derivação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e/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ou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comparação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modelos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organizacionais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experiência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industrial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melhoria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Medição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qualidade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Mineração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repositórios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Modelagem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aplicações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na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indústria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Revisões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sistemáticas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baseada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evidências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baseados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simulação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Educação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formação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experimental.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Experiência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industrial,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caso, pesquisa-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, etc.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Novas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ideias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respeito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medição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avaliação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comparação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métodos de software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Infraestruturas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novas técnicas para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realização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Replicação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97A8D" w:rsidRDefault="00397A8D"/>
    <w:p w:rsidR="00397A8D" w:rsidRPr="00397A8D" w:rsidRDefault="00397A8D" w:rsidP="00397A8D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COORDENADORAS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DE PROGRAMA DO </w:t>
      </w: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ESELAW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397A8D" w:rsidRDefault="00397A8D" w:rsidP="00397A8D">
      <w:pPr>
        <w:spacing w:after="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</w:p>
    <w:p w:rsidR="00397A8D" w:rsidRPr="00397A8D" w:rsidRDefault="00397A8D" w:rsidP="00397A8D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97A8D">
        <w:rPr>
          <w:rFonts w:ascii="Arial" w:eastAsia="Times New Roman" w:hAnsi="Arial" w:cs="Arial"/>
          <w:color w:val="000000"/>
          <w:lang w:val="es-CO"/>
        </w:rPr>
        <w:t>Beatriz Marín (Universidad Diego Portales, Chile)</w:t>
      </w:r>
    </w:p>
    <w:p w:rsidR="00397A8D" w:rsidRPr="00397A8D" w:rsidRDefault="00397A8D" w:rsidP="00397A8D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Tayana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Conte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(</w:t>
      </w: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Universidade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Federal do Amazonas, Brasil)</w:t>
      </w:r>
    </w:p>
    <w:p w:rsidR="00397A8D" w:rsidRPr="00397A8D" w:rsidRDefault="00397A8D">
      <w:pPr>
        <w:rPr>
          <w:lang w:val="es-CO"/>
        </w:rPr>
      </w:pPr>
    </w:p>
    <w:sectPr w:rsidR="00397A8D" w:rsidRPr="00397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4450"/>
    <w:multiLevelType w:val="multilevel"/>
    <w:tmpl w:val="0D8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3A4A"/>
    <w:multiLevelType w:val="multilevel"/>
    <w:tmpl w:val="C65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136BD"/>
    <w:multiLevelType w:val="multilevel"/>
    <w:tmpl w:val="6788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00AA3"/>
    <w:multiLevelType w:val="multilevel"/>
    <w:tmpl w:val="721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440E8"/>
    <w:multiLevelType w:val="multilevel"/>
    <w:tmpl w:val="A44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5F"/>
    <w:rsid w:val="00397A8D"/>
    <w:rsid w:val="003B6C7E"/>
    <w:rsid w:val="006E0E51"/>
    <w:rsid w:val="00C91B5F"/>
    <w:rsid w:val="00D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40EAF-92B1-4335-AB48-D85F584C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bseconferenc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1874</Words>
  <Characters>11344</Characters>
  <Application>Microsoft Office Word</Application>
  <DocSecurity>0</DocSecurity>
  <Lines>246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Marcela Gutiérrez Meza</dc:creator>
  <cp:keywords/>
  <dc:description/>
  <cp:lastModifiedBy>Johanna Marcela Gutiérrez Meza</cp:lastModifiedBy>
  <cp:revision>3</cp:revision>
  <dcterms:created xsi:type="dcterms:W3CDTF">2017-08-25T19:45:00Z</dcterms:created>
  <dcterms:modified xsi:type="dcterms:W3CDTF">2017-08-25T22:14:00Z</dcterms:modified>
</cp:coreProperties>
</file>