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W w:w="96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2"/>
        <w:gridCol w:w="708"/>
        <w:gridCol w:w="685"/>
        <w:gridCol w:w="596"/>
        <w:gridCol w:w="1133"/>
        <w:gridCol w:w="566"/>
        <w:gridCol w:w="5287"/>
      </w:tblGrid>
      <w:tr w14:paraId="6993D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atLeast"/>
          <w:jc w:val="center"/>
        </w:trPr>
        <w:tc>
          <w:tcPr>
            <w:tcW w:w="702" w:type="dxa"/>
            <w:vMerge w:val="restart"/>
            <w:vAlign w:val="center"/>
          </w:tcPr>
          <w:p w14:paraId="7288211F">
            <w:pPr>
              <w:snapToGrid w:val="0"/>
              <w:spacing w:line="380" w:lineRule="exact"/>
              <w:jc w:val="center"/>
              <w:rPr>
                <w:rFonts w:hint="eastAsia" w:ascii="宋体" w:hAnsi="宋体" w:eastAsia="宋体" w:cs="宋体"/>
                <w:bCs/>
                <w:szCs w:val="21"/>
                <w:highlight w:val="none"/>
              </w:rPr>
            </w:pPr>
            <w:r>
              <w:rPr>
                <w:rFonts w:hint="eastAsia" w:ascii="宋体" w:hAnsi="宋体" w:eastAsia="宋体" w:cs="宋体"/>
                <w:bCs/>
                <w:szCs w:val="21"/>
                <w:highlight w:val="none"/>
              </w:rPr>
              <w:t>2.2</w:t>
            </w:r>
          </w:p>
        </w:tc>
        <w:tc>
          <w:tcPr>
            <w:tcW w:w="708" w:type="dxa"/>
            <w:vMerge w:val="restart"/>
            <w:vAlign w:val="center"/>
          </w:tcPr>
          <w:p w14:paraId="127BFF12">
            <w:pPr>
              <w:snapToGrid w:val="0"/>
              <w:spacing w:line="380" w:lineRule="exact"/>
              <w:jc w:val="center"/>
              <w:rPr>
                <w:rFonts w:hint="eastAsia" w:ascii="宋体" w:hAnsi="宋体" w:eastAsia="宋体" w:cs="宋体"/>
                <w:bCs/>
                <w:kern w:val="0"/>
                <w:szCs w:val="21"/>
                <w:highlight w:val="none"/>
              </w:rPr>
            </w:pPr>
            <w:r>
              <w:rPr>
                <w:rFonts w:hint="eastAsia" w:ascii="宋体" w:hAnsi="宋体" w:eastAsia="宋体" w:cs="宋体"/>
                <w:bCs/>
                <w:kern w:val="0"/>
                <w:szCs w:val="21"/>
                <w:highlight w:val="none"/>
              </w:rPr>
              <w:t>详细评审</w:t>
            </w:r>
          </w:p>
        </w:tc>
        <w:tc>
          <w:tcPr>
            <w:tcW w:w="685" w:type="dxa"/>
            <w:vAlign w:val="center"/>
          </w:tcPr>
          <w:p w14:paraId="6129B9B1">
            <w:pPr>
              <w:snapToGrid w:val="0"/>
              <w:spacing w:line="380" w:lineRule="exact"/>
              <w:jc w:val="left"/>
              <w:rPr>
                <w:rFonts w:hint="eastAsia" w:ascii="宋体" w:hAnsi="宋体" w:eastAsia="宋体" w:cs="宋体"/>
                <w:bCs/>
                <w:kern w:val="0"/>
                <w:szCs w:val="21"/>
                <w:highlight w:val="none"/>
              </w:rPr>
            </w:pPr>
            <w:r>
              <w:rPr>
                <w:rFonts w:hint="eastAsia" w:ascii="宋体" w:hAnsi="宋体" w:eastAsia="宋体" w:cs="宋体"/>
                <w:bCs/>
                <w:kern w:val="0"/>
                <w:szCs w:val="21"/>
                <w:highlight w:val="none"/>
              </w:rPr>
              <w:t>评审内容</w:t>
            </w:r>
          </w:p>
        </w:tc>
        <w:tc>
          <w:tcPr>
            <w:tcW w:w="596" w:type="dxa"/>
            <w:vAlign w:val="center"/>
          </w:tcPr>
          <w:p w14:paraId="0CFC5BDB">
            <w:pPr>
              <w:snapToGrid w:val="0"/>
              <w:spacing w:line="380" w:lineRule="exact"/>
              <w:jc w:val="distribute"/>
              <w:textAlignment w:val="center"/>
              <w:rPr>
                <w:rFonts w:hint="eastAsia" w:ascii="宋体" w:hAnsi="宋体" w:eastAsia="宋体" w:cs="宋体"/>
                <w:bCs/>
                <w:kern w:val="0"/>
                <w:szCs w:val="21"/>
                <w:highlight w:val="none"/>
              </w:rPr>
            </w:pPr>
            <w:r>
              <w:rPr>
                <w:rFonts w:hint="eastAsia" w:ascii="宋体" w:hAnsi="宋体" w:eastAsia="宋体" w:cs="宋体"/>
                <w:bCs/>
                <w:kern w:val="0"/>
                <w:szCs w:val="21"/>
                <w:highlight w:val="none"/>
              </w:rPr>
              <w:t>序号</w:t>
            </w:r>
          </w:p>
        </w:tc>
        <w:tc>
          <w:tcPr>
            <w:tcW w:w="1133" w:type="dxa"/>
            <w:vAlign w:val="center"/>
          </w:tcPr>
          <w:p w14:paraId="2B3D6E33">
            <w:pPr>
              <w:snapToGrid w:val="0"/>
              <w:spacing w:line="380" w:lineRule="exact"/>
              <w:jc w:val="center"/>
              <w:rPr>
                <w:rFonts w:hint="eastAsia" w:ascii="宋体" w:hAnsi="宋体" w:eastAsia="宋体" w:cs="宋体"/>
                <w:bCs/>
                <w:kern w:val="0"/>
                <w:szCs w:val="21"/>
                <w:highlight w:val="none"/>
              </w:rPr>
            </w:pPr>
            <w:r>
              <w:rPr>
                <w:rFonts w:hint="eastAsia" w:ascii="宋体" w:hAnsi="宋体" w:eastAsia="宋体" w:cs="宋体"/>
                <w:bCs/>
                <w:kern w:val="0"/>
                <w:szCs w:val="21"/>
                <w:highlight w:val="none"/>
              </w:rPr>
              <w:t>量化因素</w:t>
            </w:r>
          </w:p>
        </w:tc>
        <w:tc>
          <w:tcPr>
            <w:tcW w:w="566" w:type="dxa"/>
            <w:vAlign w:val="center"/>
          </w:tcPr>
          <w:p w14:paraId="4D7278CC">
            <w:pPr>
              <w:snapToGrid w:val="0"/>
              <w:spacing w:line="380" w:lineRule="exact"/>
              <w:jc w:val="center"/>
              <w:rPr>
                <w:rFonts w:hint="eastAsia" w:ascii="宋体" w:hAnsi="宋体" w:eastAsia="宋体" w:cs="宋体"/>
                <w:bCs/>
                <w:kern w:val="0"/>
                <w:szCs w:val="21"/>
                <w:highlight w:val="none"/>
              </w:rPr>
            </w:pPr>
            <w:r>
              <w:rPr>
                <w:rFonts w:hint="eastAsia" w:ascii="宋体" w:hAnsi="宋体" w:eastAsia="宋体" w:cs="宋体"/>
                <w:bCs/>
                <w:kern w:val="0"/>
                <w:szCs w:val="21"/>
                <w:highlight w:val="none"/>
              </w:rPr>
              <w:t>分值</w:t>
            </w:r>
          </w:p>
        </w:tc>
        <w:tc>
          <w:tcPr>
            <w:tcW w:w="5287" w:type="dxa"/>
            <w:vAlign w:val="center"/>
          </w:tcPr>
          <w:p w14:paraId="7AE68001">
            <w:pPr>
              <w:snapToGrid w:val="0"/>
              <w:spacing w:line="380" w:lineRule="exact"/>
              <w:jc w:val="center"/>
              <w:rPr>
                <w:rFonts w:hint="eastAsia" w:ascii="宋体" w:hAnsi="宋体" w:eastAsia="宋体" w:cs="宋体"/>
                <w:bCs/>
                <w:kern w:val="0"/>
                <w:szCs w:val="21"/>
                <w:highlight w:val="none"/>
              </w:rPr>
            </w:pPr>
            <w:r>
              <w:rPr>
                <w:rFonts w:hint="eastAsia" w:ascii="宋体" w:hAnsi="宋体" w:eastAsia="宋体" w:cs="宋体"/>
                <w:bCs/>
                <w:kern w:val="0"/>
                <w:szCs w:val="21"/>
                <w:highlight w:val="none"/>
              </w:rPr>
              <w:t>量化标准</w:t>
            </w:r>
          </w:p>
        </w:tc>
      </w:tr>
      <w:tr w14:paraId="1CFDF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0" w:hRule="atLeast"/>
          <w:jc w:val="center"/>
        </w:trPr>
        <w:tc>
          <w:tcPr>
            <w:tcW w:w="702" w:type="dxa"/>
            <w:vMerge w:val="continue"/>
            <w:vAlign w:val="center"/>
          </w:tcPr>
          <w:p w14:paraId="7807AF02">
            <w:pPr>
              <w:snapToGrid w:val="0"/>
              <w:spacing w:line="380" w:lineRule="exact"/>
              <w:jc w:val="center"/>
              <w:rPr>
                <w:rFonts w:hint="eastAsia" w:ascii="宋体" w:hAnsi="宋体" w:eastAsia="宋体" w:cs="宋体"/>
                <w:bCs/>
                <w:szCs w:val="21"/>
                <w:highlight w:val="none"/>
              </w:rPr>
            </w:pPr>
          </w:p>
        </w:tc>
        <w:tc>
          <w:tcPr>
            <w:tcW w:w="708" w:type="dxa"/>
            <w:vMerge w:val="continue"/>
            <w:vAlign w:val="center"/>
          </w:tcPr>
          <w:p w14:paraId="7EA0F92A">
            <w:pPr>
              <w:snapToGrid w:val="0"/>
              <w:spacing w:line="380" w:lineRule="exact"/>
              <w:jc w:val="center"/>
              <w:rPr>
                <w:rFonts w:hint="eastAsia" w:ascii="宋体" w:hAnsi="宋体" w:eastAsia="宋体" w:cs="宋体"/>
                <w:bCs/>
                <w:kern w:val="0"/>
                <w:szCs w:val="21"/>
                <w:highlight w:val="none"/>
              </w:rPr>
            </w:pPr>
          </w:p>
        </w:tc>
        <w:tc>
          <w:tcPr>
            <w:tcW w:w="685" w:type="dxa"/>
            <w:vAlign w:val="center"/>
          </w:tcPr>
          <w:p w14:paraId="38367CD3">
            <w:pPr>
              <w:snapToGrid w:val="0"/>
              <w:spacing w:line="380" w:lineRule="exact"/>
              <w:jc w:val="center"/>
              <w:rPr>
                <w:rFonts w:hint="eastAsia" w:ascii="宋体" w:hAnsi="宋体" w:eastAsia="宋体" w:cs="宋体"/>
                <w:bCs/>
                <w:kern w:val="0"/>
                <w:szCs w:val="21"/>
                <w:highlight w:val="none"/>
              </w:rPr>
            </w:pPr>
            <w:r>
              <w:rPr>
                <w:rFonts w:hint="eastAsia" w:ascii="宋体" w:hAnsi="宋体" w:eastAsia="宋体" w:cs="宋体"/>
                <w:bCs/>
                <w:kern w:val="0"/>
                <w:szCs w:val="21"/>
                <w:highlight w:val="none"/>
              </w:rPr>
              <w:t>商务</w:t>
            </w:r>
            <w:r>
              <w:rPr>
                <w:rFonts w:hint="eastAsia" w:ascii="宋体" w:hAnsi="宋体" w:eastAsia="宋体" w:cs="宋体"/>
                <w:bCs/>
                <w:kern w:val="0"/>
                <w:szCs w:val="21"/>
                <w:highlight w:val="none"/>
                <w:lang w:val="en-US" w:eastAsia="zh-CN"/>
              </w:rPr>
              <w:t>(</w:t>
            </w:r>
            <w:r>
              <w:rPr>
                <w:rFonts w:hint="eastAsia" w:ascii="宋体" w:hAnsi="宋体" w:cs="宋体"/>
                <w:bCs/>
                <w:kern w:val="0"/>
                <w:szCs w:val="21"/>
                <w:highlight w:val="none"/>
                <w:lang w:val="en-US" w:eastAsia="zh-CN"/>
              </w:rPr>
              <w:t>8</w:t>
            </w:r>
            <w:r>
              <w:rPr>
                <w:rFonts w:hint="eastAsia" w:ascii="宋体" w:hAnsi="宋体" w:eastAsia="宋体" w:cs="宋体"/>
                <w:bCs/>
                <w:kern w:val="0"/>
                <w:szCs w:val="21"/>
                <w:highlight w:val="none"/>
              </w:rPr>
              <w:t>分）</w:t>
            </w:r>
          </w:p>
          <w:p w14:paraId="7C07CDE9">
            <w:pPr>
              <w:snapToGrid w:val="0"/>
              <w:spacing w:line="380" w:lineRule="exact"/>
              <w:jc w:val="center"/>
              <w:rPr>
                <w:rFonts w:hint="eastAsia" w:ascii="宋体" w:hAnsi="宋体" w:eastAsia="宋体" w:cs="宋体"/>
                <w:bCs/>
                <w:kern w:val="0"/>
                <w:szCs w:val="21"/>
                <w:highlight w:val="none"/>
              </w:rPr>
            </w:pPr>
          </w:p>
        </w:tc>
        <w:tc>
          <w:tcPr>
            <w:tcW w:w="596" w:type="dxa"/>
            <w:vAlign w:val="center"/>
          </w:tcPr>
          <w:p w14:paraId="58FC2FB4">
            <w:pPr>
              <w:snapToGrid w:val="0"/>
              <w:spacing w:line="380" w:lineRule="exact"/>
              <w:jc w:val="center"/>
              <w:rPr>
                <w:rFonts w:hint="eastAsia" w:ascii="宋体" w:hAnsi="宋体" w:eastAsia="宋体" w:cs="宋体"/>
                <w:kern w:val="0"/>
                <w:sz w:val="21"/>
                <w:szCs w:val="21"/>
                <w:highlight w:val="none"/>
                <w:lang w:val="en-US" w:eastAsia="zh-CN" w:bidi="ar-SA"/>
              </w:rPr>
            </w:pPr>
            <w:r>
              <w:rPr>
                <w:rFonts w:hint="eastAsia" w:ascii="宋体" w:hAnsi="宋体" w:eastAsia="宋体" w:cs="宋体"/>
                <w:kern w:val="0"/>
                <w:sz w:val="21"/>
                <w:szCs w:val="21"/>
                <w:highlight w:val="none"/>
                <w:lang w:val="en-US" w:eastAsia="zh-CN" w:bidi="ar-SA"/>
              </w:rPr>
              <w:t>1</w:t>
            </w:r>
          </w:p>
        </w:tc>
        <w:tc>
          <w:tcPr>
            <w:tcW w:w="1133" w:type="dxa"/>
            <w:vAlign w:val="center"/>
          </w:tcPr>
          <w:p w14:paraId="6A1A8424">
            <w:pPr>
              <w:snapToGrid w:val="0"/>
              <w:spacing w:line="380" w:lineRule="exact"/>
              <w:jc w:val="center"/>
              <w:rPr>
                <w:rFonts w:hint="eastAsia" w:ascii="宋体" w:hAnsi="宋体" w:eastAsia="宋体" w:cs="宋体"/>
                <w:kern w:val="0"/>
                <w:sz w:val="21"/>
                <w:szCs w:val="21"/>
                <w:highlight w:val="none"/>
                <w:lang w:val="en-US" w:eastAsia="zh-CN" w:bidi="ar-SA"/>
              </w:rPr>
            </w:pPr>
            <w:r>
              <w:rPr>
                <w:rFonts w:hint="default" w:ascii="宋体" w:hAnsi="宋体" w:eastAsia="宋体" w:cs="宋体"/>
                <w:kern w:val="0"/>
                <w:sz w:val="21"/>
                <w:szCs w:val="21"/>
                <w:highlight w:val="none"/>
                <w:lang w:val="en-US" w:eastAsia="zh-CN" w:bidi="ar-SA"/>
              </w:rPr>
              <w:t>类似项目业绩</w:t>
            </w:r>
          </w:p>
        </w:tc>
        <w:tc>
          <w:tcPr>
            <w:tcW w:w="566" w:type="dxa"/>
            <w:vAlign w:val="center"/>
          </w:tcPr>
          <w:p w14:paraId="00086D40">
            <w:pPr>
              <w:snapToGrid w:val="0"/>
              <w:spacing w:line="380" w:lineRule="exact"/>
              <w:jc w:val="center"/>
              <w:rPr>
                <w:rFonts w:hint="eastAsia" w:ascii="宋体" w:hAnsi="宋体" w:eastAsia="宋体" w:cs="宋体"/>
                <w:kern w:val="0"/>
                <w:sz w:val="21"/>
                <w:szCs w:val="21"/>
                <w:highlight w:val="none"/>
                <w:lang w:val="en-US" w:eastAsia="zh-CN" w:bidi="ar-SA"/>
              </w:rPr>
            </w:pPr>
            <w:r>
              <w:rPr>
                <w:rFonts w:hint="default" w:ascii="宋体" w:hAnsi="宋体" w:eastAsia="宋体" w:cs="宋体"/>
                <w:kern w:val="0"/>
                <w:sz w:val="21"/>
                <w:szCs w:val="21"/>
                <w:highlight w:val="none"/>
                <w:lang w:val="en-US" w:eastAsia="zh-CN" w:bidi="ar-SA"/>
              </w:rPr>
              <w:t>8</w:t>
            </w:r>
          </w:p>
        </w:tc>
        <w:tc>
          <w:tcPr>
            <w:tcW w:w="5287" w:type="dxa"/>
            <w:vAlign w:val="center"/>
          </w:tcPr>
          <w:p w14:paraId="2A031017">
            <w:pPr>
              <w:snapToGrid w:val="0"/>
              <w:spacing w:line="380" w:lineRule="exact"/>
              <w:jc w:val="left"/>
              <w:rPr>
                <w:rFonts w:hint="default" w:ascii="宋体" w:hAnsi="宋体" w:eastAsia="宋体" w:cs="宋体"/>
                <w:kern w:val="0"/>
                <w:sz w:val="21"/>
                <w:szCs w:val="21"/>
                <w:highlight w:val="none"/>
                <w:lang w:val="en-US" w:eastAsia="zh-CN" w:bidi="ar-SA"/>
              </w:rPr>
            </w:pPr>
            <w:r>
              <w:rPr>
                <w:rFonts w:hint="default" w:ascii="宋体" w:hAnsi="宋体" w:eastAsia="宋体" w:cs="宋体"/>
                <w:kern w:val="0"/>
                <w:sz w:val="21"/>
                <w:szCs w:val="21"/>
                <w:highlight w:val="none"/>
                <w:lang w:val="en-US" w:eastAsia="zh-CN" w:bidi="ar-SA"/>
              </w:rPr>
              <w:t>根据应答人提供的自2023年1月1日至本项目采购公告发布之日(单项合同以合同签订日期为准，框架合同以采购订单签订日期为准)类似项目业绩份数进行打分，在满足资格条件要求的基础上，每多提供1份类似视频系统项目业绩合同，得2分，最多得8分。</w:t>
            </w:r>
          </w:p>
          <w:p w14:paraId="7147572D">
            <w:pPr>
              <w:snapToGrid w:val="0"/>
              <w:spacing w:line="380" w:lineRule="exact"/>
              <w:jc w:val="left"/>
              <w:rPr>
                <w:rFonts w:hint="default" w:ascii="宋体" w:hAnsi="宋体" w:eastAsia="宋体" w:cs="宋体"/>
                <w:b/>
                <w:bCs/>
                <w:kern w:val="0"/>
                <w:sz w:val="21"/>
                <w:szCs w:val="21"/>
                <w:highlight w:val="none"/>
                <w:lang w:val="en-US" w:eastAsia="zh-CN" w:bidi="ar-SA"/>
              </w:rPr>
            </w:pPr>
            <w:r>
              <w:rPr>
                <w:rFonts w:hint="default" w:ascii="宋体" w:hAnsi="宋体" w:eastAsia="宋体" w:cs="宋体"/>
                <w:b/>
                <w:bCs/>
                <w:kern w:val="0"/>
                <w:sz w:val="21"/>
                <w:szCs w:val="21"/>
                <w:highlight w:val="none"/>
                <w:lang w:val="en-US" w:eastAsia="zh-CN" w:bidi="ar-SA"/>
              </w:rPr>
              <w:t>注：（1）如为单项合同，须提供以下证明材料:a.合同关键页扫描件(至少包含封面、合同标的、金额页、签字盖章页、签订日期)；b.每份合同至少提供一份清晰有效的发票扫描件，发票开具日期需在本项目采购公告发布之日前，否则视为无效发票。</w:t>
            </w:r>
          </w:p>
          <w:p w14:paraId="2C42A1FF">
            <w:pPr>
              <w:snapToGrid w:val="0"/>
              <w:spacing w:line="380" w:lineRule="exact"/>
              <w:jc w:val="left"/>
              <w:rPr>
                <w:rFonts w:hint="default" w:ascii="宋体" w:hAnsi="宋体" w:eastAsia="宋体" w:cs="宋体"/>
                <w:b/>
                <w:bCs/>
                <w:kern w:val="0"/>
                <w:sz w:val="21"/>
                <w:szCs w:val="21"/>
                <w:highlight w:val="none"/>
                <w:lang w:val="en-US" w:eastAsia="zh-CN" w:bidi="ar-SA"/>
              </w:rPr>
            </w:pPr>
            <w:r>
              <w:rPr>
                <w:rFonts w:hint="default" w:ascii="宋体" w:hAnsi="宋体" w:eastAsia="宋体" w:cs="宋体"/>
                <w:b/>
                <w:bCs/>
                <w:kern w:val="0"/>
                <w:sz w:val="21"/>
                <w:szCs w:val="21"/>
                <w:highlight w:val="none"/>
                <w:lang w:val="en-US" w:eastAsia="zh-CN" w:bidi="ar-SA"/>
              </w:rPr>
              <w:t>（2）如为框架合同，在满足单项合同要求的证明材料外，还须提供框架合同实际采购订单或结算单扫描件。仅单独提供订单/结算单或不附订单/结算单的框架合同的业绩视为无效业绩;订单/结算单/发票必须体现和框架合同的关联性，否则不予认可。</w:t>
            </w:r>
          </w:p>
          <w:p w14:paraId="2D61C3CB">
            <w:pPr>
              <w:snapToGrid w:val="0"/>
              <w:spacing w:line="380" w:lineRule="exact"/>
              <w:jc w:val="left"/>
              <w:rPr>
                <w:rFonts w:hint="default" w:ascii="宋体" w:hAnsi="宋体" w:eastAsia="宋体" w:cs="宋体"/>
                <w:b/>
                <w:bCs/>
                <w:kern w:val="0"/>
                <w:sz w:val="21"/>
                <w:szCs w:val="21"/>
                <w:highlight w:val="none"/>
                <w:lang w:val="en-US" w:eastAsia="zh-CN" w:bidi="ar-SA"/>
              </w:rPr>
            </w:pPr>
            <w:r>
              <w:rPr>
                <w:rFonts w:hint="default" w:ascii="宋体" w:hAnsi="宋体" w:eastAsia="宋体" w:cs="宋体"/>
                <w:b/>
                <w:bCs/>
                <w:kern w:val="0"/>
                <w:sz w:val="21"/>
                <w:szCs w:val="21"/>
                <w:highlight w:val="none"/>
                <w:lang w:val="en-US" w:eastAsia="zh-CN" w:bidi="ar-SA"/>
              </w:rPr>
              <w:t>（3）业绩累计含税金额以单项合同/框架合同对应的发票含税金额为准，发票须同步提供国家税务总局全国增值税发票查验平台的核验结果截图，不提供视为无效发票。</w:t>
            </w:r>
          </w:p>
          <w:p w14:paraId="4CA93243">
            <w:pPr>
              <w:snapToGrid w:val="0"/>
              <w:spacing w:line="380" w:lineRule="exact"/>
              <w:jc w:val="left"/>
              <w:rPr>
                <w:rFonts w:hint="eastAsia" w:ascii="宋体" w:hAnsi="宋体" w:eastAsia="宋体" w:cs="宋体"/>
                <w:kern w:val="0"/>
                <w:sz w:val="21"/>
                <w:szCs w:val="21"/>
                <w:highlight w:val="none"/>
                <w:lang w:val="en-US" w:eastAsia="zh-CN" w:bidi="ar-SA"/>
              </w:rPr>
            </w:pPr>
            <w:r>
              <w:rPr>
                <w:rFonts w:hint="default" w:ascii="宋体" w:hAnsi="宋体" w:eastAsia="宋体" w:cs="宋体"/>
                <w:b/>
                <w:bCs/>
                <w:kern w:val="0"/>
                <w:sz w:val="21"/>
                <w:szCs w:val="21"/>
                <w:highlight w:val="none"/>
                <w:lang w:val="en-US" w:eastAsia="zh-CN" w:bidi="ar-SA"/>
              </w:rPr>
              <w:t>（4）一份框架合同视为一份业绩。</w:t>
            </w:r>
          </w:p>
        </w:tc>
      </w:tr>
      <w:tr w14:paraId="4FA36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7" w:hRule="atLeast"/>
          <w:jc w:val="center"/>
        </w:trPr>
        <w:tc>
          <w:tcPr>
            <w:tcW w:w="702" w:type="dxa"/>
            <w:vMerge w:val="continue"/>
            <w:vAlign w:val="center"/>
          </w:tcPr>
          <w:p w14:paraId="7EF08D11">
            <w:pPr>
              <w:snapToGrid w:val="0"/>
              <w:spacing w:line="380" w:lineRule="exact"/>
              <w:jc w:val="center"/>
              <w:rPr>
                <w:rFonts w:hint="eastAsia" w:ascii="宋体" w:hAnsi="宋体" w:eastAsia="宋体" w:cs="宋体"/>
                <w:bCs/>
                <w:kern w:val="0"/>
                <w:szCs w:val="21"/>
                <w:highlight w:val="none"/>
              </w:rPr>
            </w:pPr>
          </w:p>
        </w:tc>
        <w:tc>
          <w:tcPr>
            <w:tcW w:w="708" w:type="dxa"/>
            <w:vMerge w:val="continue"/>
          </w:tcPr>
          <w:p w14:paraId="2E57F507">
            <w:pPr>
              <w:snapToGrid w:val="0"/>
              <w:spacing w:line="380" w:lineRule="exact"/>
              <w:jc w:val="center"/>
              <w:rPr>
                <w:rFonts w:hint="eastAsia" w:ascii="宋体" w:hAnsi="宋体" w:eastAsia="宋体" w:cs="宋体"/>
                <w:bCs/>
                <w:kern w:val="0"/>
                <w:szCs w:val="21"/>
                <w:highlight w:val="none"/>
              </w:rPr>
            </w:pPr>
          </w:p>
        </w:tc>
        <w:tc>
          <w:tcPr>
            <w:tcW w:w="685" w:type="dxa"/>
            <w:vMerge w:val="restart"/>
            <w:vAlign w:val="center"/>
          </w:tcPr>
          <w:p w14:paraId="29F13365">
            <w:pPr>
              <w:snapToGrid w:val="0"/>
              <w:spacing w:line="380" w:lineRule="exact"/>
              <w:jc w:val="center"/>
              <w:rPr>
                <w:rFonts w:hint="eastAsia" w:ascii="宋体" w:hAnsi="宋体" w:eastAsia="宋体" w:cs="宋体"/>
                <w:bCs/>
                <w:kern w:val="0"/>
                <w:szCs w:val="21"/>
                <w:highlight w:val="none"/>
                <w:lang w:val="en-US" w:eastAsia="zh-CN"/>
              </w:rPr>
            </w:pPr>
            <w:r>
              <w:rPr>
                <w:rFonts w:hint="eastAsia" w:ascii="宋体" w:hAnsi="宋体" w:cs="宋体"/>
                <w:bCs/>
                <w:kern w:val="0"/>
                <w:szCs w:val="21"/>
                <w:highlight w:val="none"/>
                <w:lang w:val="en-US" w:eastAsia="zh-CN"/>
              </w:rPr>
              <w:t>技术（8分）</w:t>
            </w:r>
          </w:p>
        </w:tc>
        <w:tc>
          <w:tcPr>
            <w:tcW w:w="596" w:type="dxa"/>
            <w:vAlign w:val="center"/>
          </w:tcPr>
          <w:p w14:paraId="0AEB24AE">
            <w:pPr>
              <w:pStyle w:val="26"/>
              <w:numPr>
                <w:ilvl w:val="0"/>
                <w:numId w:val="0"/>
              </w:numPr>
              <w:spacing w:line="380" w:lineRule="exact"/>
              <w:jc w:val="center"/>
              <w:textAlignment w:val="center"/>
              <w:rPr>
                <w:rFonts w:hint="default" w:ascii="宋体" w:hAnsi="宋体" w:eastAsia="宋体" w:cs="宋体"/>
                <w:kern w:val="0"/>
                <w:sz w:val="21"/>
                <w:szCs w:val="21"/>
                <w:highlight w:val="none"/>
                <w:lang w:val="en-US" w:eastAsia="zh-CN" w:bidi="ar-SA"/>
              </w:rPr>
            </w:pPr>
            <w:r>
              <w:rPr>
                <w:rFonts w:hint="eastAsia" w:cs="宋体"/>
                <w:kern w:val="0"/>
                <w:sz w:val="21"/>
                <w:szCs w:val="21"/>
                <w:highlight w:val="none"/>
                <w:lang w:val="en-US" w:eastAsia="zh-CN" w:bidi="ar-SA"/>
              </w:rPr>
              <w:t>2</w:t>
            </w:r>
          </w:p>
        </w:tc>
        <w:tc>
          <w:tcPr>
            <w:tcW w:w="1133" w:type="dxa"/>
            <w:vAlign w:val="center"/>
          </w:tcPr>
          <w:p w14:paraId="2AD9A670">
            <w:pPr>
              <w:pStyle w:val="13"/>
              <w:snapToGrid w:val="0"/>
              <w:spacing w:before="0" w:beforeLines="0" w:beforeAutospacing="0" w:after="0" w:afterLines="0" w:afterAutospacing="0"/>
              <w:jc w:val="center"/>
              <w:rPr>
                <w:rFonts w:hint="eastAsia" w:ascii="宋体" w:hAnsi="宋体" w:eastAsia="宋体" w:cs="宋体"/>
                <w:kern w:val="0"/>
                <w:sz w:val="21"/>
                <w:szCs w:val="21"/>
                <w:highlight w:val="none"/>
                <w:lang w:val="en-US" w:eastAsia="zh-CN" w:bidi="ar-SA"/>
              </w:rPr>
            </w:pPr>
            <w:r>
              <w:rPr>
                <w:rFonts w:hint="default" w:ascii="宋体" w:hAnsi="宋体" w:eastAsia="宋体" w:cs="宋体"/>
                <w:kern w:val="0"/>
                <w:sz w:val="21"/>
                <w:szCs w:val="21"/>
                <w:highlight w:val="none"/>
                <w:lang w:val="en-US" w:eastAsia="zh-CN" w:bidi="ar-SA"/>
              </w:rPr>
              <w:t>团队人员</w:t>
            </w:r>
          </w:p>
        </w:tc>
        <w:tc>
          <w:tcPr>
            <w:tcW w:w="566" w:type="dxa"/>
            <w:vAlign w:val="center"/>
          </w:tcPr>
          <w:p w14:paraId="0FE65929">
            <w:pPr>
              <w:pStyle w:val="13"/>
              <w:snapToGrid w:val="0"/>
              <w:spacing w:before="0" w:beforeLines="0" w:beforeAutospacing="0" w:after="0" w:afterLines="0" w:afterAutospacing="0"/>
              <w:jc w:val="center"/>
              <w:rPr>
                <w:rFonts w:hint="eastAsia" w:ascii="宋体" w:hAnsi="宋体" w:eastAsia="宋体" w:cs="宋体"/>
                <w:kern w:val="0"/>
                <w:sz w:val="21"/>
                <w:szCs w:val="21"/>
                <w:highlight w:val="none"/>
                <w:lang w:val="en-US" w:eastAsia="zh-CN" w:bidi="ar-SA"/>
              </w:rPr>
            </w:pPr>
            <w:r>
              <w:rPr>
                <w:rFonts w:hint="default" w:ascii="宋体" w:hAnsi="宋体" w:eastAsia="宋体" w:cs="宋体"/>
                <w:kern w:val="0"/>
                <w:sz w:val="21"/>
                <w:szCs w:val="21"/>
                <w:highlight w:val="none"/>
                <w:lang w:val="en-US" w:eastAsia="zh-CN" w:bidi="ar-SA"/>
              </w:rPr>
              <w:t>6</w:t>
            </w:r>
          </w:p>
        </w:tc>
        <w:tc>
          <w:tcPr>
            <w:tcW w:w="5287" w:type="dxa"/>
            <w:vAlign w:val="center"/>
          </w:tcPr>
          <w:p w14:paraId="2DDC8BEC">
            <w:pPr>
              <w:pStyle w:val="13"/>
              <w:snapToGrid w:val="0"/>
              <w:spacing w:before="0" w:beforeLines="0" w:beforeAutospacing="0" w:after="0" w:afterLines="0" w:afterAutospacing="0"/>
              <w:rPr>
                <w:rFonts w:hint="default" w:ascii="宋体" w:hAnsi="宋体" w:eastAsia="宋体" w:cs="宋体"/>
                <w:kern w:val="0"/>
                <w:sz w:val="21"/>
                <w:szCs w:val="21"/>
                <w:highlight w:val="none"/>
                <w:lang w:val="en-US" w:eastAsia="zh-CN" w:bidi="ar-SA"/>
              </w:rPr>
            </w:pPr>
            <w:r>
              <w:rPr>
                <w:rFonts w:hint="default" w:ascii="宋体" w:hAnsi="宋体" w:eastAsia="宋体" w:cs="宋体"/>
                <w:kern w:val="0"/>
                <w:sz w:val="21"/>
                <w:szCs w:val="21"/>
                <w:highlight w:val="none"/>
                <w:lang w:val="en-US" w:eastAsia="zh-CN" w:bidi="ar-SA"/>
              </w:rPr>
              <w:t>应答人配备的团队人员每有1人具备2年以上工作经验的得2分，最多得6分。</w:t>
            </w:r>
          </w:p>
          <w:p w14:paraId="7BD53F83">
            <w:pPr>
              <w:pStyle w:val="13"/>
              <w:snapToGrid w:val="0"/>
              <w:spacing w:before="0" w:beforeLines="0" w:beforeAutospacing="0" w:after="0" w:afterLines="0" w:afterAutospacing="0"/>
              <w:rPr>
                <w:rFonts w:hint="default" w:ascii="宋体" w:hAnsi="宋体" w:eastAsia="宋体" w:cs="宋体"/>
                <w:kern w:val="0"/>
                <w:sz w:val="21"/>
                <w:szCs w:val="21"/>
                <w:highlight w:val="none"/>
                <w:lang w:val="en-US" w:eastAsia="zh-CN" w:bidi="ar-SA"/>
              </w:rPr>
            </w:pPr>
            <w:r>
              <w:rPr>
                <w:rFonts w:hint="default" w:ascii="宋体" w:hAnsi="宋体" w:eastAsia="宋体" w:cs="宋体"/>
                <w:kern w:val="0"/>
                <w:sz w:val="21"/>
                <w:szCs w:val="21"/>
                <w:highlight w:val="none"/>
                <w:lang w:val="en-US" w:eastAsia="zh-CN" w:bidi="ar-SA"/>
              </w:rPr>
              <w:t>注：（1）工作经验以劳动合同签订时间为准，须提供劳动合同扫描件。</w:t>
            </w:r>
          </w:p>
          <w:p w14:paraId="3475F734">
            <w:pPr>
              <w:pStyle w:val="13"/>
              <w:snapToGrid w:val="0"/>
              <w:spacing w:before="0" w:beforeLines="0" w:beforeAutospacing="0" w:after="0" w:afterLines="0" w:afterAutospacing="0"/>
              <w:rPr>
                <w:rFonts w:hint="eastAsia" w:ascii="宋体" w:hAnsi="宋体" w:eastAsia="宋体" w:cs="宋体"/>
                <w:kern w:val="0"/>
                <w:sz w:val="21"/>
                <w:szCs w:val="21"/>
                <w:highlight w:val="none"/>
                <w:lang w:val="en-US" w:eastAsia="zh-CN" w:bidi="ar-SA"/>
              </w:rPr>
            </w:pPr>
            <w:r>
              <w:rPr>
                <w:rFonts w:hint="default" w:ascii="宋体" w:hAnsi="宋体" w:eastAsia="宋体" w:cs="宋体"/>
                <w:kern w:val="0"/>
                <w:sz w:val="21"/>
                <w:szCs w:val="21"/>
                <w:highlight w:val="none"/>
                <w:lang w:val="en-US" w:eastAsia="zh-CN" w:bidi="ar-SA"/>
              </w:rPr>
              <w:t>（2）须提供人员清单、有效身份证、证书扫描件、本公司缴纳的2025年10月以后任意连续3个月社保缴纳证明材料清晰扫描件（须含抬头、缴纳单位、缴纳人姓名、缴费月份/时间及社保机构的盖章）。</w:t>
            </w:r>
          </w:p>
        </w:tc>
      </w:tr>
      <w:tr w14:paraId="05E78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7" w:hRule="atLeast"/>
          <w:jc w:val="center"/>
        </w:trPr>
        <w:tc>
          <w:tcPr>
            <w:tcW w:w="702" w:type="dxa"/>
            <w:vMerge w:val="continue"/>
            <w:vAlign w:val="center"/>
          </w:tcPr>
          <w:p w14:paraId="52E0AC75">
            <w:pPr>
              <w:snapToGrid w:val="0"/>
              <w:spacing w:line="380" w:lineRule="exact"/>
              <w:jc w:val="center"/>
              <w:rPr>
                <w:rFonts w:hint="eastAsia" w:ascii="宋体" w:hAnsi="宋体" w:eastAsia="宋体" w:cs="宋体"/>
                <w:bCs/>
                <w:kern w:val="0"/>
                <w:szCs w:val="21"/>
                <w:highlight w:val="none"/>
              </w:rPr>
            </w:pPr>
          </w:p>
        </w:tc>
        <w:tc>
          <w:tcPr>
            <w:tcW w:w="708" w:type="dxa"/>
            <w:vMerge w:val="continue"/>
          </w:tcPr>
          <w:p w14:paraId="4A97BB7D">
            <w:pPr>
              <w:snapToGrid w:val="0"/>
              <w:spacing w:line="380" w:lineRule="exact"/>
              <w:jc w:val="center"/>
              <w:rPr>
                <w:rFonts w:hint="eastAsia" w:ascii="宋体" w:hAnsi="宋体" w:eastAsia="宋体" w:cs="宋体"/>
                <w:bCs/>
                <w:kern w:val="0"/>
                <w:szCs w:val="21"/>
                <w:highlight w:val="none"/>
              </w:rPr>
            </w:pPr>
          </w:p>
        </w:tc>
        <w:tc>
          <w:tcPr>
            <w:tcW w:w="685" w:type="dxa"/>
            <w:vMerge w:val="continue"/>
            <w:vAlign w:val="center"/>
          </w:tcPr>
          <w:p w14:paraId="26A1CEF1">
            <w:pPr>
              <w:snapToGrid w:val="0"/>
              <w:spacing w:line="380" w:lineRule="exact"/>
              <w:jc w:val="center"/>
              <w:rPr>
                <w:rFonts w:hint="eastAsia" w:ascii="宋体" w:hAnsi="宋体" w:cs="宋体"/>
                <w:bCs/>
                <w:kern w:val="0"/>
                <w:szCs w:val="21"/>
                <w:highlight w:val="none"/>
                <w:lang w:val="en-US" w:eastAsia="zh-CN"/>
              </w:rPr>
            </w:pPr>
          </w:p>
        </w:tc>
        <w:tc>
          <w:tcPr>
            <w:tcW w:w="596" w:type="dxa"/>
            <w:vAlign w:val="center"/>
          </w:tcPr>
          <w:p w14:paraId="154367BA">
            <w:pPr>
              <w:pStyle w:val="26"/>
              <w:numPr>
                <w:ilvl w:val="0"/>
                <w:numId w:val="0"/>
              </w:numPr>
              <w:spacing w:line="380" w:lineRule="exact"/>
              <w:jc w:val="center"/>
              <w:textAlignment w:val="center"/>
              <w:rPr>
                <w:rFonts w:hint="default" w:ascii="宋体" w:hAnsi="宋体" w:eastAsia="宋体" w:cs="宋体"/>
                <w:kern w:val="0"/>
                <w:sz w:val="21"/>
                <w:szCs w:val="21"/>
                <w:highlight w:val="none"/>
                <w:lang w:val="en-US" w:eastAsia="zh-CN" w:bidi="ar-SA"/>
              </w:rPr>
            </w:pPr>
            <w:r>
              <w:rPr>
                <w:rFonts w:hint="eastAsia" w:cs="宋体"/>
                <w:kern w:val="0"/>
                <w:sz w:val="21"/>
                <w:szCs w:val="21"/>
                <w:highlight w:val="none"/>
                <w:lang w:val="en-US" w:eastAsia="zh-CN" w:bidi="ar-SA"/>
              </w:rPr>
              <w:t>3</w:t>
            </w:r>
          </w:p>
        </w:tc>
        <w:tc>
          <w:tcPr>
            <w:tcW w:w="1133" w:type="dxa"/>
            <w:vAlign w:val="center"/>
          </w:tcPr>
          <w:p w14:paraId="111D51E5">
            <w:pPr>
              <w:pStyle w:val="13"/>
              <w:snapToGrid w:val="0"/>
              <w:spacing w:before="0" w:beforeLines="0" w:beforeAutospacing="0" w:after="0" w:afterLines="0" w:afterAutospacing="0"/>
              <w:jc w:val="center"/>
              <w:rPr>
                <w:rFonts w:hint="eastAsia" w:ascii="宋体" w:hAnsi="宋体" w:eastAsia="宋体" w:cs="宋体"/>
                <w:kern w:val="0"/>
                <w:sz w:val="21"/>
                <w:szCs w:val="21"/>
                <w:highlight w:val="none"/>
                <w:lang w:val="en-US" w:eastAsia="zh-CN" w:bidi="ar-SA"/>
              </w:rPr>
            </w:pPr>
            <w:r>
              <w:rPr>
                <w:rFonts w:hint="default" w:ascii="宋体" w:hAnsi="宋体" w:eastAsia="宋体" w:cs="宋体"/>
                <w:kern w:val="0"/>
                <w:sz w:val="21"/>
                <w:szCs w:val="21"/>
                <w:highlight w:val="none"/>
                <w:lang w:val="en-US" w:eastAsia="zh-CN" w:bidi="ar-SA"/>
              </w:rPr>
              <w:t>故障处理时限</w:t>
            </w:r>
          </w:p>
        </w:tc>
        <w:tc>
          <w:tcPr>
            <w:tcW w:w="566" w:type="dxa"/>
            <w:vAlign w:val="center"/>
          </w:tcPr>
          <w:p w14:paraId="4DE87B5C">
            <w:pPr>
              <w:pStyle w:val="13"/>
              <w:snapToGrid w:val="0"/>
              <w:spacing w:before="0" w:beforeLines="0" w:beforeAutospacing="0" w:after="0" w:afterLines="0" w:afterAutospacing="0"/>
              <w:jc w:val="center"/>
              <w:rPr>
                <w:rFonts w:hint="eastAsia" w:ascii="宋体" w:hAnsi="宋体" w:eastAsia="宋体" w:cs="宋体"/>
                <w:kern w:val="0"/>
                <w:sz w:val="21"/>
                <w:szCs w:val="21"/>
                <w:highlight w:val="none"/>
                <w:lang w:val="en-US" w:eastAsia="zh-CN" w:bidi="ar-SA"/>
              </w:rPr>
            </w:pPr>
            <w:r>
              <w:rPr>
                <w:rFonts w:hint="default" w:ascii="宋体" w:hAnsi="宋体" w:eastAsia="宋体" w:cs="宋体"/>
                <w:kern w:val="0"/>
                <w:sz w:val="21"/>
                <w:szCs w:val="21"/>
                <w:highlight w:val="none"/>
                <w:lang w:val="en-US" w:eastAsia="zh-CN" w:bidi="ar-SA"/>
              </w:rPr>
              <w:t>2</w:t>
            </w:r>
          </w:p>
        </w:tc>
        <w:tc>
          <w:tcPr>
            <w:tcW w:w="5287" w:type="dxa"/>
            <w:vAlign w:val="center"/>
          </w:tcPr>
          <w:p w14:paraId="61570418">
            <w:pPr>
              <w:pStyle w:val="13"/>
              <w:snapToGrid w:val="0"/>
              <w:spacing w:before="0" w:beforeLines="0" w:beforeAutospacing="0" w:after="0" w:afterLines="0" w:afterAutospacing="0"/>
              <w:rPr>
                <w:rFonts w:hint="eastAsia" w:ascii="宋体" w:hAnsi="宋体" w:eastAsia="宋体" w:cs="宋体"/>
                <w:kern w:val="0"/>
                <w:sz w:val="21"/>
                <w:szCs w:val="21"/>
                <w:highlight w:val="none"/>
                <w:lang w:val="en-US" w:eastAsia="zh-CN" w:bidi="ar-SA"/>
              </w:rPr>
            </w:pPr>
            <w:r>
              <w:rPr>
                <w:rFonts w:hint="default" w:ascii="宋体" w:hAnsi="宋体" w:eastAsia="宋体" w:cs="宋体"/>
                <w:kern w:val="0"/>
                <w:sz w:val="21"/>
                <w:szCs w:val="21"/>
                <w:highlight w:val="none"/>
                <w:lang w:val="en-US" w:eastAsia="zh-CN" w:bidi="ar-SA"/>
              </w:rPr>
              <w:t>应答人在满足技术规范书要求的基础上“重大系统故障及安全事件应急处理时间不超过8小时”，每提前1小时完成处理，得1分，最多得2分。注：须提供加盖公章的承诺函。</w:t>
            </w:r>
          </w:p>
        </w:tc>
      </w:tr>
      <w:tr w14:paraId="370BF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702" w:type="dxa"/>
            <w:vMerge w:val="continue"/>
            <w:vAlign w:val="center"/>
          </w:tcPr>
          <w:p w14:paraId="13FA1D97">
            <w:pPr>
              <w:snapToGrid w:val="0"/>
              <w:spacing w:line="380" w:lineRule="exact"/>
              <w:jc w:val="center"/>
              <w:rPr>
                <w:rFonts w:hint="eastAsia" w:ascii="宋体" w:hAnsi="宋体" w:eastAsia="宋体" w:cs="宋体"/>
                <w:bCs/>
                <w:kern w:val="0"/>
                <w:szCs w:val="21"/>
                <w:highlight w:val="none"/>
              </w:rPr>
            </w:pPr>
          </w:p>
        </w:tc>
        <w:tc>
          <w:tcPr>
            <w:tcW w:w="708" w:type="dxa"/>
            <w:vMerge w:val="continue"/>
          </w:tcPr>
          <w:p w14:paraId="1BA9569C">
            <w:pPr>
              <w:snapToGrid w:val="0"/>
              <w:spacing w:line="380" w:lineRule="exact"/>
              <w:jc w:val="center"/>
              <w:rPr>
                <w:rFonts w:hint="eastAsia" w:ascii="宋体" w:hAnsi="宋体" w:eastAsia="宋体" w:cs="宋体"/>
                <w:bCs/>
                <w:kern w:val="0"/>
                <w:szCs w:val="21"/>
                <w:highlight w:val="none"/>
              </w:rPr>
            </w:pPr>
          </w:p>
        </w:tc>
        <w:tc>
          <w:tcPr>
            <w:tcW w:w="685" w:type="dxa"/>
            <w:vMerge w:val="restart"/>
            <w:vAlign w:val="center"/>
          </w:tcPr>
          <w:p w14:paraId="37FDDA7D">
            <w:pPr>
              <w:snapToGrid w:val="0"/>
              <w:spacing w:line="380" w:lineRule="exact"/>
              <w:jc w:val="center"/>
              <w:rPr>
                <w:rFonts w:hint="eastAsia" w:ascii="宋体" w:hAnsi="宋体" w:eastAsia="宋体" w:cs="宋体"/>
                <w:bCs/>
                <w:kern w:val="0"/>
                <w:szCs w:val="21"/>
                <w:highlight w:val="none"/>
              </w:rPr>
            </w:pPr>
            <w:r>
              <w:rPr>
                <w:rFonts w:hint="eastAsia" w:ascii="宋体" w:hAnsi="宋体" w:eastAsia="宋体" w:cs="宋体"/>
                <w:bCs/>
                <w:kern w:val="0"/>
                <w:szCs w:val="21"/>
                <w:highlight w:val="none"/>
              </w:rPr>
              <w:t>服务</w:t>
            </w:r>
            <w:r>
              <w:rPr>
                <w:rFonts w:hint="eastAsia" w:ascii="宋体" w:hAnsi="宋体" w:cs="宋体"/>
                <w:bCs/>
                <w:kern w:val="0"/>
                <w:szCs w:val="21"/>
                <w:highlight w:val="none"/>
                <w:lang w:eastAsia="zh-CN"/>
              </w:rPr>
              <w:t>（</w:t>
            </w:r>
            <w:r>
              <w:rPr>
                <w:rFonts w:hint="eastAsia" w:ascii="宋体" w:hAnsi="宋体" w:cs="宋体"/>
                <w:bCs/>
                <w:kern w:val="0"/>
                <w:szCs w:val="21"/>
                <w:highlight w:val="none"/>
                <w:lang w:val="en-US" w:eastAsia="zh-CN"/>
              </w:rPr>
              <w:t>9</w:t>
            </w:r>
            <w:r>
              <w:rPr>
                <w:rFonts w:hint="eastAsia" w:ascii="宋体" w:hAnsi="宋体" w:eastAsia="宋体" w:cs="宋体"/>
                <w:bCs/>
                <w:kern w:val="0"/>
                <w:szCs w:val="21"/>
                <w:highlight w:val="none"/>
              </w:rPr>
              <w:t>分）</w:t>
            </w:r>
          </w:p>
        </w:tc>
        <w:tc>
          <w:tcPr>
            <w:tcW w:w="596" w:type="dxa"/>
            <w:vAlign w:val="center"/>
          </w:tcPr>
          <w:p w14:paraId="4D252A94">
            <w:pPr>
              <w:pStyle w:val="26"/>
              <w:numPr>
                <w:ilvl w:val="0"/>
                <w:numId w:val="0"/>
              </w:numPr>
              <w:spacing w:line="380" w:lineRule="exact"/>
              <w:jc w:val="center"/>
              <w:textAlignment w:val="center"/>
              <w:rPr>
                <w:rFonts w:hint="default" w:ascii="宋体" w:hAnsi="宋体" w:eastAsia="宋体" w:cs="宋体"/>
                <w:kern w:val="0"/>
                <w:sz w:val="21"/>
                <w:szCs w:val="21"/>
                <w:highlight w:val="none"/>
                <w:lang w:val="en-US" w:eastAsia="zh-CN" w:bidi="ar-SA"/>
              </w:rPr>
            </w:pPr>
            <w:r>
              <w:rPr>
                <w:rFonts w:hint="eastAsia" w:cs="宋体"/>
                <w:kern w:val="0"/>
                <w:sz w:val="21"/>
                <w:szCs w:val="21"/>
                <w:highlight w:val="none"/>
                <w:lang w:val="en-US" w:eastAsia="zh-CN" w:bidi="ar-SA"/>
              </w:rPr>
              <w:t>4</w:t>
            </w:r>
          </w:p>
        </w:tc>
        <w:tc>
          <w:tcPr>
            <w:tcW w:w="1133" w:type="dxa"/>
            <w:vAlign w:val="center"/>
          </w:tcPr>
          <w:p w14:paraId="790DEF30">
            <w:pPr>
              <w:pStyle w:val="13"/>
              <w:snapToGrid w:val="0"/>
              <w:spacing w:before="0" w:beforeLines="0" w:beforeAutospacing="0" w:after="0" w:afterLines="0" w:afterAutospacing="0"/>
              <w:jc w:val="center"/>
              <w:rPr>
                <w:rFonts w:hint="default" w:ascii="宋体" w:hAnsi="宋体" w:eastAsia="宋体" w:cs="宋体"/>
                <w:kern w:val="0"/>
                <w:sz w:val="21"/>
                <w:szCs w:val="21"/>
                <w:highlight w:val="none"/>
                <w:lang w:val="en-US" w:eastAsia="zh-CN" w:bidi="ar-SA"/>
              </w:rPr>
            </w:pPr>
            <w:r>
              <w:rPr>
                <w:rFonts w:hint="default" w:ascii="宋体" w:hAnsi="宋体" w:eastAsia="宋体" w:cs="宋体"/>
                <w:kern w:val="0"/>
                <w:sz w:val="21"/>
                <w:szCs w:val="21"/>
                <w:highlight w:val="none"/>
                <w:lang w:val="en-US" w:eastAsia="zh-CN" w:bidi="ar-SA"/>
              </w:rPr>
              <w:t>整体服务</w:t>
            </w:r>
          </w:p>
          <w:p w14:paraId="06B289AC">
            <w:pPr>
              <w:pStyle w:val="13"/>
              <w:snapToGrid w:val="0"/>
              <w:spacing w:before="0" w:beforeLines="0" w:beforeAutospacing="0" w:after="0" w:afterLines="0" w:afterAutospacing="0"/>
              <w:jc w:val="center"/>
              <w:rPr>
                <w:rFonts w:hint="eastAsia" w:ascii="宋体" w:hAnsi="宋体" w:eastAsia="宋体" w:cs="宋体"/>
                <w:kern w:val="0"/>
                <w:sz w:val="21"/>
                <w:szCs w:val="21"/>
                <w:highlight w:val="none"/>
                <w:lang w:val="en-US" w:eastAsia="zh-CN" w:bidi="ar-SA"/>
              </w:rPr>
            </w:pPr>
            <w:r>
              <w:rPr>
                <w:rFonts w:hint="default" w:ascii="宋体" w:hAnsi="宋体" w:eastAsia="宋体" w:cs="宋体"/>
                <w:kern w:val="0"/>
                <w:sz w:val="21"/>
                <w:szCs w:val="21"/>
                <w:highlight w:val="none"/>
                <w:lang w:val="en-US" w:eastAsia="zh-CN" w:bidi="ar-SA"/>
              </w:rPr>
              <w:t>方案</w:t>
            </w:r>
          </w:p>
        </w:tc>
        <w:tc>
          <w:tcPr>
            <w:tcW w:w="566" w:type="dxa"/>
            <w:vAlign w:val="center"/>
          </w:tcPr>
          <w:p w14:paraId="272A3615">
            <w:pPr>
              <w:pStyle w:val="13"/>
              <w:snapToGrid w:val="0"/>
              <w:spacing w:before="0" w:beforeLines="0" w:beforeAutospacing="0" w:after="0" w:afterLines="0" w:afterAutospacing="0"/>
              <w:jc w:val="center"/>
              <w:rPr>
                <w:rFonts w:hint="eastAsia" w:ascii="宋体" w:hAnsi="宋体" w:eastAsia="宋体" w:cs="宋体"/>
                <w:kern w:val="0"/>
                <w:sz w:val="21"/>
                <w:szCs w:val="21"/>
                <w:highlight w:val="none"/>
                <w:lang w:val="en-US" w:eastAsia="zh-CN" w:bidi="ar-SA"/>
              </w:rPr>
            </w:pPr>
            <w:r>
              <w:rPr>
                <w:rFonts w:hint="default" w:ascii="宋体" w:hAnsi="宋体" w:eastAsia="宋体" w:cs="宋体"/>
                <w:kern w:val="0"/>
                <w:sz w:val="21"/>
                <w:szCs w:val="21"/>
                <w:highlight w:val="none"/>
                <w:lang w:val="en-US" w:eastAsia="zh-CN" w:bidi="ar-SA"/>
              </w:rPr>
              <w:t>3</w:t>
            </w:r>
          </w:p>
        </w:tc>
        <w:tc>
          <w:tcPr>
            <w:tcW w:w="5287" w:type="dxa"/>
            <w:vAlign w:val="center"/>
          </w:tcPr>
          <w:p w14:paraId="5CE163B2">
            <w:pPr>
              <w:pStyle w:val="13"/>
              <w:snapToGrid w:val="0"/>
              <w:spacing w:before="0" w:beforeLines="0" w:beforeAutospacing="0" w:after="0" w:afterLines="0" w:afterAutospacing="0"/>
              <w:rPr>
                <w:rFonts w:hint="default" w:ascii="宋体" w:hAnsi="宋体" w:eastAsia="宋体" w:cs="宋体"/>
                <w:kern w:val="0"/>
                <w:sz w:val="21"/>
                <w:szCs w:val="21"/>
                <w:highlight w:val="none"/>
                <w:lang w:val="en-US" w:eastAsia="zh-CN" w:bidi="ar-SA"/>
              </w:rPr>
            </w:pPr>
            <w:r>
              <w:rPr>
                <w:rFonts w:hint="default" w:ascii="宋体" w:hAnsi="宋体" w:eastAsia="宋体" w:cs="宋体"/>
                <w:kern w:val="0"/>
                <w:sz w:val="21"/>
                <w:szCs w:val="21"/>
                <w:highlight w:val="none"/>
                <w:lang w:val="en-US" w:eastAsia="zh-CN" w:bidi="ar-SA"/>
              </w:rPr>
              <w:t>应答人提供整体服务方案，包含但不限于：1.对项目背景有深刻理解，重点突出，完全涵盖项目需求的规定内容；2.有清晰详尽的执行方案和科学的实施计划；根据应答人提供服务方案的合理性、准确性等，进行打分。</w:t>
            </w:r>
          </w:p>
          <w:p w14:paraId="4DC4727F">
            <w:pPr>
              <w:pStyle w:val="13"/>
              <w:snapToGrid w:val="0"/>
              <w:spacing w:before="0" w:beforeLines="0" w:beforeAutospacing="0" w:after="0" w:afterLines="0" w:afterAutospacing="0"/>
              <w:rPr>
                <w:rFonts w:hint="eastAsia" w:ascii="宋体" w:hAnsi="宋体" w:eastAsia="宋体" w:cs="宋体"/>
                <w:kern w:val="0"/>
                <w:sz w:val="21"/>
                <w:szCs w:val="21"/>
                <w:highlight w:val="none"/>
                <w:lang w:val="en-US" w:eastAsia="zh-CN" w:bidi="ar-SA"/>
              </w:rPr>
            </w:pPr>
            <w:r>
              <w:rPr>
                <w:rFonts w:hint="default" w:ascii="宋体" w:hAnsi="宋体" w:eastAsia="宋体" w:cs="宋体"/>
                <w:kern w:val="0"/>
                <w:sz w:val="21"/>
                <w:szCs w:val="21"/>
                <w:highlight w:val="none"/>
                <w:lang w:val="en-US" w:eastAsia="zh-CN" w:bidi="ar-SA"/>
              </w:rPr>
              <w:t>1.方案严密，内容齐全、有针对性，合理可行得（2-3】分；2.方案较为严密，内容较齐全、合理性、可行性一般得（1-2】分；3.方案与项目要求不匹配，内容合理性差、可行性差得（0-1】分；4.未提供不得分。</w:t>
            </w:r>
          </w:p>
        </w:tc>
      </w:tr>
      <w:tr w14:paraId="559F5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702" w:type="dxa"/>
            <w:vMerge w:val="continue"/>
            <w:vAlign w:val="center"/>
          </w:tcPr>
          <w:p w14:paraId="3781AC55">
            <w:pPr>
              <w:snapToGrid w:val="0"/>
              <w:spacing w:line="380" w:lineRule="exact"/>
              <w:jc w:val="center"/>
              <w:rPr>
                <w:rFonts w:hint="eastAsia" w:ascii="宋体" w:hAnsi="宋体" w:eastAsia="宋体" w:cs="宋体"/>
                <w:bCs/>
                <w:kern w:val="0"/>
                <w:szCs w:val="21"/>
                <w:highlight w:val="none"/>
              </w:rPr>
            </w:pPr>
          </w:p>
        </w:tc>
        <w:tc>
          <w:tcPr>
            <w:tcW w:w="708" w:type="dxa"/>
            <w:vMerge w:val="continue"/>
          </w:tcPr>
          <w:p w14:paraId="25932FDE">
            <w:pPr>
              <w:snapToGrid w:val="0"/>
              <w:spacing w:line="380" w:lineRule="exact"/>
              <w:jc w:val="center"/>
              <w:rPr>
                <w:rFonts w:hint="eastAsia" w:ascii="宋体" w:hAnsi="宋体" w:eastAsia="宋体" w:cs="宋体"/>
                <w:bCs/>
                <w:kern w:val="0"/>
                <w:szCs w:val="21"/>
                <w:highlight w:val="none"/>
              </w:rPr>
            </w:pPr>
          </w:p>
        </w:tc>
        <w:tc>
          <w:tcPr>
            <w:tcW w:w="685" w:type="dxa"/>
            <w:vMerge w:val="continue"/>
            <w:vAlign w:val="center"/>
          </w:tcPr>
          <w:p w14:paraId="6789DBEC">
            <w:pPr>
              <w:snapToGrid w:val="0"/>
              <w:spacing w:line="380" w:lineRule="exact"/>
              <w:jc w:val="center"/>
              <w:rPr>
                <w:rFonts w:hint="eastAsia" w:ascii="宋体" w:hAnsi="宋体" w:eastAsia="宋体" w:cs="宋体"/>
                <w:bCs/>
                <w:kern w:val="0"/>
                <w:szCs w:val="21"/>
                <w:highlight w:val="none"/>
              </w:rPr>
            </w:pPr>
          </w:p>
        </w:tc>
        <w:tc>
          <w:tcPr>
            <w:tcW w:w="596" w:type="dxa"/>
            <w:vAlign w:val="center"/>
          </w:tcPr>
          <w:p w14:paraId="35E14D6D">
            <w:pPr>
              <w:pStyle w:val="26"/>
              <w:numPr>
                <w:ilvl w:val="0"/>
                <w:numId w:val="0"/>
              </w:numPr>
              <w:spacing w:line="380" w:lineRule="exact"/>
              <w:jc w:val="center"/>
              <w:textAlignment w:val="center"/>
              <w:rPr>
                <w:rFonts w:hint="default" w:ascii="宋体" w:hAnsi="宋体" w:eastAsia="宋体" w:cs="宋体"/>
                <w:kern w:val="0"/>
                <w:sz w:val="21"/>
                <w:szCs w:val="21"/>
                <w:highlight w:val="none"/>
                <w:lang w:val="en-US" w:eastAsia="zh-CN" w:bidi="ar-SA"/>
              </w:rPr>
            </w:pPr>
            <w:r>
              <w:rPr>
                <w:rFonts w:hint="eastAsia" w:cs="宋体"/>
                <w:kern w:val="0"/>
                <w:sz w:val="21"/>
                <w:szCs w:val="21"/>
                <w:highlight w:val="none"/>
                <w:lang w:val="en-US" w:eastAsia="zh-CN" w:bidi="ar-SA"/>
              </w:rPr>
              <w:t>5</w:t>
            </w:r>
          </w:p>
        </w:tc>
        <w:tc>
          <w:tcPr>
            <w:tcW w:w="1133" w:type="dxa"/>
            <w:vAlign w:val="center"/>
          </w:tcPr>
          <w:p w14:paraId="1A514979">
            <w:pPr>
              <w:pStyle w:val="13"/>
              <w:snapToGrid w:val="0"/>
              <w:spacing w:before="0" w:beforeLines="0" w:beforeAutospacing="0" w:after="0" w:afterLines="0" w:afterAutospacing="0"/>
              <w:jc w:val="center"/>
              <w:rPr>
                <w:rFonts w:hint="default" w:ascii="宋体" w:hAnsi="宋体" w:eastAsia="宋体" w:cs="宋体"/>
                <w:kern w:val="0"/>
                <w:sz w:val="21"/>
                <w:szCs w:val="21"/>
                <w:highlight w:val="none"/>
                <w:lang w:val="en-US" w:eastAsia="zh-CN" w:bidi="ar-SA"/>
              </w:rPr>
            </w:pPr>
            <w:r>
              <w:rPr>
                <w:rFonts w:hint="default" w:ascii="宋体" w:hAnsi="宋体" w:eastAsia="宋体" w:cs="宋体"/>
                <w:kern w:val="0"/>
                <w:sz w:val="21"/>
                <w:szCs w:val="21"/>
                <w:highlight w:val="none"/>
                <w:lang w:val="en-US" w:eastAsia="zh-CN" w:bidi="ar-SA"/>
              </w:rPr>
              <w:t>质量控制</w:t>
            </w:r>
          </w:p>
          <w:p w14:paraId="00F57E21">
            <w:pPr>
              <w:pStyle w:val="13"/>
              <w:snapToGrid w:val="0"/>
              <w:spacing w:before="0" w:beforeLines="0" w:beforeAutospacing="0" w:after="0" w:afterLines="0" w:afterAutospacing="0"/>
              <w:jc w:val="center"/>
              <w:rPr>
                <w:rFonts w:hint="default" w:ascii="宋体" w:hAnsi="宋体" w:eastAsia="宋体" w:cs="宋体"/>
                <w:kern w:val="0"/>
                <w:sz w:val="21"/>
                <w:szCs w:val="21"/>
                <w:highlight w:val="none"/>
                <w:lang w:val="en-US" w:eastAsia="zh-CN" w:bidi="ar-SA"/>
              </w:rPr>
            </w:pPr>
            <w:r>
              <w:rPr>
                <w:rFonts w:hint="default" w:ascii="宋体" w:hAnsi="宋体" w:eastAsia="宋体" w:cs="宋体"/>
                <w:kern w:val="0"/>
                <w:sz w:val="21"/>
                <w:szCs w:val="21"/>
                <w:highlight w:val="none"/>
                <w:lang w:val="en-US" w:eastAsia="zh-CN" w:bidi="ar-SA"/>
              </w:rPr>
              <w:t>方案</w:t>
            </w:r>
          </w:p>
        </w:tc>
        <w:tc>
          <w:tcPr>
            <w:tcW w:w="566" w:type="dxa"/>
            <w:vAlign w:val="center"/>
          </w:tcPr>
          <w:p w14:paraId="7610A59F">
            <w:pPr>
              <w:pStyle w:val="13"/>
              <w:snapToGrid w:val="0"/>
              <w:spacing w:before="0" w:beforeLines="0" w:beforeAutospacing="0" w:after="0" w:afterLines="0" w:afterAutospacing="0"/>
              <w:jc w:val="center"/>
              <w:rPr>
                <w:rFonts w:hint="default" w:ascii="宋体" w:hAnsi="宋体" w:eastAsia="宋体" w:cs="宋体"/>
                <w:kern w:val="0"/>
                <w:sz w:val="21"/>
                <w:szCs w:val="21"/>
                <w:highlight w:val="none"/>
                <w:lang w:val="en-US" w:eastAsia="zh-CN" w:bidi="ar-SA"/>
              </w:rPr>
            </w:pPr>
            <w:r>
              <w:rPr>
                <w:rFonts w:hint="default" w:ascii="宋体" w:hAnsi="宋体" w:eastAsia="宋体" w:cs="宋体"/>
                <w:kern w:val="0"/>
                <w:sz w:val="21"/>
                <w:szCs w:val="21"/>
                <w:highlight w:val="none"/>
                <w:lang w:val="en-US" w:eastAsia="zh-CN" w:bidi="ar-SA"/>
              </w:rPr>
              <w:t>3</w:t>
            </w:r>
          </w:p>
        </w:tc>
        <w:tc>
          <w:tcPr>
            <w:tcW w:w="5287" w:type="dxa"/>
            <w:vAlign w:val="center"/>
          </w:tcPr>
          <w:p w14:paraId="6F75A7AB">
            <w:pPr>
              <w:pStyle w:val="13"/>
              <w:snapToGrid w:val="0"/>
              <w:spacing w:before="0" w:beforeLines="0" w:beforeAutospacing="0" w:after="0" w:afterLines="0" w:afterAutospacing="0"/>
              <w:rPr>
                <w:rFonts w:hint="default" w:ascii="宋体" w:hAnsi="宋体" w:eastAsia="宋体" w:cs="宋体"/>
                <w:kern w:val="0"/>
                <w:sz w:val="21"/>
                <w:szCs w:val="21"/>
                <w:highlight w:val="none"/>
                <w:lang w:val="en-US" w:eastAsia="zh-CN" w:bidi="ar-SA"/>
              </w:rPr>
            </w:pPr>
            <w:r>
              <w:rPr>
                <w:rFonts w:hint="default" w:ascii="宋体" w:hAnsi="宋体" w:eastAsia="宋体" w:cs="宋体"/>
                <w:kern w:val="0"/>
                <w:sz w:val="21"/>
                <w:szCs w:val="21"/>
                <w:highlight w:val="none"/>
                <w:lang w:val="en-US" w:eastAsia="zh-CN" w:bidi="ar-SA"/>
              </w:rPr>
              <w:t>质量控制方案评价要素：1.明确可行的工作流程、目标、原则和质量标准；2.有切实可行的进度计划和质量控制体系，时效性符合要求；1.方案严密，内容齐全、有针对性，合理可行得（2-3】分；2.方案较为严密，内容较齐全、合理性、可行性一般得（1-2】分；3.方案与项目要求不匹配，内容合理性差、可行性差得（0-1】分。4.未提供不得分。</w:t>
            </w:r>
          </w:p>
        </w:tc>
      </w:tr>
      <w:tr w14:paraId="2F09C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702" w:type="dxa"/>
            <w:vMerge w:val="continue"/>
            <w:vAlign w:val="center"/>
          </w:tcPr>
          <w:p w14:paraId="448BCF01">
            <w:pPr>
              <w:snapToGrid w:val="0"/>
              <w:spacing w:line="380" w:lineRule="exact"/>
              <w:jc w:val="center"/>
              <w:rPr>
                <w:rFonts w:hint="eastAsia" w:ascii="宋体" w:hAnsi="宋体" w:eastAsia="宋体" w:cs="宋体"/>
                <w:bCs/>
                <w:kern w:val="0"/>
                <w:szCs w:val="21"/>
                <w:highlight w:val="none"/>
              </w:rPr>
            </w:pPr>
          </w:p>
        </w:tc>
        <w:tc>
          <w:tcPr>
            <w:tcW w:w="708" w:type="dxa"/>
            <w:vMerge w:val="continue"/>
          </w:tcPr>
          <w:p w14:paraId="4039ADD7">
            <w:pPr>
              <w:snapToGrid w:val="0"/>
              <w:spacing w:line="380" w:lineRule="exact"/>
              <w:jc w:val="center"/>
              <w:rPr>
                <w:rFonts w:hint="eastAsia" w:ascii="宋体" w:hAnsi="宋体" w:eastAsia="宋体" w:cs="宋体"/>
                <w:bCs/>
                <w:kern w:val="0"/>
                <w:szCs w:val="21"/>
                <w:highlight w:val="none"/>
              </w:rPr>
            </w:pPr>
          </w:p>
        </w:tc>
        <w:tc>
          <w:tcPr>
            <w:tcW w:w="685" w:type="dxa"/>
            <w:vMerge w:val="continue"/>
            <w:vAlign w:val="center"/>
          </w:tcPr>
          <w:p w14:paraId="59930453">
            <w:pPr>
              <w:snapToGrid w:val="0"/>
              <w:spacing w:line="380" w:lineRule="exact"/>
              <w:jc w:val="center"/>
              <w:rPr>
                <w:rFonts w:hint="eastAsia" w:ascii="宋体" w:hAnsi="宋体" w:eastAsia="宋体" w:cs="宋体"/>
                <w:bCs/>
                <w:kern w:val="0"/>
                <w:szCs w:val="21"/>
                <w:highlight w:val="none"/>
              </w:rPr>
            </w:pPr>
          </w:p>
        </w:tc>
        <w:tc>
          <w:tcPr>
            <w:tcW w:w="596" w:type="dxa"/>
            <w:vAlign w:val="center"/>
          </w:tcPr>
          <w:p w14:paraId="4A7B155F">
            <w:pPr>
              <w:pStyle w:val="26"/>
              <w:numPr>
                <w:ilvl w:val="0"/>
                <w:numId w:val="0"/>
              </w:numPr>
              <w:spacing w:line="380" w:lineRule="exact"/>
              <w:jc w:val="center"/>
              <w:textAlignment w:val="center"/>
              <w:rPr>
                <w:rFonts w:hint="default" w:ascii="宋体" w:hAnsi="宋体" w:eastAsia="宋体" w:cs="宋体"/>
                <w:kern w:val="0"/>
                <w:sz w:val="21"/>
                <w:szCs w:val="21"/>
                <w:highlight w:val="none"/>
                <w:lang w:val="en-US" w:eastAsia="zh-CN" w:bidi="ar-SA"/>
              </w:rPr>
            </w:pPr>
            <w:r>
              <w:rPr>
                <w:rFonts w:hint="eastAsia" w:cs="宋体"/>
                <w:kern w:val="0"/>
                <w:sz w:val="21"/>
                <w:szCs w:val="21"/>
                <w:highlight w:val="none"/>
                <w:lang w:val="en-US" w:eastAsia="zh-CN" w:bidi="ar-SA"/>
              </w:rPr>
              <w:t>6</w:t>
            </w:r>
          </w:p>
        </w:tc>
        <w:tc>
          <w:tcPr>
            <w:tcW w:w="1133" w:type="dxa"/>
            <w:vAlign w:val="center"/>
          </w:tcPr>
          <w:p w14:paraId="097CB2B2">
            <w:pPr>
              <w:pStyle w:val="13"/>
              <w:snapToGrid w:val="0"/>
              <w:spacing w:before="0" w:beforeLines="0" w:beforeAutospacing="0" w:after="0" w:afterLines="0" w:afterAutospacing="0"/>
              <w:jc w:val="center"/>
              <w:rPr>
                <w:rFonts w:hint="default" w:ascii="宋体" w:hAnsi="宋体" w:eastAsia="宋体" w:cs="宋体"/>
                <w:kern w:val="0"/>
                <w:sz w:val="21"/>
                <w:szCs w:val="21"/>
                <w:highlight w:val="none"/>
                <w:lang w:val="en-US" w:eastAsia="zh-CN" w:bidi="ar-SA"/>
              </w:rPr>
            </w:pPr>
            <w:r>
              <w:rPr>
                <w:rFonts w:hint="default" w:ascii="宋体" w:hAnsi="宋体" w:eastAsia="宋体" w:cs="宋体"/>
                <w:kern w:val="0"/>
                <w:sz w:val="21"/>
                <w:szCs w:val="21"/>
                <w:highlight w:val="none"/>
                <w:lang w:val="en-US" w:eastAsia="zh-CN" w:bidi="ar-SA"/>
              </w:rPr>
              <w:t>应急响应</w:t>
            </w:r>
          </w:p>
          <w:p w14:paraId="45200195">
            <w:pPr>
              <w:pStyle w:val="13"/>
              <w:snapToGrid w:val="0"/>
              <w:spacing w:before="0" w:beforeLines="0" w:beforeAutospacing="0" w:after="0" w:afterLines="0" w:afterAutospacing="0"/>
              <w:jc w:val="center"/>
              <w:rPr>
                <w:rFonts w:hint="eastAsia" w:ascii="宋体" w:hAnsi="宋体" w:eastAsia="宋体" w:cs="宋体"/>
                <w:kern w:val="0"/>
                <w:sz w:val="21"/>
                <w:szCs w:val="21"/>
                <w:highlight w:val="none"/>
                <w:lang w:val="en-US" w:eastAsia="zh-CN" w:bidi="ar-SA"/>
              </w:rPr>
            </w:pPr>
            <w:r>
              <w:rPr>
                <w:rFonts w:hint="default" w:ascii="宋体" w:hAnsi="宋体" w:eastAsia="宋体" w:cs="宋体"/>
                <w:kern w:val="0"/>
                <w:sz w:val="21"/>
                <w:szCs w:val="21"/>
                <w:highlight w:val="none"/>
                <w:lang w:val="en-US" w:eastAsia="zh-CN" w:bidi="ar-SA"/>
              </w:rPr>
              <w:t>方案</w:t>
            </w:r>
          </w:p>
        </w:tc>
        <w:tc>
          <w:tcPr>
            <w:tcW w:w="566" w:type="dxa"/>
            <w:vAlign w:val="center"/>
          </w:tcPr>
          <w:p w14:paraId="3C8C1BDF">
            <w:pPr>
              <w:pStyle w:val="13"/>
              <w:snapToGrid w:val="0"/>
              <w:spacing w:before="0" w:beforeLines="0" w:beforeAutospacing="0" w:after="0" w:afterLines="0" w:afterAutospacing="0"/>
              <w:jc w:val="center"/>
              <w:rPr>
                <w:rFonts w:hint="eastAsia" w:ascii="宋体" w:hAnsi="宋体" w:eastAsia="宋体" w:cs="宋体"/>
                <w:kern w:val="0"/>
                <w:sz w:val="21"/>
                <w:szCs w:val="21"/>
                <w:highlight w:val="none"/>
                <w:lang w:val="en-US" w:eastAsia="zh-CN" w:bidi="ar-SA"/>
              </w:rPr>
            </w:pPr>
            <w:r>
              <w:rPr>
                <w:rFonts w:hint="default" w:ascii="宋体" w:hAnsi="宋体" w:eastAsia="宋体" w:cs="宋体"/>
                <w:kern w:val="0"/>
                <w:sz w:val="21"/>
                <w:szCs w:val="21"/>
                <w:highlight w:val="none"/>
                <w:lang w:val="en-US" w:eastAsia="zh-CN" w:bidi="ar-SA"/>
              </w:rPr>
              <w:t>3</w:t>
            </w:r>
          </w:p>
        </w:tc>
        <w:tc>
          <w:tcPr>
            <w:tcW w:w="5287" w:type="dxa"/>
            <w:vAlign w:val="center"/>
          </w:tcPr>
          <w:p w14:paraId="58CCF98A">
            <w:pPr>
              <w:pStyle w:val="13"/>
              <w:snapToGrid w:val="0"/>
              <w:spacing w:before="0" w:beforeLines="0" w:beforeAutospacing="0" w:after="0" w:afterLines="0" w:afterAutospacing="0"/>
              <w:rPr>
                <w:rFonts w:hint="default" w:ascii="宋体" w:hAnsi="宋体" w:eastAsia="宋体" w:cs="宋体"/>
                <w:kern w:val="0"/>
                <w:sz w:val="21"/>
                <w:szCs w:val="21"/>
                <w:highlight w:val="none"/>
                <w:lang w:val="en-US" w:eastAsia="zh-CN" w:bidi="ar-SA"/>
              </w:rPr>
            </w:pPr>
            <w:r>
              <w:rPr>
                <w:rFonts w:hint="default" w:ascii="宋体" w:hAnsi="宋体" w:eastAsia="宋体" w:cs="宋体"/>
                <w:kern w:val="0"/>
                <w:sz w:val="21"/>
                <w:szCs w:val="21"/>
                <w:highlight w:val="none"/>
                <w:lang w:val="en-US" w:eastAsia="zh-CN" w:bidi="ar-SA"/>
              </w:rPr>
              <w:t>应答人能够详细阐述可靠的应急响应方案，针对可能出现的问题、突发安全事件有具体可行的应急措施和解决方案，内容包含响应时间、应急解决方案、应急预案、服务体系等。</w:t>
            </w:r>
          </w:p>
          <w:p w14:paraId="3558BC46">
            <w:pPr>
              <w:pStyle w:val="13"/>
              <w:snapToGrid w:val="0"/>
              <w:spacing w:before="0" w:beforeLines="0" w:beforeAutospacing="0" w:after="0" w:afterLines="0" w:afterAutospacing="0"/>
              <w:rPr>
                <w:rFonts w:hint="eastAsia" w:ascii="宋体" w:hAnsi="宋体" w:eastAsia="宋体" w:cs="宋体"/>
                <w:kern w:val="0"/>
                <w:sz w:val="21"/>
                <w:szCs w:val="21"/>
                <w:highlight w:val="none"/>
                <w:lang w:val="en-US" w:eastAsia="zh-CN" w:bidi="ar-SA"/>
              </w:rPr>
            </w:pPr>
            <w:r>
              <w:rPr>
                <w:rFonts w:hint="default" w:ascii="宋体" w:hAnsi="宋体" w:eastAsia="宋体" w:cs="宋体"/>
                <w:kern w:val="0"/>
                <w:sz w:val="21"/>
                <w:szCs w:val="21"/>
                <w:highlight w:val="none"/>
                <w:lang w:val="en-US" w:eastAsia="zh-CN" w:bidi="ar-SA"/>
              </w:rPr>
              <w:t>1.应急响应方案内容全面具体，具有完备的服务体系，应急响应方案可行性强，能够完全满足采购人需求的，得（2-3】分；2.应急响应方案较为全面，具有一定可行性，服务体系较为完善，能够基本满足采购人需求的，得（1-2】分；3.应急响应方案一般，可行性一般，服务体系一般，得（0-1】分；4.未提供不得分。</w:t>
            </w:r>
          </w:p>
        </w:tc>
      </w:tr>
      <w:tr w14:paraId="5D1ED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702" w:type="dxa"/>
            <w:vMerge w:val="continue"/>
            <w:vAlign w:val="center"/>
          </w:tcPr>
          <w:p w14:paraId="5AE3667D">
            <w:pPr>
              <w:snapToGrid w:val="0"/>
              <w:spacing w:line="380" w:lineRule="exact"/>
              <w:jc w:val="center"/>
              <w:rPr>
                <w:rFonts w:hint="eastAsia" w:ascii="宋体" w:hAnsi="宋体" w:eastAsia="宋体" w:cs="宋体"/>
                <w:bCs/>
                <w:kern w:val="0"/>
                <w:szCs w:val="21"/>
                <w:highlight w:val="none"/>
              </w:rPr>
            </w:pPr>
          </w:p>
        </w:tc>
        <w:tc>
          <w:tcPr>
            <w:tcW w:w="708" w:type="dxa"/>
            <w:vMerge w:val="continue"/>
          </w:tcPr>
          <w:p w14:paraId="53D2C819">
            <w:pPr>
              <w:snapToGrid w:val="0"/>
              <w:spacing w:line="380" w:lineRule="exact"/>
              <w:jc w:val="center"/>
              <w:rPr>
                <w:rFonts w:hint="eastAsia" w:ascii="宋体" w:hAnsi="宋体" w:eastAsia="宋体" w:cs="宋体"/>
                <w:bCs/>
                <w:kern w:val="0"/>
                <w:szCs w:val="21"/>
                <w:highlight w:val="none"/>
              </w:rPr>
            </w:pPr>
          </w:p>
        </w:tc>
        <w:tc>
          <w:tcPr>
            <w:tcW w:w="685" w:type="dxa"/>
            <w:vMerge w:val="continue"/>
            <w:vAlign w:val="center"/>
          </w:tcPr>
          <w:p w14:paraId="5D514409">
            <w:pPr>
              <w:snapToGrid w:val="0"/>
              <w:spacing w:line="380" w:lineRule="exact"/>
              <w:jc w:val="center"/>
              <w:rPr>
                <w:rFonts w:hint="eastAsia" w:ascii="宋体" w:hAnsi="宋体" w:eastAsia="宋体" w:cs="宋体"/>
                <w:bCs/>
                <w:kern w:val="0"/>
                <w:szCs w:val="21"/>
                <w:highlight w:val="none"/>
              </w:rPr>
            </w:pPr>
          </w:p>
        </w:tc>
        <w:tc>
          <w:tcPr>
            <w:tcW w:w="596" w:type="dxa"/>
            <w:vAlign w:val="center"/>
          </w:tcPr>
          <w:p w14:paraId="4275C24D">
            <w:pPr>
              <w:pStyle w:val="26"/>
              <w:numPr>
                <w:ilvl w:val="0"/>
                <w:numId w:val="0"/>
              </w:numPr>
              <w:spacing w:line="380" w:lineRule="exact"/>
              <w:jc w:val="center"/>
              <w:textAlignment w:val="center"/>
              <w:rPr>
                <w:rFonts w:hint="eastAsia" w:ascii="宋体" w:hAnsi="宋体" w:eastAsia="宋体" w:cs="宋体"/>
                <w:bCs/>
                <w:highlight w:val="none"/>
                <w:lang w:val="en-US" w:eastAsia="zh-CN"/>
              </w:rPr>
            </w:pPr>
            <w:r>
              <w:rPr>
                <w:rFonts w:hint="eastAsia" w:cs="宋体"/>
                <w:bCs/>
                <w:highlight w:val="none"/>
                <w:lang w:val="en-US" w:eastAsia="zh-CN"/>
              </w:rPr>
              <w:t>7</w:t>
            </w:r>
          </w:p>
        </w:tc>
        <w:tc>
          <w:tcPr>
            <w:tcW w:w="1133" w:type="dxa"/>
            <w:vAlign w:val="center"/>
          </w:tcPr>
          <w:p w14:paraId="396812FD">
            <w:pPr>
              <w:snapToGrid w:val="0"/>
              <w:spacing w:line="380" w:lineRule="exact"/>
              <w:jc w:val="center"/>
              <w:rPr>
                <w:rFonts w:hint="eastAsia" w:ascii="宋体" w:hAnsi="宋体" w:eastAsia="宋体" w:cs="宋体"/>
                <w:kern w:val="0"/>
                <w:szCs w:val="21"/>
                <w:highlight w:val="none"/>
              </w:rPr>
            </w:pPr>
            <w:r>
              <w:rPr>
                <w:rFonts w:hint="eastAsia" w:ascii="宋体" w:hAnsi="宋体" w:eastAsia="宋体" w:cs="宋体"/>
                <w:kern w:val="0"/>
                <w:szCs w:val="21"/>
                <w:highlight w:val="none"/>
              </w:rPr>
              <w:t>扣分项</w:t>
            </w:r>
          </w:p>
        </w:tc>
        <w:tc>
          <w:tcPr>
            <w:tcW w:w="566" w:type="dxa"/>
            <w:vAlign w:val="center"/>
          </w:tcPr>
          <w:p w14:paraId="20411E45">
            <w:pPr>
              <w:spacing w:line="380" w:lineRule="exact"/>
              <w:jc w:val="center"/>
              <w:rPr>
                <w:rFonts w:hint="eastAsia" w:ascii="宋体" w:hAnsi="宋体" w:eastAsia="宋体" w:cs="宋体"/>
                <w:color w:val="000000"/>
                <w:szCs w:val="21"/>
                <w:highlight w:val="none"/>
              </w:rPr>
            </w:pPr>
            <w:r>
              <w:rPr>
                <w:rFonts w:hint="eastAsia" w:ascii="宋体" w:hAnsi="宋体" w:eastAsia="宋体" w:cs="宋体"/>
                <w:color w:val="000000"/>
                <w:szCs w:val="21"/>
                <w:highlight w:val="none"/>
              </w:rPr>
              <w:t>0</w:t>
            </w:r>
          </w:p>
        </w:tc>
        <w:tc>
          <w:tcPr>
            <w:tcW w:w="5287" w:type="dxa"/>
          </w:tcPr>
          <w:p w14:paraId="419A86B4">
            <w:pPr>
              <w:pStyle w:val="27"/>
              <w:spacing w:line="380" w:lineRule="exact"/>
              <w:ind w:firstLine="0" w:firstLineChars="0"/>
              <w:jc w:val="left"/>
              <w:rPr>
                <w:rFonts w:hint="eastAsia" w:ascii="宋体" w:hAnsi="宋体" w:eastAsia="宋体" w:cs="宋体"/>
                <w:kern w:val="0"/>
                <w:szCs w:val="21"/>
                <w:highlight w:val="none"/>
              </w:rPr>
            </w:pPr>
            <w:r>
              <w:rPr>
                <w:rFonts w:hint="eastAsia" w:ascii="宋体" w:hAnsi="宋体" w:eastAsia="宋体" w:cs="宋体"/>
                <w:kern w:val="0"/>
                <w:szCs w:val="21"/>
                <w:highlight w:val="none"/>
              </w:rPr>
              <w:t>根据《中国联通供应商管理</w:t>
            </w:r>
            <w:r>
              <w:rPr>
                <w:rFonts w:hint="eastAsia" w:ascii="宋体" w:hAnsi="宋体" w:cs="宋体"/>
                <w:kern w:val="0"/>
                <w:szCs w:val="21"/>
                <w:highlight w:val="none"/>
                <w:lang w:val="en-US" w:eastAsia="zh-CN"/>
              </w:rPr>
              <w:t>规定</w:t>
            </w:r>
            <w:r>
              <w:rPr>
                <w:rFonts w:hint="eastAsia" w:ascii="宋体" w:hAnsi="宋体" w:eastAsia="宋体" w:cs="宋体"/>
                <w:kern w:val="0"/>
                <w:szCs w:val="21"/>
                <w:highlight w:val="none"/>
              </w:rPr>
              <w:t>》等相关制度规定，对因业务不可替代暂不列入黑名单供应商（即限制型供应商）的综合评分扣减3分。</w:t>
            </w:r>
          </w:p>
        </w:tc>
      </w:tr>
      <w:tr w14:paraId="35475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1" w:hRule="atLeast"/>
          <w:jc w:val="center"/>
        </w:trPr>
        <w:tc>
          <w:tcPr>
            <w:tcW w:w="702" w:type="dxa"/>
            <w:vMerge w:val="continue"/>
            <w:vAlign w:val="center"/>
          </w:tcPr>
          <w:p w14:paraId="38B8845C">
            <w:pPr>
              <w:snapToGrid w:val="0"/>
              <w:spacing w:line="380" w:lineRule="exact"/>
              <w:jc w:val="center"/>
              <w:rPr>
                <w:rFonts w:hint="eastAsia" w:ascii="宋体" w:hAnsi="宋体" w:eastAsia="宋体" w:cs="宋体"/>
                <w:bCs/>
                <w:kern w:val="0"/>
                <w:szCs w:val="21"/>
                <w:highlight w:val="none"/>
              </w:rPr>
            </w:pPr>
          </w:p>
        </w:tc>
        <w:tc>
          <w:tcPr>
            <w:tcW w:w="708" w:type="dxa"/>
            <w:vMerge w:val="continue"/>
          </w:tcPr>
          <w:p w14:paraId="25021831">
            <w:pPr>
              <w:snapToGrid w:val="0"/>
              <w:spacing w:line="380" w:lineRule="exact"/>
              <w:jc w:val="center"/>
              <w:rPr>
                <w:rFonts w:hint="eastAsia" w:ascii="宋体" w:hAnsi="宋体" w:eastAsia="宋体" w:cs="宋体"/>
                <w:bCs/>
                <w:kern w:val="0"/>
                <w:szCs w:val="21"/>
                <w:highlight w:val="none"/>
              </w:rPr>
            </w:pPr>
          </w:p>
        </w:tc>
        <w:tc>
          <w:tcPr>
            <w:tcW w:w="685" w:type="dxa"/>
            <w:vAlign w:val="center"/>
          </w:tcPr>
          <w:p w14:paraId="34CC868E">
            <w:pPr>
              <w:snapToGrid w:val="0"/>
              <w:spacing w:line="380" w:lineRule="exact"/>
              <w:jc w:val="center"/>
              <w:rPr>
                <w:rFonts w:hint="eastAsia" w:ascii="宋体" w:hAnsi="宋体" w:eastAsia="宋体" w:cs="宋体"/>
                <w:bCs/>
                <w:kern w:val="0"/>
                <w:szCs w:val="21"/>
                <w:highlight w:val="none"/>
              </w:rPr>
            </w:pPr>
            <w:r>
              <w:rPr>
                <w:rFonts w:hint="eastAsia" w:ascii="宋体" w:hAnsi="宋体" w:eastAsia="宋体" w:cs="宋体"/>
                <w:bCs/>
                <w:kern w:val="0"/>
                <w:szCs w:val="21"/>
                <w:highlight w:val="none"/>
              </w:rPr>
              <w:t>价格（</w:t>
            </w:r>
            <w:r>
              <w:rPr>
                <w:rFonts w:hint="eastAsia" w:ascii="宋体" w:hAnsi="宋体" w:cs="宋体"/>
                <w:bCs/>
                <w:kern w:val="0"/>
                <w:szCs w:val="21"/>
                <w:highlight w:val="none"/>
                <w:lang w:val="en-US" w:eastAsia="zh-CN"/>
              </w:rPr>
              <w:t>75</w:t>
            </w:r>
            <w:r>
              <w:rPr>
                <w:rFonts w:hint="eastAsia" w:ascii="宋体" w:hAnsi="宋体" w:eastAsia="宋体" w:cs="宋体"/>
                <w:bCs/>
                <w:kern w:val="0"/>
                <w:szCs w:val="21"/>
                <w:highlight w:val="none"/>
              </w:rPr>
              <w:t>分）</w:t>
            </w:r>
          </w:p>
        </w:tc>
        <w:tc>
          <w:tcPr>
            <w:tcW w:w="596" w:type="dxa"/>
            <w:vAlign w:val="center"/>
          </w:tcPr>
          <w:p w14:paraId="14CD65C3">
            <w:pPr>
              <w:snapToGrid w:val="0"/>
              <w:spacing w:line="380" w:lineRule="exact"/>
              <w:jc w:val="center"/>
              <w:textAlignment w:val="center"/>
              <w:rPr>
                <w:rFonts w:hint="eastAsia" w:ascii="宋体" w:hAnsi="宋体" w:eastAsia="宋体" w:cs="宋体"/>
                <w:bCs/>
                <w:kern w:val="0"/>
                <w:szCs w:val="21"/>
                <w:highlight w:val="none"/>
                <w:lang w:val="en-US" w:eastAsia="zh-CN"/>
              </w:rPr>
            </w:pPr>
            <w:r>
              <w:rPr>
                <w:rFonts w:hint="eastAsia" w:ascii="宋体" w:hAnsi="宋体" w:cs="宋体"/>
                <w:bCs/>
                <w:kern w:val="0"/>
                <w:szCs w:val="21"/>
                <w:highlight w:val="none"/>
                <w:lang w:val="en-US" w:eastAsia="zh-CN"/>
              </w:rPr>
              <w:t>8</w:t>
            </w:r>
          </w:p>
        </w:tc>
        <w:tc>
          <w:tcPr>
            <w:tcW w:w="1133" w:type="dxa"/>
            <w:vAlign w:val="center"/>
          </w:tcPr>
          <w:p w14:paraId="60F699D5">
            <w:pPr>
              <w:snapToGrid w:val="0"/>
              <w:spacing w:line="380" w:lineRule="exact"/>
              <w:jc w:val="center"/>
              <w:rPr>
                <w:rFonts w:hint="eastAsia" w:ascii="宋体" w:hAnsi="宋体" w:eastAsia="宋体" w:cs="宋体"/>
                <w:bCs/>
                <w:kern w:val="0"/>
                <w:szCs w:val="21"/>
                <w:highlight w:val="none"/>
              </w:rPr>
            </w:pPr>
            <w:r>
              <w:rPr>
                <w:rFonts w:hint="eastAsia" w:ascii="宋体" w:hAnsi="宋体" w:eastAsia="宋体" w:cs="宋体"/>
                <w:bCs/>
                <w:kern w:val="0"/>
                <w:szCs w:val="21"/>
                <w:highlight w:val="none"/>
              </w:rPr>
              <w:t>基准价法</w:t>
            </w:r>
          </w:p>
        </w:tc>
        <w:tc>
          <w:tcPr>
            <w:tcW w:w="5853" w:type="dxa"/>
            <w:gridSpan w:val="2"/>
            <w:vAlign w:val="center"/>
          </w:tcPr>
          <w:p w14:paraId="7B8AEE2B">
            <w:pPr>
              <w:snapToGrid w:val="0"/>
              <w:spacing w:line="380" w:lineRule="exact"/>
              <w:jc w:val="left"/>
              <w:rPr>
                <w:rFonts w:hint="eastAsia" w:ascii="宋体" w:hAnsi="宋体" w:eastAsia="宋体" w:cs="宋体"/>
                <w:kern w:val="0"/>
                <w:szCs w:val="21"/>
                <w:highlight w:val="none"/>
              </w:rPr>
            </w:pPr>
            <w:r>
              <w:rPr>
                <w:rFonts w:hint="eastAsia" w:ascii="宋体" w:hAnsi="宋体" w:eastAsia="宋体" w:cs="宋体"/>
                <w:kern w:val="0"/>
                <w:szCs w:val="21"/>
                <w:highlight w:val="none"/>
              </w:rPr>
              <w:t>以有效应答人的应答不含税总价计算价格得分。</w:t>
            </w:r>
          </w:p>
          <w:p w14:paraId="25462D0C">
            <w:pPr>
              <w:snapToGrid w:val="0"/>
              <w:spacing w:line="380" w:lineRule="exact"/>
              <w:jc w:val="left"/>
              <w:rPr>
                <w:rFonts w:hint="eastAsia" w:ascii="宋体" w:hAnsi="宋体" w:eastAsia="宋体" w:cs="宋体"/>
                <w:kern w:val="0"/>
                <w:szCs w:val="21"/>
                <w:highlight w:val="none"/>
              </w:rPr>
            </w:pPr>
            <w:r>
              <w:rPr>
                <w:rFonts w:hint="eastAsia" w:ascii="宋体" w:hAnsi="宋体" w:eastAsia="宋体" w:cs="宋体"/>
                <w:kern w:val="0"/>
                <w:szCs w:val="21"/>
                <w:highlight w:val="none"/>
              </w:rPr>
              <w:t>（1）采用基准价最优法，若通过初步评审的有效应答人单位超过10（含）家，则将所有有效应答人报价（记为B）去掉2个最高值和2个最低值，再求出剩余有效应答人报价的算术平均值作为报价基准价（记为A）；若通过初步评审的有效应答人单位5（含）~10家（不含），则将所有有效应答人报价（记为B）去掉1个最高值和1个最低值，再求出剩余有效应答人报价的算术平均值作为报价基准价（记为A）；若有效应答人单位少于5家（不含），则算出所有有效应答人报价的平均值作为报价基准价(记为A)。</w:t>
            </w:r>
          </w:p>
          <w:p w14:paraId="32380CBC">
            <w:pPr>
              <w:snapToGrid w:val="0"/>
              <w:spacing w:line="380" w:lineRule="exact"/>
              <w:jc w:val="left"/>
              <w:rPr>
                <w:rFonts w:hint="eastAsia" w:ascii="宋体" w:hAnsi="宋体" w:eastAsia="宋体" w:cs="宋体"/>
                <w:kern w:val="0"/>
                <w:szCs w:val="21"/>
                <w:highlight w:val="none"/>
              </w:rPr>
            </w:pPr>
            <w:r>
              <w:rPr>
                <w:rFonts w:hint="eastAsia" w:ascii="宋体" w:hAnsi="宋体" w:eastAsia="宋体" w:cs="宋体"/>
                <w:kern w:val="0"/>
                <w:szCs w:val="21"/>
                <w:highlight w:val="none"/>
              </w:rPr>
              <w:t>（2）B等于基准价A时，得满分75分；</w:t>
            </w:r>
          </w:p>
          <w:p w14:paraId="5C995AF3">
            <w:pPr>
              <w:snapToGrid w:val="0"/>
              <w:spacing w:line="380" w:lineRule="exact"/>
              <w:jc w:val="left"/>
              <w:rPr>
                <w:rFonts w:hint="eastAsia" w:ascii="宋体" w:hAnsi="宋体" w:eastAsia="宋体" w:cs="宋体"/>
                <w:kern w:val="0"/>
                <w:szCs w:val="21"/>
                <w:highlight w:val="none"/>
              </w:rPr>
            </w:pPr>
            <w:r>
              <w:rPr>
                <w:rFonts w:hint="eastAsia" w:ascii="宋体" w:hAnsi="宋体" w:eastAsia="宋体" w:cs="宋体"/>
                <w:kern w:val="0"/>
                <w:szCs w:val="21"/>
                <w:highlight w:val="none"/>
              </w:rPr>
              <w:t>（3）B比基准价A每高1个百分点，扣0.6分。即价格得分为75-（B-A）/A*100×0.6；</w:t>
            </w:r>
          </w:p>
          <w:p w14:paraId="76B05F37">
            <w:pPr>
              <w:snapToGrid w:val="0"/>
              <w:spacing w:line="380" w:lineRule="exact"/>
              <w:jc w:val="left"/>
              <w:rPr>
                <w:rFonts w:hint="eastAsia" w:ascii="宋体" w:hAnsi="宋体" w:eastAsia="宋体" w:cs="宋体"/>
                <w:kern w:val="0"/>
                <w:szCs w:val="21"/>
                <w:highlight w:val="none"/>
              </w:rPr>
            </w:pPr>
            <w:r>
              <w:rPr>
                <w:rFonts w:hint="eastAsia" w:ascii="宋体" w:hAnsi="宋体" w:eastAsia="宋体" w:cs="宋体"/>
                <w:kern w:val="0"/>
                <w:szCs w:val="21"/>
                <w:highlight w:val="none"/>
              </w:rPr>
              <w:t>（4）B比基准价A每低1个百分点，扣0.3分。即价格得分为75-（A-B）/A*100×0.3；</w:t>
            </w:r>
          </w:p>
          <w:p w14:paraId="27AE3820">
            <w:pPr>
              <w:snapToGrid w:val="0"/>
              <w:spacing w:line="380" w:lineRule="exact"/>
              <w:jc w:val="left"/>
              <w:rPr>
                <w:rFonts w:hint="eastAsia" w:ascii="宋体" w:hAnsi="宋体" w:eastAsia="宋体" w:cs="宋体"/>
                <w:kern w:val="0"/>
                <w:szCs w:val="21"/>
                <w:highlight w:val="none"/>
              </w:rPr>
            </w:pPr>
            <w:r>
              <w:rPr>
                <w:rFonts w:hint="eastAsia" w:ascii="宋体" w:hAnsi="宋体" w:eastAsia="宋体" w:cs="宋体"/>
                <w:kern w:val="0"/>
                <w:szCs w:val="21"/>
                <w:highlight w:val="none"/>
              </w:rPr>
              <w:t>（5）所有计算数值四舍五入均保留小数点后两位；</w:t>
            </w:r>
          </w:p>
          <w:p w14:paraId="5E87B952">
            <w:pPr>
              <w:snapToGrid w:val="0"/>
              <w:spacing w:line="380" w:lineRule="exact"/>
              <w:jc w:val="left"/>
              <w:rPr>
                <w:rFonts w:hint="eastAsia" w:ascii="宋体" w:hAnsi="宋体" w:eastAsia="宋体" w:cs="宋体"/>
                <w:kern w:val="0"/>
                <w:szCs w:val="21"/>
                <w:highlight w:val="none"/>
              </w:rPr>
            </w:pPr>
            <w:r>
              <w:rPr>
                <w:rFonts w:hint="eastAsia" w:ascii="宋体" w:hAnsi="宋体" w:eastAsia="宋体" w:cs="宋体"/>
                <w:kern w:val="0"/>
                <w:szCs w:val="21"/>
                <w:highlight w:val="none"/>
              </w:rPr>
              <w:t>（6）若价格得分为负分，按0分计列。</w:t>
            </w:r>
          </w:p>
        </w:tc>
      </w:tr>
    </w:tbl>
    <w:p w14:paraId="0741413A">
      <w:pPr>
        <w:tabs>
          <w:tab w:val="left" w:pos="0"/>
        </w:tabs>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3E0AAC"/>
    <w:multiLevelType w:val="multilevel"/>
    <w:tmpl w:val="8B3E0AAC"/>
    <w:lvl w:ilvl="0" w:tentative="0">
      <w:start w:val="4"/>
      <w:numFmt w:val="decimal"/>
      <w:lvlText w:val="%1."/>
      <w:lvlJc w:val="left"/>
      <w:pPr>
        <w:ind w:left="432" w:hanging="432"/>
      </w:pPr>
      <w:rPr>
        <w:rFonts w:hint="default"/>
      </w:rPr>
    </w:lvl>
    <w:lvl w:ilvl="1" w:tentative="0">
      <w:start w:val="1"/>
      <w:numFmt w:val="decimal"/>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pStyle w:val="11"/>
      <w:lvlText w:val="%1.%2.%3.%4.%5.%6.%7.%8.%9."/>
      <w:lvlJc w:val="left"/>
      <w:pPr>
        <w:ind w:left="1583" w:hanging="1583"/>
      </w:pPr>
      <w:rPr>
        <w:rFonts w:hint="default"/>
      </w:rPr>
    </w:lvl>
  </w:abstractNum>
  <w:abstractNum w:abstractNumId="1">
    <w:nsid w:val="F9E0A887"/>
    <w:multiLevelType w:val="multilevel"/>
    <w:tmpl w:val="F9E0A887"/>
    <w:lvl w:ilvl="0" w:tentative="0">
      <w:start w:val="1"/>
      <w:numFmt w:val="decimal"/>
      <w:pStyle w:val="3"/>
      <w:lvlText w:val="%1"/>
      <w:lvlJc w:val="left"/>
      <w:pPr>
        <w:ind w:left="0"/>
        <w:jc w:val="left"/>
      </w:pPr>
      <w:rPr>
        <w:rFonts w:hint="default"/>
      </w:rPr>
    </w:lvl>
    <w:lvl w:ilvl="1" w:tentative="0">
      <w:start w:val="1"/>
      <w:numFmt w:val="decimal"/>
      <w:pStyle w:val="4"/>
      <w:lvlText w:val="%1.%2"/>
      <w:lvlJc w:val="left"/>
      <w:pPr>
        <w:ind w:left="720"/>
        <w:jc w:val="left"/>
      </w:pPr>
      <w:rPr>
        <w:rFonts w:hint="default"/>
      </w:rPr>
    </w:lvl>
    <w:lvl w:ilvl="2" w:tentative="0">
      <w:start w:val="1"/>
      <w:numFmt w:val="decimal"/>
      <w:pStyle w:val="5"/>
      <w:lvlText w:val="%1.%2.%3"/>
      <w:lvlJc w:val="left"/>
      <w:pPr>
        <w:ind w:left="1440"/>
        <w:jc w:val="left"/>
      </w:pPr>
      <w:rPr>
        <w:rFonts w:hint="default"/>
      </w:rPr>
    </w:lvl>
    <w:lvl w:ilvl="3" w:tentative="0">
      <w:start w:val="1"/>
      <w:numFmt w:val="decimal"/>
      <w:pStyle w:val="6"/>
      <w:lvlText w:val="%1.%2.%3.%4"/>
      <w:lvlJc w:val="left"/>
      <w:pPr>
        <w:ind w:left="2160"/>
        <w:jc w:val="left"/>
      </w:pPr>
    </w:lvl>
    <w:lvl w:ilvl="4" w:tentative="0">
      <w:start w:val="1"/>
      <w:numFmt w:val="decimal"/>
      <w:pStyle w:val="7"/>
      <w:lvlText w:val="%1.%2.%3.%4.%5"/>
      <w:lvlJc w:val="left"/>
      <w:pPr>
        <w:ind w:left="2880"/>
        <w:jc w:val="left"/>
      </w:pPr>
    </w:lvl>
    <w:lvl w:ilvl="5" w:tentative="0">
      <w:start w:val="1"/>
      <w:numFmt w:val="decimal"/>
      <w:pStyle w:val="8"/>
      <w:lvlText w:val="%1.%2.%3.%4.%5.%6"/>
      <w:lvlJc w:val="left"/>
      <w:pPr>
        <w:ind w:left="3600"/>
        <w:jc w:val="left"/>
      </w:pPr>
    </w:lvl>
    <w:lvl w:ilvl="6" w:tentative="0">
      <w:start w:val="1"/>
      <w:numFmt w:val="decimal"/>
      <w:pStyle w:val="9"/>
      <w:lvlText w:val="%1.%2.%3.%4.%5.%6.%7"/>
      <w:lvlJc w:val="left"/>
      <w:pPr>
        <w:ind w:left="4320"/>
        <w:jc w:val="left"/>
      </w:pPr>
    </w:lvl>
    <w:lvl w:ilvl="7" w:tentative="0">
      <w:start w:val="1"/>
      <w:numFmt w:val="decimal"/>
      <w:pStyle w:val="10"/>
      <w:lvlText w:val="%1.%2.%3.%4.%5.%6.%7.%8"/>
      <w:lvlJc w:val="left"/>
      <w:pPr>
        <w:ind w:left="5040"/>
        <w:jc w:val="left"/>
      </w:pPr>
    </w:lvl>
  </w:abstractNum>
  <w:abstractNum w:abstractNumId="2">
    <w:nsid w:val="13B4231B"/>
    <w:multiLevelType w:val="multilevel"/>
    <w:tmpl w:val="13B4231B"/>
    <w:lvl w:ilvl="0" w:tentative="0">
      <w:start w:val="1"/>
      <w:numFmt w:val="decimal"/>
      <w:pStyle w:val="26"/>
      <w:lvlText w:val="%1"/>
      <w:lvlJc w:val="left"/>
      <w:pPr>
        <w:ind w:left="846"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342B86"/>
    <w:rsid w:val="00663916"/>
    <w:rsid w:val="008D264A"/>
    <w:rsid w:val="012B7068"/>
    <w:rsid w:val="01DA1714"/>
    <w:rsid w:val="04FD4606"/>
    <w:rsid w:val="07566EAB"/>
    <w:rsid w:val="077C3C20"/>
    <w:rsid w:val="07DC4465"/>
    <w:rsid w:val="08A64DE8"/>
    <w:rsid w:val="0A3107DC"/>
    <w:rsid w:val="0A4703B1"/>
    <w:rsid w:val="0B5750F1"/>
    <w:rsid w:val="0B744619"/>
    <w:rsid w:val="0B8B2DEC"/>
    <w:rsid w:val="0BC6115D"/>
    <w:rsid w:val="0DA010B5"/>
    <w:rsid w:val="0DCB4A37"/>
    <w:rsid w:val="0F317386"/>
    <w:rsid w:val="0FB143F9"/>
    <w:rsid w:val="10AC0666"/>
    <w:rsid w:val="15347683"/>
    <w:rsid w:val="167B54AC"/>
    <w:rsid w:val="17281B40"/>
    <w:rsid w:val="1757703A"/>
    <w:rsid w:val="175D205E"/>
    <w:rsid w:val="182272DD"/>
    <w:rsid w:val="189646F9"/>
    <w:rsid w:val="18A87221"/>
    <w:rsid w:val="19B53C82"/>
    <w:rsid w:val="1C4A4D75"/>
    <w:rsid w:val="1C9706F7"/>
    <w:rsid w:val="1D3502B9"/>
    <w:rsid w:val="1D9E4958"/>
    <w:rsid w:val="1DBB5B35"/>
    <w:rsid w:val="1F3A0E20"/>
    <w:rsid w:val="1FE05460"/>
    <w:rsid w:val="207038A1"/>
    <w:rsid w:val="20760B1C"/>
    <w:rsid w:val="22124FE4"/>
    <w:rsid w:val="229F5E27"/>
    <w:rsid w:val="22A1700C"/>
    <w:rsid w:val="252103E8"/>
    <w:rsid w:val="287326EC"/>
    <w:rsid w:val="28CC407F"/>
    <w:rsid w:val="29E76BEA"/>
    <w:rsid w:val="29FA6627"/>
    <w:rsid w:val="2B0C25C0"/>
    <w:rsid w:val="2B9C3C6C"/>
    <w:rsid w:val="2BD93FA4"/>
    <w:rsid w:val="2C6D3736"/>
    <w:rsid w:val="2CF33A75"/>
    <w:rsid w:val="2D0B67E9"/>
    <w:rsid w:val="2E6331BE"/>
    <w:rsid w:val="2E6C29B7"/>
    <w:rsid w:val="2EF364C0"/>
    <w:rsid w:val="30933641"/>
    <w:rsid w:val="30B97AE9"/>
    <w:rsid w:val="32E07DF1"/>
    <w:rsid w:val="33757A8B"/>
    <w:rsid w:val="33F06C80"/>
    <w:rsid w:val="346B00EF"/>
    <w:rsid w:val="349977F4"/>
    <w:rsid w:val="34DD3449"/>
    <w:rsid w:val="354116D6"/>
    <w:rsid w:val="363874F1"/>
    <w:rsid w:val="373D4E15"/>
    <w:rsid w:val="394F5804"/>
    <w:rsid w:val="3A267533"/>
    <w:rsid w:val="3A4E4126"/>
    <w:rsid w:val="3AD37E13"/>
    <w:rsid w:val="3B314C1A"/>
    <w:rsid w:val="3E284F59"/>
    <w:rsid w:val="3F846A8C"/>
    <w:rsid w:val="402D3EAF"/>
    <w:rsid w:val="407B73DA"/>
    <w:rsid w:val="42B112E8"/>
    <w:rsid w:val="42DF4159"/>
    <w:rsid w:val="43164E4D"/>
    <w:rsid w:val="432F533D"/>
    <w:rsid w:val="44037114"/>
    <w:rsid w:val="4427011B"/>
    <w:rsid w:val="445B14BB"/>
    <w:rsid w:val="44DC2C5D"/>
    <w:rsid w:val="451C3BF0"/>
    <w:rsid w:val="46081DC4"/>
    <w:rsid w:val="467E7FB4"/>
    <w:rsid w:val="46BD592B"/>
    <w:rsid w:val="47270F9A"/>
    <w:rsid w:val="478E23E4"/>
    <w:rsid w:val="47A727EC"/>
    <w:rsid w:val="47EE3EE5"/>
    <w:rsid w:val="49BB0786"/>
    <w:rsid w:val="4A960A49"/>
    <w:rsid w:val="4B050CA9"/>
    <w:rsid w:val="4B33371B"/>
    <w:rsid w:val="50D521AD"/>
    <w:rsid w:val="513B53D4"/>
    <w:rsid w:val="516A4E55"/>
    <w:rsid w:val="51AE0F7B"/>
    <w:rsid w:val="51E4278A"/>
    <w:rsid w:val="55D7057E"/>
    <w:rsid w:val="58650EF0"/>
    <w:rsid w:val="58BA0C9F"/>
    <w:rsid w:val="594B37F1"/>
    <w:rsid w:val="5EE56057"/>
    <w:rsid w:val="5FDC2B4A"/>
    <w:rsid w:val="607025C3"/>
    <w:rsid w:val="607255FB"/>
    <w:rsid w:val="61424EA8"/>
    <w:rsid w:val="61846C62"/>
    <w:rsid w:val="61F17C6F"/>
    <w:rsid w:val="63476F42"/>
    <w:rsid w:val="63D21DD7"/>
    <w:rsid w:val="64A17553"/>
    <w:rsid w:val="64BC777F"/>
    <w:rsid w:val="64C61E11"/>
    <w:rsid w:val="669F0930"/>
    <w:rsid w:val="670362EA"/>
    <w:rsid w:val="69D8737D"/>
    <w:rsid w:val="6A6B7926"/>
    <w:rsid w:val="6B652E5C"/>
    <w:rsid w:val="6C677F72"/>
    <w:rsid w:val="6C7E26B5"/>
    <w:rsid w:val="6F2C3427"/>
    <w:rsid w:val="721D44A4"/>
    <w:rsid w:val="731338A1"/>
    <w:rsid w:val="74327CB2"/>
    <w:rsid w:val="771564CE"/>
    <w:rsid w:val="771732C7"/>
    <w:rsid w:val="77323A7C"/>
    <w:rsid w:val="77342B86"/>
    <w:rsid w:val="777110D9"/>
    <w:rsid w:val="77F11FD5"/>
    <w:rsid w:val="79CC7E28"/>
    <w:rsid w:val="7A0C2F4B"/>
    <w:rsid w:val="7ACE35B6"/>
    <w:rsid w:val="7B5409C8"/>
    <w:rsid w:val="7BCE414C"/>
    <w:rsid w:val="7CD5595C"/>
    <w:rsid w:val="7D672470"/>
    <w:rsid w:val="7D731D61"/>
    <w:rsid w:val="7F3058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next w:val="1"/>
    <w:link w:val="23"/>
    <w:qFormat/>
    <w:uiPriority w:val="0"/>
    <w:pPr>
      <w:numPr>
        <w:ilvl w:val="0"/>
        <w:numId w:val="1"/>
      </w:numPr>
      <w:jc w:val="left"/>
      <w:outlineLvl w:val="0"/>
    </w:pPr>
    <w:rPr>
      <w:rFonts w:ascii="仿宋" w:hAnsi="仿宋" w:eastAsia="仿宋" w:cs="Times New Roman"/>
      <w:b/>
      <w:bCs/>
      <w:color w:val="000000"/>
      <w:sz w:val="36"/>
      <w:szCs w:val="36"/>
    </w:rPr>
  </w:style>
  <w:style w:type="paragraph" w:styleId="4">
    <w:name w:val="heading 2"/>
    <w:basedOn w:val="1"/>
    <w:next w:val="1"/>
    <w:link w:val="24"/>
    <w:semiHidden/>
    <w:unhideWhenUsed/>
    <w:qFormat/>
    <w:uiPriority w:val="0"/>
    <w:pPr>
      <w:numPr>
        <w:ilvl w:val="1"/>
        <w:numId w:val="1"/>
      </w:numPr>
      <w:ind w:left="720" w:firstLine="0" w:firstLineChars="0"/>
      <w:jc w:val="left"/>
      <w:outlineLvl w:val="1"/>
    </w:pPr>
    <w:rPr>
      <w:rFonts w:ascii="仿宋" w:hAnsi="仿宋" w:cs="Times New Roman"/>
      <w:color w:val="000000"/>
      <w:sz w:val="32"/>
      <w:szCs w:val="32"/>
    </w:rPr>
  </w:style>
  <w:style w:type="paragraph" w:styleId="5">
    <w:name w:val="heading 3"/>
    <w:basedOn w:val="1"/>
    <w:next w:val="1"/>
    <w:link w:val="17"/>
    <w:semiHidden/>
    <w:unhideWhenUsed/>
    <w:qFormat/>
    <w:uiPriority w:val="0"/>
    <w:pPr>
      <w:numPr>
        <w:ilvl w:val="2"/>
        <w:numId w:val="1"/>
      </w:numPr>
      <w:ind w:left="1440" w:firstLine="0" w:firstLineChars="0"/>
      <w:jc w:val="left"/>
      <w:outlineLvl w:val="2"/>
    </w:pPr>
    <w:rPr>
      <w:rFonts w:ascii="仿宋" w:hAnsi="仿宋" w:cs="Times New Roman"/>
      <w:color w:val="000000"/>
      <w:sz w:val="30"/>
      <w:szCs w:val="32"/>
    </w:rPr>
  </w:style>
  <w:style w:type="paragraph" w:styleId="6">
    <w:name w:val="heading 4"/>
    <w:basedOn w:val="5"/>
    <w:next w:val="1"/>
    <w:link w:val="18"/>
    <w:semiHidden/>
    <w:unhideWhenUsed/>
    <w:qFormat/>
    <w:uiPriority w:val="0"/>
    <w:pPr>
      <w:numPr>
        <w:ilvl w:val="3"/>
      </w:numPr>
      <w:ind w:left="0" w:firstLine="0" w:firstLineChars="0"/>
      <w:jc w:val="left"/>
      <w:outlineLvl w:val="3"/>
    </w:pPr>
    <w:rPr>
      <w:sz w:val="28"/>
      <w:szCs w:val="28"/>
    </w:rPr>
  </w:style>
  <w:style w:type="paragraph" w:styleId="7">
    <w:name w:val="heading 5"/>
    <w:basedOn w:val="6"/>
    <w:next w:val="1"/>
    <w:link w:val="19"/>
    <w:semiHidden/>
    <w:unhideWhenUsed/>
    <w:qFormat/>
    <w:uiPriority w:val="0"/>
    <w:pPr>
      <w:numPr>
        <w:ilvl w:val="4"/>
      </w:numPr>
      <w:spacing w:line="360" w:lineRule="auto"/>
      <w:ind w:left="0"/>
      <w:jc w:val="left"/>
      <w:outlineLvl w:val="4"/>
    </w:pPr>
    <w:rPr>
      <w:rFonts w:eastAsia="宋体" w:cs="Times New Roman"/>
      <w:b/>
      <w:bCs/>
      <w:kern w:val="2"/>
      <w:sz w:val="24"/>
      <w:lang w:val="en-US" w:eastAsia="zh-CN" w:bidi="ar-SA"/>
    </w:rPr>
  </w:style>
  <w:style w:type="paragraph" w:styleId="8">
    <w:name w:val="heading 6"/>
    <w:basedOn w:val="7"/>
    <w:next w:val="1"/>
    <w:link w:val="20"/>
    <w:semiHidden/>
    <w:unhideWhenUsed/>
    <w:qFormat/>
    <w:uiPriority w:val="0"/>
    <w:pPr>
      <w:keepNext/>
      <w:keepLines/>
      <w:numPr>
        <w:ilvl w:val="5"/>
      </w:numPr>
      <w:tabs>
        <w:tab w:val="left" w:pos="0"/>
        <w:tab w:val="left" w:pos="1440"/>
      </w:tabs>
      <w:spacing w:before="120" w:beforeLines="0" w:beforeAutospacing="0" w:after="120" w:afterLines="0" w:afterAutospacing="0" w:line="360" w:lineRule="auto"/>
      <w:ind w:left="3600" w:firstLine="0" w:firstLineChars="0"/>
      <w:outlineLvl w:val="5"/>
    </w:pPr>
    <w:rPr>
      <w:rFonts w:ascii="Arial" w:hAnsi="Arial" w:eastAsia="宋体" w:cs="Arial"/>
      <w:snapToGrid w:val="0"/>
      <w:kern w:val="0"/>
      <w:sz w:val="21"/>
      <w:szCs w:val="21"/>
      <w:lang w:val="en-US" w:eastAsia="en-US" w:bidi="ar-SA"/>
    </w:rPr>
  </w:style>
  <w:style w:type="paragraph" w:styleId="9">
    <w:name w:val="heading 7"/>
    <w:basedOn w:val="1"/>
    <w:next w:val="1"/>
    <w:semiHidden/>
    <w:unhideWhenUsed/>
    <w:qFormat/>
    <w:uiPriority w:val="0"/>
    <w:pPr>
      <w:keepNext/>
      <w:keepLines/>
      <w:numPr>
        <w:ilvl w:val="6"/>
        <w:numId w:val="1"/>
      </w:numPr>
      <w:tabs>
        <w:tab w:val="left" w:pos="0"/>
        <w:tab w:val="left" w:pos="1800"/>
      </w:tabs>
      <w:spacing w:before="240" w:beforeLines="0" w:beforeAutospacing="0" w:after="64" w:afterLines="0" w:afterAutospacing="0" w:line="317" w:lineRule="auto"/>
      <w:ind w:left="4320" w:firstLine="0" w:firstLineChars="0"/>
      <w:outlineLvl w:val="6"/>
    </w:pPr>
    <w:rPr>
      <w:rFonts w:ascii="Arial" w:hAnsi="Arial" w:eastAsia="宋体" w:cs="Arial"/>
      <w:snapToGrid w:val="0"/>
      <w:color w:val="000000"/>
      <w:kern w:val="0"/>
      <w:sz w:val="24"/>
      <w:szCs w:val="21"/>
      <w:lang w:eastAsia="en-US"/>
    </w:rPr>
  </w:style>
  <w:style w:type="paragraph" w:styleId="10">
    <w:name w:val="heading 8"/>
    <w:basedOn w:val="1"/>
    <w:next w:val="1"/>
    <w:semiHidden/>
    <w:unhideWhenUsed/>
    <w:qFormat/>
    <w:uiPriority w:val="0"/>
    <w:pPr>
      <w:numPr>
        <w:ilvl w:val="7"/>
        <w:numId w:val="1"/>
      </w:numPr>
      <w:tabs>
        <w:tab w:val="left" w:pos="0"/>
      </w:tabs>
      <w:kinsoku w:val="0"/>
      <w:autoSpaceDE w:val="0"/>
      <w:autoSpaceDN w:val="0"/>
      <w:adjustRightInd w:val="0"/>
      <w:snapToGrid w:val="0"/>
      <w:ind w:left="5040" w:firstLine="0" w:firstLineChars="0"/>
      <w:jc w:val="left"/>
      <w:textAlignment w:val="baseline"/>
      <w:outlineLvl w:val="7"/>
    </w:pPr>
    <w:rPr>
      <w:rFonts w:ascii="Arial" w:hAnsi="Arial" w:eastAsia="宋体" w:cs="Arial"/>
      <w:snapToGrid/>
      <w:szCs w:val="24"/>
      <w:lang w:eastAsia="zh-CN" w:bidi="ar"/>
    </w:rPr>
  </w:style>
  <w:style w:type="paragraph" w:styleId="11">
    <w:name w:val="heading 9"/>
    <w:basedOn w:val="1"/>
    <w:next w:val="1"/>
    <w:semiHidden/>
    <w:unhideWhenUsed/>
    <w:qFormat/>
    <w:uiPriority w:val="0"/>
    <w:pPr>
      <w:keepNext/>
      <w:keepLines/>
      <w:numPr>
        <w:ilvl w:val="8"/>
        <w:numId w:val="2"/>
      </w:numPr>
      <w:tabs>
        <w:tab w:val="left" w:pos="0"/>
      </w:tabs>
      <w:spacing w:before="240" w:beforeLines="0" w:beforeAutospacing="0" w:after="64" w:afterLines="0" w:afterAutospacing="0" w:line="317" w:lineRule="auto"/>
      <w:ind w:left="1583" w:hanging="1583" w:firstLineChars="0"/>
      <w:outlineLvl w:val="8"/>
    </w:pPr>
    <w:rPr>
      <w:rFonts w:ascii="Arial" w:hAnsi="Arial" w:eastAsia="黑体"/>
      <w:sz w:val="21"/>
    </w:rPr>
  </w:style>
  <w:style w:type="character" w:default="1" w:styleId="15">
    <w:name w:val="Default Paragraph Font"/>
    <w:semiHidden/>
    <w:unhideWhenUsed/>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customStyle="1" w:styleId="2">
    <w:name w:val="首行缩进"/>
    <w:basedOn w:val="1"/>
    <w:unhideWhenUsed/>
    <w:qFormat/>
    <w:uiPriority w:val="0"/>
    <w:pPr>
      <w:ind w:firstLine="480" w:firstLineChars="200"/>
    </w:pPr>
    <w:rPr>
      <w:kern w:val="0"/>
      <w:szCs w:val="20"/>
      <w:lang w:val="zh-CN"/>
    </w:rPr>
  </w:style>
  <w:style w:type="paragraph" w:styleId="12">
    <w:name w:val="Body Text"/>
    <w:basedOn w:val="1"/>
    <w:next w:val="1"/>
    <w:qFormat/>
    <w:uiPriority w:val="0"/>
    <w:pPr>
      <w:spacing w:line="360" w:lineRule="auto"/>
      <w:ind w:firstLine="480" w:firstLineChars="200"/>
    </w:pPr>
    <w:rPr>
      <w:rFonts w:ascii="宋体" w:hAnsi="宋体" w:eastAsia="华文仿宋" w:cs="Times New Roman"/>
      <w:sz w:val="24"/>
      <w:szCs w:val="22"/>
    </w:rPr>
  </w:style>
  <w:style w:type="paragraph" w:styleId="13">
    <w:name w:val="Normal (Web)"/>
    <w:basedOn w:val="1"/>
    <w:qFormat/>
    <w:uiPriority w:val="99"/>
    <w:pPr>
      <w:widowControl/>
      <w:spacing w:before="100" w:beforeAutospacing="1" w:after="100" w:afterAutospacing="1"/>
      <w:jc w:val="left"/>
    </w:pPr>
    <w:rPr>
      <w:rFonts w:ascii="宋体" w:hAnsi="宋体"/>
      <w:kern w:val="0"/>
      <w:sz w:val="24"/>
    </w:rPr>
  </w:style>
  <w:style w:type="paragraph" w:customStyle="1" w:styleId="16">
    <w:name w:val="*正文"/>
    <w:basedOn w:val="1"/>
    <w:qFormat/>
    <w:uiPriority w:val="0"/>
    <w:pPr>
      <w:tabs>
        <w:tab w:val="left" w:pos="0"/>
      </w:tabs>
      <w:spacing w:line="360" w:lineRule="auto"/>
      <w:ind w:firstLine="883" w:firstLineChars="200"/>
    </w:pPr>
    <w:rPr>
      <w:rFonts w:ascii="宋体" w:hAnsi="宋体" w:eastAsia="宋体" w:cs="Arial"/>
      <w:snapToGrid w:val="0"/>
      <w:color w:val="000000"/>
      <w:kern w:val="0"/>
      <w:sz w:val="24"/>
      <w:szCs w:val="24"/>
      <w:lang w:eastAsia="en-US"/>
    </w:rPr>
  </w:style>
  <w:style w:type="character" w:customStyle="1" w:styleId="17">
    <w:name w:val="标题 3 Char"/>
    <w:link w:val="5"/>
    <w:qFormat/>
    <w:uiPriority w:val="0"/>
    <w:rPr>
      <w:rFonts w:ascii="宋体" w:hAnsi="宋体" w:eastAsia="宋体" w:cs="Times New Roman"/>
      <w:b/>
      <w:sz w:val="28"/>
    </w:rPr>
  </w:style>
  <w:style w:type="character" w:customStyle="1" w:styleId="18">
    <w:name w:val="标题 4 Char"/>
    <w:link w:val="6"/>
    <w:qFormat/>
    <w:uiPriority w:val="0"/>
    <w:rPr>
      <w:rFonts w:ascii="Cambria" w:hAnsi="Cambria" w:eastAsia="宋体" w:cs="Times New Roman"/>
      <w:snapToGrid w:val="0"/>
      <w:color w:val="000000"/>
      <w:kern w:val="2"/>
      <w:sz w:val="21"/>
      <w:szCs w:val="21"/>
      <w:lang w:val="en-US" w:eastAsia="en-US" w:bidi="ar-SA"/>
    </w:rPr>
  </w:style>
  <w:style w:type="character" w:customStyle="1" w:styleId="19">
    <w:name w:val="标题 5 Char"/>
    <w:link w:val="7"/>
    <w:qFormat/>
    <w:uiPriority w:val="0"/>
    <w:rPr>
      <w:rFonts w:ascii="Arial" w:hAnsi="Arial" w:eastAsia="宋体" w:cs="Times New Roman"/>
      <w:b/>
      <w:bCs/>
      <w:snapToGrid w:val="0"/>
      <w:color w:val="000000"/>
      <w:kern w:val="2"/>
      <w:sz w:val="21"/>
      <w:szCs w:val="30"/>
      <w:lang w:val="en-US" w:eastAsia="zh-CN" w:bidi="ar-SA"/>
    </w:rPr>
  </w:style>
  <w:style w:type="character" w:customStyle="1" w:styleId="20">
    <w:name w:val="标题 6 Char"/>
    <w:link w:val="8"/>
    <w:qFormat/>
    <w:uiPriority w:val="0"/>
    <w:rPr>
      <w:rFonts w:ascii="Arial" w:hAnsi="Arial" w:eastAsia="宋体" w:cs="Arial"/>
      <w:b/>
      <w:bCs/>
      <w:snapToGrid w:val="0"/>
      <w:color w:val="000000"/>
      <w:kern w:val="0"/>
      <w:sz w:val="21"/>
      <w:szCs w:val="21"/>
      <w:lang w:val="en-US" w:eastAsia="en-US" w:bidi="ar-SA"/>
    </w:rPr>
  </w:style>
  <w:style w:type="paragraph" w:customStyle="1" w:styleId="21">
    <w:name w:val="表格"/>
    <w:basedOn w:val="12"/>
    <w:qFormat/>
    <w:uiPriority w:val="0"/>
    <w:pPr>
      <w:spacing w:line="293" w:lineRule="auto"/>
    </w:pPr>
    <w:rPr>
      <w:rFonts w:ascii="Arial" w:hAnsi="Arial" w:eastAsia="宋体" w:cs="Arial"/>
      <w:snapToGrid w:val="0"/>
      <w:color w:val="000000"/>
      <w:kern w:val="0"/>
      <w:sz w:val="21"/>
      <w:szCs w:val="21"/>
      <w:lang w:eastAsia="en-US"/>
    </w:rPr>
  </w:style>
  <w:style w:type="paragraph" w:customStyle="1" w:styleId="22">
    <w:name w:val="表格-1"/>
    <w:basedOn w:val="1"/>
    <w:qFormat/>
    <w:uiPriority w:val="0"/>
    <w:pPr>
      <w:tabs>
        <w:tab w:val="left" w:pos="0"/>
      </w:tabs>
      <w:spacing w:line="240" w:lineRule="auto"/>
      <w:ind w:firstLine="0" w:firstLineChars="0"/>
    </w:pPr>
    <w:rPr>
      <w:rFonts w:hint="eastAsia" w:ascii="宋体" w:hAnsi="宋体" w:eastAsia="宋体" w:cs="宋体"/>
      <w:kern w:val="2"/>
      <w:szCs w:val="24"/>
      <w:lang w:eastAsia="zh-CN"/>
    </w:rPr>
  </w:style>
  <w:style w:type="character" w:customStyle="1" w:styleId="23">
    <w:name w:val="标题 1 字符"/>
    <w:basedOn w:val="15"/>
    <w:link w:val="3"/>
    <w:qFormat/>
    <w:uiPriority w:val="9"/>
    <w:rPr>
      <w:rFonts w:ascii="宋体" w:hAnsi="宋体" w:eastAsia="宋体" w:cs="Times New Roman"/>
      <w:b/>
      <w:bCs/>
      <w:snapToGrid w:val="0"/>
      <w:color w:val="2E54A1" w:themeColor="accent1" w:themeShade="BF"/>
      <w:kern w:val="44"/>
      <w:sz w:val="32"/>
      <w:szCs w:val="28"/>
      <w:lang w:eastAsia="zh-CN"/>
      <w14:ligatures w14:val="standardContextual"/>
    </w:rPr>
  </w:style>
  <w:style w:type="character" w:customStyle="1" w:styleId="24">
    <w:name w:val="Heading 2 Char"/>
    <w:basedOn w:val="15"/>
    <w:link w:val="4"/>
    <w:semiHidden/>
    <w:qFormat/>
    <w:uiPriority w:val="9"/>
    <w:rPr>
      <w:rFonts w:ascii="宋体" w:hAnsi="宋体" w:eastAsia="宋体" w:cs="Times New Roman"/>
      <w:bCs/>
      <w:color w:val="2E54A1" w:themeColor="accent1" w:themeShade="BF"/>
      <w:kern w:val="44"/>
      <w:sz w:val="21"/>
      <w:szCs w:val="32"/>
      <w:lang w:eastAsia="zh-CN"/>
      <w14:ligatures w14:val="standardContextual"/>
    </w:rPr>
  </w:style>
  <w:style w:type="paragraph" w:customStyle="1" w:styleId="25">
    <w:name w:val="表"/>
    <w:basedOn w:val="1"/>
    <w:qFormat/>
    <w:uiPriority w:val="0"/>
    <w:pPr>
      <w:ind w:firstLine="0" w:firstLineChars="0"/>
    </w:pPr>
  </w:style>
  <w:style w:type="paragraph" w:customStyle="1" w:styleId="26">
    <w:name w:val="样式16"/>
    <w:basedOn w:val="1"/>
    <w:qFormat/>
    <w:uiPriority w:val="0"/>
    <w:pPr>
      <w:numPr>
        <w:ilvl w:val="0"/>
        <w:numId w:val="3"/>
      </w:numPr>
      <w:snapToGrid w:val="0"/>
      <w:jc w:val="center"/>
    </w:pPr>
    <w:rPr>
      <w:rFonts w:ascii="宋体" w:hAnsi="宋体" w:cs="宋体"/>
      <w:kern w:val="0"/>
      <w:szCs w:val="21"/>
    </w:rPr>
  </w:style>
  <w:style w:type="paragraph" w:customStyle="1" w:styleId="27">
    <w:name w:val="1正文格式"/>
    <w:basedOn w:val="1"/>
    <w:qFormat/>
    <w:uiPriority w:val="0"/>
    <w:pPr>
      <w:adjustRightInd w:val="0"/>
      <w:snapToGrid w:val="0"/>
      <w:spacing w:line="300" w:lineRule="auto"/>
      <w:ind w:firstLine="480" w:firstLineChars="200"/>
      <w:textAlignment w:val="baseline"/>
    </w:pPr>
    <w:rPr>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宁夏回族自治区分公司</Company>
  <Pages>2</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2026-07-01T03:31:00Z</dcterms:created>
  <dc:creator>ͤ</dc:creator>
  <cp:lastModifiedBy>ͤ</cp:lastModifiedBy>
  <dcterms:modified xsi:type="dcterms:W3CDTF">2026-07-01T03:32:02Z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F0B4FA177CAA4677BE3F72F8DBD24B7D_11</vt:lpwstr>
  </property>
  <property fmtid="{D5CDD505-2E9C-101B-9397-08002B2CF9AE}" pid="4" name="KSOTemplateDocerSaveRecord">
    <vt:lpwstr>eyJoZGlkIjoiMzQyOTEzZjk5YzNiM2FhNjNlOTQ1ZWQyNTJjNjEyZWYiLCJ1c2VySWQiOiI5MTU1MjQzOTIifQ==</vt:lpwstr>
  </property>
</Properties>
</file>