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附件2：</w:t>
      </w:r>
    </w:p>
    <w:p>
      <w:pPr>
        <w:jc w:val="center"/>
        <w:rPr>
          <w:rFonts w:hint="eastAsia" w:ascii="宋体" w:hAnsi="宋体" w:eastAsia="宋体"/>
          <w:b/>
          <w:bCs/>
          <w:sz w:val="36"/>
          <w:szCs w:val="36"/>
          <w:highlight w:val="none"/>
          <w:lang w:val="en-US" w:eastAsia="zh-CN"/>
        </w:rPr>
      </w:pPr>
    </w:p>
    <w:p>
      <w:pPr>
        <w:jc w:val="center"/>
        <w:rPr>
          <w:rFonts w:hint="eastAsia" w:ascii="宋体" w:hAnsi="宋体"/>
          <w:b/>
          <w:sz w:val="36"/>
          <w:szCs w:val="36"/>
          <w:lang w:val="en-US" w:eastAsia="zh-CN"/>
        </w:rPr>
      </w:pPr>
      <w:r>
        <w:rPr>
          <w:rFonts w:hint="eastAsia" w:ascii="宋体" w:hAnsi="宋体" w:eastAsia="宋体"/>
          <w:b/>
          <w:sz w:val="36"/>
          <w:szCs w:val="36"/>
        </w:rPr>
        <w:t>“形势与政策”课修读</w:t>
      </w:r>
      <w:r>
        <w:rPr>
          <w:rFonts w:hint="eastAsia" w:ascii="宋体" w:hAnsi="宋体"/>
          <w:b/>
          <w:sz w:val="36"/>
          <w:szCs w:val="36"/>
          <w:lang w:val="en-US" w:eastAsia="zh-CN"/>
        </w:rPr>
        <w:t>要求</w:t>
      </w:r>
    </w:p>
    <w:p>
      <w:pPr>
        <w:jc w:val="center"/>
        <w:rPr>
          <w:rFonts w:hint="eastAsia" w:ascii="宋体" w:hAnsi="宋体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 w:ascii="宋体" w:hAnsi="宋体"/>
          <w:b/>
          <w:sz w:val="28"/>
          <w:szCs w:val="28"/>
          <w:lang w:eastAsia="zh-CN"/>
        </w:rPr>
        <w:t>（</w:t>
      </w:r>
      <w:r>
        <w:rPr>
          <w:rFonts w:hint="eastAsia" w:ascii="宋体" w:hAnsi="宋体" w:eastAsia="宋体"/>
          <w:b/>
          <w:bCs/>
          <w:sz w:val="28"/>
          <w:szCs w:val="28"/>
          <w:highlight w:val="none"/>
          <w:lang w:val="en-US" w:eastAsia="zh-CN"/>
        </w:rPr>
        <w:t>20</w:t>
      </w:r>
      <w:r>
        <w:rPr>
          <w:rFonts w:hint="eastAsia" w:ascii="宋体" w:hAnsi="宋体"/>
          <w:b/>
          <w:bCs/>
          <w:sz w:val="28"/>
          <w:szCs w:val="28"/>
          <w:highlight w:val="none"/>
          <w:lang w:val="en-US" w:eastAsia="zh-CN"/>
        </w:rPr>
        <w:t>22</w:t>
      </w:r>
      <w:r>
        <w:rPr>
          <w:rFonts w:hint="eastAsia" w:ascii="宋体" w:hAnsi="宋体" w:eastAsia="宋体"/>
          <w:b/>
          <w:bCs/>
          <w:sz w:val="28"/>
          <w:szCs w:val="28"/>
          <w:highlight w:val="none"/>
          <w:lang w:val="en-US" w:eastAsia="zh-CN"/>
        </w:rPr>
        <w:t>级</w:t>
      </w:r>
      <w:r>
        <w:rPr>
          <w:rFonts w:hint="eastAsia" w:ascii="宋体" w:hAnsi="宋体"/>
          <w:b/>
          <w:bCs/>
          <w:sz w:val="28"/>
          <w:szCs w:val="28"/>
          <w:highlight w:val="none"/>
          <w:lang w:val="en-US" w:eastAsia="zh-CN"/>
        </w:rPr>
        <w:t>）</w:t>
      </w:r>
    </w:p>
    <w:tbl>
      <w:tblPr>
        <w:tblStyle w:val="3"/>
        <w:tblpPr w:leftFromText="181" w:rightFromText="181" w:vertAnchor="text" w:horzAnchor="page" w:tblpX="955" w:tblpY="733"/>
        <w:tblOverlap w:val="never"/>
        <w:tblW w:w="10247" w:type="dxa"/>
        <w:tblCellSpacing w:w="0" w:type="dxa"/>
        <w:tblInd w:w="-66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93"/>
        <w:gridCol w:w="1396"/>
        <w:gridCol w:w="1950"/>
        <w:gridCol w:w="727"/>
        <w:gridCol w:w="4581"/>
      </w:tblGrid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0" w:hRule="atLeast"/>
          <w:tblCellSpacing w:w="0" w:type="dxa"/>
        </w:trPr>
        <w:tc>
          <w:tcPr>
            <w:tcW w:w="1593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2" w:space="0"/>
                  </wpsCustomData:diagonal>
                </wpsCustomData:diagonals>
              </mc:Choice>
            </mc:AlternateContent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16"/>
                <w:szCs w:val="16"/>
              </w:rPr>
            </w:pPr>
            <w:bookmarkStart w:id="0" w:name="_GoBack"/>
            <w:bookmarkEnd w:id="0"/>
          </w:p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6"/>
                <w:szCs w:val="16"/>
              </w:rPr>
              <w:t>各学期对应课程</w:t>
            </w:r>
          </w:p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-SA"/>
              </w:rPr>
              <w:t>修读要求</w:t>
            </w:r>
          </w:p>
        </w:tc>
        <w:tc>
          <w:tcPr>
            <w:tcW w:w="1396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6"/>
                <w:szCs w:val="16"/>
              </w:rPr>
              <w:t>学习方式</w:t>
            </w:r>
          </w:p>
        </w:tc>
        <w:tc>
          <w:tcPr>
            <w:tcW w:w="1950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6"/>
                <w:szCs w:val="16"/>
              </w:rPr>
              <w:t>学期成绩构成</w:t>
            </w:r>
          </w:p>
        </w:tc>
        <w:tc>
          <w:tcPr>
            <w:tcW w:w="727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6"/>
                <w:szCs w:val="16"/>
              </w:rPr>
              <w:t>对应</w:t>
            </w:r>
          </w:p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6"/>
                <w:szCs w:val="16"/>
              </w:rPr>
              <w:t>学分</w:t>
            </w:r>
          </w:p>
        </w:tc>
        <w:tc>
          <w:tcPr>
            <w:tcW w:w="4581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6"/>
                <w:szCs w:val="16"/>
              </w:rPr>
              <w:t>选课及重补修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  <w:tblCellSpacing w:w="0" w:type="dxa"/>
        </w:trPr>
        <w:tc>
          <w:tcPr>
            <w:tcW w:w="1593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学期一</w:t>
            </w:r>
          </w:p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形势与政策（一）</w:t>
            </w:r>
          </w:p>
        </w:tc>
        <w:tc>
          <w:tcPr>
            <w:tcW w:w="1396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线上8课时</w:t>
            </w:r>
          </w:p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+线下4课时</w:t>
            </w:r>
          </w:p>
        </w:tc>
        <w:tc>
          <w:tcPr>
            <w:tcW w:w="1950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视频学习及章测试40%</w:t>
            </w:r>
          </w:p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+课程论文60%</w:t>
            </w:r>
          </w:p>
        </w:tc>
        <w:tc>
          <w:tcPr>
            <w:tcW w:w="727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0.5</w:t>
            </w:r>
          </w:p>
        </w:tc>
        <w:tc>
          <w:tcPr>
            <w:tcW w:w="4581" w:type="dxa"/>
            <w:vMerge w:val="restart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</w:p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1</w:t>
            </w:r>
            <w:r>
              <w:rPr>
                <w:rFonts w:hint="eastAsia" w:cs="宋体"/>
                <w:color w:val="000000"/>
                <w:sz w:val="16"/>
                <w:szCs w:val="16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选课：第一至第六学期学生都必须选课及修读，成绩合格方可获得相应学分。</w:t>
            </w:r>
          </w:p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</w:p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2</w:t>
            </w:r>
            <w:r>
              <w:rPr>
                <w:rFonts w:hint="eastAsia" w:cs="宋体"/>
                <w:color w:val="000000"/>
                <w:sz w:val="16"/>
                <w:szCs w:val="16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重补修：参照《苏州大学普通高等教育本科生学籍管理办法（2022年修订）》（苏大教〔2022〕67号）</w:t>
            </w:r>
            <w:r>
              <w:rPr>
                <w:color w:val="0D0D0D"/>
                <w:sz w:val="16"/>
                <w:szCs w:val="16"/>
              </w:rPr>
              <w:t>文件</w:t>
            </w:r>
            <w:r>
              <w:rPr>
                <w:rFonts w:hint="eastAsia"/>
                <w:color w:val="0D0D0D"/>
                <w:sz w:val="16"/>
                <w:szCs w:val="16"/>
                <w:lang w:val="en-US" w:eastAsia="zh-CN"/>
              </w:rPr>
              <w:t>相关</w:t>
            </w:r>
            <w:r>
              <w:rPr>
                <w:color w:val="0D0D0D"/>
                <w:sz w:val="16"/>
                <w:szCs w:val="16"/>
              </w:rPr>
              <w:t>规定执行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。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  <w:tblCellSpacing w:w="0" w:type="dxa"/>
        </w:trPr>
        <w:tc>
          <w:tcPr>
            <w:tcW w:w="1593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学期二</w:t>
            </w:r>
          </w:p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形势与政策（二）</w:t>
            </w:r>
          </w:p>
        </w:tc>
        <w:tc>
          <w:tcPr>
            <w:tcW w:w="1396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线上8课时</w:t>
            </w:r>
          </w:p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+线下4课时</w:t>
            </w:r>
          </w:p>
        </w:tc>
        <w:tc>
          <w:tcPr>
            <w:tcW w:w="1950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视频学习及章测试40%</w:t>
            </w:r>
          </w:p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+课程论文60%</w:t>
            </w:r>
          </w:p>
        </w:tc>
        <w:tc>
          <w:tcPr>
            <w:tcW w:w="727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0.5</w:t>
            </w:r>
          </w:p>
        </w:tc>
        <w:tc>
          <w:tcPr>
            <w:tcW w:w="4581" w:type="dxa"/>
            <w:vMerge w:val="continue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  <w:tblCellSpacing w:w="0" w:type="dxa"/>
        </w:trPr>
        <w:tc>
          <w:tcPr>
            <w:tcW w:w="1593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学期三</w:t>
            </w:r>
          </w:p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形势与政策（三）</w:t>
            </w:r>
          </w:p>
        </w:tc>
        <w:tc>
          <w:tcPr>
            <w:tcW w:w="1396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线上8课时</w:t>
            </w:r>
          </w:p>
        </w:tc>
        <w:tc>
          <w:tcPr>
            <w:tcW w:w="1950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视频学习及章测试100%</w:t>
            </w:r>
          </w:p>
        </w:tc>
        <w:tc>
          <w:tcPr>
            <w:tcW w:w="727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0.25</w:t>
            </w:r>
          </w:p>
        </w:tc>
        <w:tc>
          <w:tcPr>
            <w:tcW w:w="4581" w:type="dxa"/>
            <w:vMerge w:val="continue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  <w:tblCellSpacing w:w="0" w:type="dxa"/>
        </w:trPr>
        <w:tc>
          <w:tcPr>
            <w:tcW w:w="1593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学期四</w:t>
            </w:r>
          </w:p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形势与政策（四）</w:t>
            </w:r>
          </w:p>
        </w:tc>
        <w:tc>
          <w:tcPr>
            <w:tcW w:w="1396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线上8课时</w:t>
            </w:r>
          </w:p>
        </w:tc>
        <w:tc>
          <w:tcPr>
            <w:tcW w:w="1950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视频学习及章测试100%</w:t>
            </w:r>
          </w:p>
        </w:tc>
        <w:tc>
          <w:tcPr>
            <w:tcW w:w="727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0.25</w:t>
            </w:r>
          </w:p>
        </w:tc>
        <w:tc>
          <w:tcPr>
            <w:tcW w:w="4581" w:type="dxa"/>
            <w:vMerge w:val="continue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  <w:tblCellSpacing w:w="0" w:type="dxa"/>
        </w:trPr>
        <w:tc>
          <w:tcPr>
            <w:tcW w:w="1593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学期五</w:t>
            </w:r>
          </w:p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形势与政策（五）</w:t>
            </w:r>
          </w:p>
        </w:tc>
        <w:tc>
          <w:tcPr>
            <w:tcW w:w="1396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线上8课时</w:t>
            </w:r>
          </w:p>
        </w:tc>
        <w:tc>
          <w:tcPr>
            <w:tcW w:w="1950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视频学习及章测试100%</w:t>
            </w:r>
          </w:p>
        </w:tc>
        <w:tc>
          <w:tcPr>
            <w:tcW w:w="727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0.25</w:t>
            </w:r>
          </w:p>
        </w:tc>
        <w:tc>
          <w:tcPr>
            <w:tcW w:w="4581" w:type="dxa"/>
            <w:vMerge w:val="continue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  <w:tblCellSpacing w:w="0" w:type="dxa"/>
        </w:trPr>
        <w:tc>
          <w:tcPr>
            <w:tcW w:w="1593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学期六</w:t>
            </w:r>
          </w:p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形势与政策（六）</w:t>
            </w:r>
          </w:p>
        </w:tc>
        <w:tc>
          <w:tcPr>
            <w:tcW w:w="1396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线上8课时</w:t>
            </w:r>
          </w:p>
        </w:tc>
        <w:tc>
          <w:tcPr>
            <w:tcW w:w="1950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视频学习及章测试100%</w:t>
            </w:r>
          </w:p>
        </w:tc>
        <w:tc>
          <w:tcPr>
            <w:tcW w:w="727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0.25</w:t>
            </w:r>
          </w:p>
        </w:tc>
        <w:tc>
          <w:tcPr>
            <w:tcW w:w="4581" w:type="dxa"/>
            <w:vMerge w:val="continue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  <w:tblCellSpacing w:w="0" w:type="dxa"/>
        </w:trPr>
        <w:tc>
          <w:tcPr>
            <w:tcW w:w="1593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学期七</w:t>
            </w:r>
          </w:p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形势与政策（七）</w:t>
            </w:r>
          </w:p>
        </w:tc>
        <w:tc>
          <w:tcPr>
            <w:tcW w:w="1396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线上8课时</w:t>
            </w:r>
          </w:p>
        </w:tc>
        <w:tc>
          <w:tcPr>
            <w:tcW w:w="1950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  <w:lang w:eastAsia="zh-CN"/>
              </w:rPr>
            </w:pPr>
            <w:r>
              <w:rPr>
                <w:rFonts w:hint="eastAsia" w:cs="宋体"/>
                <w:color w:val="000000"/>
                <w:sz w:val="16"/>
                <w:szCs w:val="16"/>
                <w:lang w:val="en-US" w:eastAsia="zh-CN"/>
              </w:rPr>
              <w:t>/</w:t>
            </w:r>
          </w:p>
        </w:tc>
        <w:tc>
          <w:tcPr>
            <w:tcW w:w="727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0</w:t>
            </w:r>
          </w:p>
        </w:tc>
        <w:tc>
          <w:tcPr>
            <w:tcW w:w="4581" w:type="dxa"/>
            <w:vMerge w:val="restart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eastAsia" w:cs="宋体"/>
                <w:color w:val="000000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四年制学生第七至第八学期，五年制学生第七至第十学期为自愿选课及修读，不计学期成绩及总成绩</w:t>
            </w:r>
            <w:r>
              <w:rPr>
                <w:rFonts w:hint="eastAsia" w:cs="宋体"/>
                <w:color w:val="000000"/>
                <w:sz w:val="16"/>
                <w:szCs w:val="16"/>
                <w:lang w:eastAsia="zh-CN"/>
              </w:rPr>
              <w:t>。</w:t>
            </w:r>
          </w:p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  <w:lang w:eastAsia="zh-CN"/>
              </w:rPr>
            </w:pP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  <w:tblCellSpacing w:w="0" w:type="dxa"/>
        </w:trPr>
        <w:tc>
          <w:tcPr>
            <w:tcW w:w="1593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学期八</w:t>
            </w:r>
          </w:p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形势与政策（八）</w:t>
            </w:r>
          </w:p>
        </w:tc>
        <w:tc>
          <w:tcPr>
            <w:tcW w:w="1396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线上8课时</w:t>
            </w:r>
          </w:p>
        </w:tc>
        <w:tc>
          <w:tcPr>
            <w:tcW w:w="1950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sz w:val="16"/>
                <w:szCs w:val="16"/>
                <w:lang w:val="en-US" w:eastAsia="zh-CN"/>
              </w:rPr>
              <w:t>/</w:t>
            </w:r>
          </w:p>
        </w:tc>
        <w:tc>
          <w:tcPr>
            <w:tcW w:w="727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0</w:t>
            </w:r>
          </w:p>
        </w:tc>
        <w:tc>
          <w:tcPr>
            <w:tcW w:w="4581" w:type="dxa"/>
            <w:vMerge w:val="continue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  <w:tblCellSpacing w:w="0" w:type="dxa"/>
        </w:trPr>
        <w:tc>
          <w:tcPr>
            <w:tcW w:w="1593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学期九</w:t>
            </w:r>
          </w:p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形势与政策（九）</w:t>
            </w:r>
          </w:p>
        </w:tc>
        <w:tc>
          <w:tcPr>
            <w:tcW w:w="1396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线上8课时</w:t>
            </w:r>
          </w:p>
        </w:tc>
        <w:tc>
          <w:tcPr>
            <w:tcW w:w="1950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sz w:val="16"/>
                <w:szCs w:val="16"/>
                <w:lang w:val="en-US" w:eastAsia="zh-CN"/>
              </w:rPr>
              <w:t>/</w:t>
            </w:r>
          </w:p>
        </w:tc>
        <w:tc>
          <w:tcPr>
            <w:tcW w:w="727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0</w:t>
            </w:r>
          </w:p>
        </w:tc>
        <w:tc>
          <w:tcPr>
            <w:tcW w:w="4581" w:type="dxa"/>
            <w:vMerge w:val="continue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  <w:tblCellSpacing w:w="0" w:type="dxa"/>
        </w:trPr>
        <w:tc>
          <w:tcPr>
            <w:tcW w:w="1593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学期十</w:t>
            </w:r>
          </w:p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形势与政策（十）</w:t>
            </w:r>
          </w:p>
        </w:tc>
        <w:tc>
          <w:tcPr>
            <w:tcW w:w="1396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线上8课时</w:t>
            </w:r>
          </w:p>
        </w:tc>
        <w:tc>
          <w:tcPr>
            <w:tcW w:w="1950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sz w:val="16"/>
                <w:szCs w:val="16"/>
                <w:lang w:val="en-US" w:eastAsia="zh-CN"/>
              </w:rPr>
              <w:t>/</w:t>
            </w:r>
          </w:p>
        </w:tc>
        <w:tc>
          <w:tcPr>
            <w:tcW w:w="727" w:type="dxa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  <w:t>0</w:t>
            </w:r>
          </w:p>
        </w:tc>
        <w:tc>
          <w:tcPr>
            <w:tcW w:w="4581" w:type="dxa"/>
            <w:vMerge w:val="continue"/>
            <w:tcBorders>
              <w:tl2br w:val="nil"/>
              <w:tr2bl w:val="nil"/>
            </w:tcBorders>
            <w:shd w:val="clear" w:color="auto" w:fill="FFFFFF"/>
            <w:noWrap w:val="0"/>
            <w:tcMar>
              <w:left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lMTI4NTZhNjUyOGEzY2U1NGRkOWYxNDQ0MjlmYWIifQ=="/>
  </w:docVars>
  <w:rsids>
    <w:rsidRoot w:val="733A322E"/>
    <w:rsid w:val="733A3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2022-10-17T08:24:00Z</dcterms:created>
  <dc:creator>Z＇</dc:creator>
  <cp:lastModifiedBy>Z＇</cp:lastModifiedBy>
  <dcterms:modified xsi:type="dcterms:W3CDTF">2022-10-17T08:25:21Z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0C4A01A993454597AAFA74C41B62980A</vt:lpwstr>
  </property>
</Properties>
</file>