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contextualSpacing/>
        <w:jc w:val="center"/>
        <w:rPr>
          <w:rFonts w:ascii="Times New Roman" w:hAnsi="Times New Roman" w:eastAsia="Times New Roman" w:cs="Times New Roman"/>
          <w:b/>
          <w:sz w:val="24"/>
          <w:szCs w:val="24"/>
          <w:u w:val="single"/>
          <w:lang w:val="pt-BR" w:eastAsia="pt-BR"/>
        </w:rPr>
      </w:pPr>
      <w:r>
        <w:rPr>
          <w:rFonts w:eastAsia="Times New Roman" w:cs="Times New Roman" w:ascii="Times New Roman" w:hAnsi="Times New Roman"/>
          <w:b/>
          <w:sz w:val="24"/>
          <w:szCs w:val="24"/>
          <w:u w:val="single"/>
          <w:lang w:val="pt-BR" w:eastAsia="pt-BR"/>
        </w:rPr>
        <w:t>RELATORIO DE COMPROVAÇÃO DE APROVEITAMENTO DE APRENDIZADO</w:t>
      </w:r>
    </w:p>
    <w:p>
      <w:pPr>
        <w:pStyle w:val="Normal"/>
        <w:spacing w:lineRule="auto" w:line="360" w:before="0" w:after="0"/>
        <w:contextualSpacing/>
        <w:jc w:val="center"/>
        <w:rPr>
          <w:rFonts w:ascii="Times New Roman" w:hAnsi="Times New Roman" w:eastAsia="Times New Roman" w:cs="Times New Roman"/>
          <w:b/>
          <w:bCs/>
          <w:sz w:val="24"/>
          <w:szCs w:val="24"/>
          <w:u w:val="single"/>
          <w:lang w:val="pt-BR" w:eastAsia="pt-BR"/>
        </w:rPr>
      </w:pPr>
      <w:r>
        <w:rPr>
          <w:rFonts w:eastAsia="Times New Roman" w:cs="Times New Roman" w:ascii="Times New Roman" w:hAnsi="Times New Roman"/>
          <w:b/>
          <w:bCs/>
          <w:sz w:val="24"/>
          <w:szCs w:val="24"/>
          <w:u w:val="single"/>
          <w:lang w:val="pt-BR" w:eastAsia="pt-BR"/>
        </w:rPr>
      </w:r>
    </w:p>
    <w:p>
      <w:pPr>
        <w:pStyle w:val="Normal"/>
        <w:spacing w:lineRule="auto" w:line="360" w:before="0" w:after="0"/>
        <w:ind w:firstLine="851" w:end="0"/>
        <w:contextualSpacing/>
        <w:jc w:val="both"/>
        <w:rPr/>
      </w:pPr>
      <w:r>
        <w:rPr>
          <w:rFonts w:cs="Times New Roman" w:ascii="Times New Roman" w:hAnsi="Times New Roman"/>
          <w:bCs/>
          <w:sz w:val="24"/>
          <w:szCs w:val="24"/>
          <w:lang w:val="pt-BR"/>
        </w:rPr>
        <w:t>O Projeto Brasil I.A Móvel – Inclusão Digital a partir de Tecnologias do Futuro é uma iniciativa da Secretaria de Ciência, Tecnologia, Inovação e Educação Profissional (SECTI), desenvolvida em parceria com o Instituto Nacional de Empoderamento Social e Qualificação – INESQ. O projeto tem como objetivo promover a inclusão digital e o acesso às novas tecnologias, por meio da oferta de oficinas práticas nas áreas de Inteligência Artificial (IA), Desenvolvimento de Games, Internet das Coisas (IoT) e Big Data.</w:t>
      </w:r>
    </w:p>
    <w:p>
      <w:pPr>
        <w:pStyle w:val="Normal"/>
        <w:spacing w:lineRule="auto" w:line="360" w:before="0" w:after="0"/>
        <w:ind w:firstLine="851" w:end="0"/>
        <w:contextualSpacing/>
        <w:jc w:val="both"/>
        <w:rPr>
          <w:rFonts w:ascii="Times New Roman" w:hAnsi="Times New Roman" w:cs="Times New Roman"/>
          <w:bCs/>
          <w:sz w:val="24"/>
          <w:szCs w:val="24"/>
          <w:lang w:val="pt-BR"/>
        </w:rPr>
      </w:pPr>
      <w:r>
        <w:rPr>
          <w:rFonts w:cs="Times New Roman" w:ascii="Times New Roman" w:hAnsi="Times New Roman"/>
          <w:bCs/>
          <w:sz w:val="24"/>
          <w:szCs w:val="24"/>
          <w:lang w:val="pt-BR"/>
        </w:rPr>
        <w:t>As ações são executadas em quatro unidades móveis, cada uma com capacidade para atender até 200 alunos por mês, totalizando aproximadamente 800 participantes atendidos mensalmente. As oficinas são realizadas de forma simultânea e prática, permitindo aos alunos vivenciar o uso das tecnologias do futuro em atividades aplicadas ao cotidiano.</w:t>
      </w:r>
    </w:p>
    <w:p>
      <w:pPr>
        <w:pStyle w:val="Normal"/>
        <w:spacing w:lineRule="auto" w:line="360" w:before="0" w:after="0"/>
        <w:ind w:firstLine="851" w:end="0"/>
        <w:contextualSpacing/>
        <w:jc w:val="both"/>
        <w:rPr/>
      </w:pPr>
      <w:r>
        <w:rPr>
          <w:rFonts w:cs="Times New Roman" w:ascii="Times New Roman" w:hAnsi="Times New Roman"/>
          <w:bCs/>
          <w:sz w:val="24"/>
          <w:szCs w:val="24"/>
          <w:lang w:val="pt-BR"/>
        </w:rPr>
        <w:t>O presente relatório tem como finalidade comprovar o aproveitamento do aprendizado e apresentar as ações formativas desenvolvidas nas quatro unidades móveis do Projeto Brasil I.A Móvel, durante o mês de __MESANO__, nas cidades de __CIDADE1__.</w:t>
      </w:r>
    </w:p>
    <w:p>
      <w:pPr>
        <w:pStyle w:val="Normal"/>
        <w:spacing w:lineRule="auto" w:line="360" w:before="0" w:after="0"/>
        <w:ind w:firstLine="851" w:end="0"/>
        <w:contextualSpacing/>
        <w:jc w:val="both"/>
        <w:rPr>
          <w:rFonts w:ascii="Times New Roman" w:hAnsi="Times New Roman" w:cs="Times New Roman"/>
          <w:bCs/>
          <w:sz w:val="24"/>
          <w:szCs w:val="24"/>
          <w:lang w:val="pt-BR"/>
        </w:rPr>
      </w:pPr>
      <w:r>
        <w:rPr>
          <w:rFonts w:cs="Times New Roman" w:ascii="Times New Roman" w:hAnsi="Times New Roman"/>
          <w:bCs/>
          <w:sz w:val="24"/>
          <w:szCs w:val="24"/>
          <w:lang w:val="pt-BR"/>
        </w:rPr>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UNIDADE MÓVEL: __CIDADE2__</w:t>
      </w:r>
    </w:p>
    <w:p>
      <w:pPr>
        <w:pStyle w:val="Normal"/>
        <w:tabs>
          <w:tab w:val="clear" w:pos="720"/>
          <w:tab w:val="left" w:pos="3119" w:leader="none"/>
        </w:tabs>
        <w:spacing w:lineRule="auto" w:line="360"/>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tabs>
          <w:tab w:val="clear" w:pos="720"/>
          <w:tab w:val="left" w:pos="3119" w:leader="none"/>
        </w:tabs>
        <w:spacing w:lineRule="auto" w:line="360"/>
        <w:rPr>
          <w:rFonts w:ascii="Times New Roman" w:hAnsi="Times New Roman" w:cs="Times New Roman"/>
          <w:b/>
          <w:bCs/>
          <w:sz w:val="24"/>
          <w:szCs w:val="24"/>
          <w:lang w:val="pt-BR"/>
        </w:rPr>
      </w:pPr>
      <w:r>
        <w:rPr>
          <w:rFonts w:cs="Times New Roman" w:ascii="Times New Roman" w:hAnsi="Times New Roman"/>
          <w:b/>
          <w:bCs/>
          <w:sz w:val="24"/>
          <w:szCs w:val="24"/>
          <w:lang w:val="pt-BR"/>
        </w:rPr>
        <w:t xml:space="preserve">REGISTRO DE ATIVIDADES AVALIATIVAS </w:t>
      </w:r>
    </w:p>
    <w:p>
      <w:pPr>
        <w:pStyle w:val="Normal"/>
        <w:tabs>
          <w:tab w:val="clear" w:pos="720"/>
          <w:tab w:val="left" w:pos="3119" w:leader="none"/>
        </w:tabs>
        <w:spacing w:lineRule="auto" w:line="360"/>
        <w:rPr>
          <w:rFonts w:ascii="Times New Roman" w:hAnsi="Times New Roman" w:cs="Times New Roman"/>
          <w:b/>
          <w:bCs/>
          <w:sz w:val="24"/>
          <w:szCs w:val="24"/>
          <w:lang w:val="pt-BR"/>
        </w:rPr>
      </w:pPr>
      <w:r>
        <w:rPr>
          <w:rFonts w:cs="Times New Roman" w:ascii="Times New Roman" w:hAnsi="Times New Roman"/>
          <w:b/>
          <w:bCs/>
          <w:sz w:val="24"/>
          <w:szCs w:val="24"/>
          <w:lang w:val="pt-BR"/>
        </w:rPr>
        <w:t>__TURMAS__</w:t>
      </w:r>
    </w:p>
    <w:p>
      <w:pPr>
        <w:pStyle w:val="Normal"/>
        <w:tabs>
          <w:tab w:val="clear" w:pos="720"/>
          <w:tab w:val="left" w:pos="3119" w:leader="none"/>
        </w:tabs>
        <w:spacing w:lineRule="auto" w:line="360"/>
        <w:rPr/>
      </w:pPr>
      <w:r>
        <w:rPr>
          <w:rFonts w:cs="Times New Roman" w:ascii="Times New Roman" w:hAnsi="Times New Roman"/>
          <w:b/>
          <w:bCs/>
          <w:sz w:val="24"/>
          <w:szCs w:val="24"/>
          <w:lang w:val="pt-BR"/>
        </w:rPr>
        <w:t>Brasília, __DATA_ASSINATURA__.</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____________________________________________</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Ana Carolina Santana de Meneses</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Coordenadora Técnica</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Projeto Brasil IA</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_____________________________________________</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Renato da Costa Moutinho</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Diretor Presidente</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 xml:space="preserve">INESQ – Instituto Nacional de Empoderamento Social e Qualificação </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t>CNPJ 07.881.916/0001-47</w:t>
      </w:r>
    </w:p>
    <w:p>
      <w:pPr>
        <w:pStyle w:val="Normal"/>
        <w:tabs>
          <w:tab w:val="clear" w:pos="720"/>
          <w:tab w:val="left" w:pos="3119" w:leader="none"/>
        </w:tabs>
        <w:spacing w:lineRule="auto" w:line="360"/>
        <w:jc w:val="center"/>
        <w:rPr>
          <w:rFonts w:ascii="Times New Roman" w:hAnsi="Times New Roman" w:cs="Times New Roman"/>
          <w:b/>
          <w:bCs/>
          <w:sz w:val="24"/>
          <w:szCs w:val="24"/>
          <w:lang w:val="pt-BR"/>
        </w:rPr>
      </w:pPr>
      <w:r>
        <w:rPr>
          <w:rFonts w:cs="Times New Roman" w:ascii="Times New Roman" w:hAnsi="Times New Roman"/>
          <w:b/>
          <w:bCs/>
          <w:sz w:val="24"/>
          <w:szCs w:val="24"/>
          <w:lang w:val="pt-BR"/>
        </w:rPr>
      </w:r>
    </w:p>
    <w:sectPr>
      <w:headerReference w:type="default" r:id="rId2"/>
      <w:footerReference w:type="default" r:id="rId3"/>
      <w:type w:val="nextPage"/>
      <w:pgSz w:w="11906" w:h="16838"/>
      <w:pgMar w:left="1134" w:right="580" w:gutter="0" w:header="142" w:top="2552" w:footer="38" w:bottom="141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center" w:pos="5103" w:leader="none"/>
        <w:tab w:val="right" w:pos="10206" w:leader="none"/>
      </w:tabs>
      <w:jc w:val="center"/>
      <w:rPr>
        <w:lang w:val="pt-BR"/>
      </w:rPr>
    </w:pPr>
    <w:r>
      <w:rPr>
        <w:lang w:val="pt-BR"/>
      </w:rPr>
    </w:r>
  </w:p>
  <w:p>
    <w:pPr>
      <w:pStyle w:val="Footer"/>
      <w:tabs>
        <w:tab w:val="clear" w:pos="720"/>
        <w:tab w:val="center" w:pos="5103" w:leader="none"/>
        <w:tab w:val="right" w:pos="10206" w:leader="none"/>
      </w:tabs>
      <w:jc w:val="center"/>
      <w:rPr>
        <w:lang w:val="pt-BR"/>
      </w:rPr>
    </w:pPr>
    <w:r>
      <w:rPr>
        <w:lang w:val="pt-BR"/>
      </w:rPr>
    </w:r>
  </w:p>
  <w:p>
    <w:pPr>
      <w:pStyle w:val="Footer"/>
      <w:tabs>
        <w:tab w:val="clear" w:pos="720"/>
        <w:tab w:val="center" w:pos="5103" w:leader="none"/>
        <w:tab w:val="right" w:pos="10206" w:leader="none"/>
      </w:tabs>
      <w:jc w:val="center"/>
      <w:rPr>
        <w:lang w:val="pt-BR"/>
      </w:rPr>
    </w:pPr>
    <w:r>
      <w:rPr>
        <w:lang w:val="pt-BR"/>
      </w:rPr>
      <w:t>SRTVN, Lote P, Ed. Brasília Rádio Center, 1º subsolo, AKZO COWORKING, sala 13</w:t>
    </w:r>
  </w:p>
  <w:p>
    <w:pPr>
      <w:pStyle w:val="Footer"/>
      <w:tabs>
        <w:tab w:val="clear" w:pos="720"/>
        <w:tab w:val="center" w:pos="5103" w:leader="none"/>
        <w:tab w:val="right" w:pos="10206" w:leader="none"/>
      </w:tabs>
      <w:jc w:val="center"/>
      <w:rPr>
        <w:lang w:val="pt-BR"/>
      </w:rPr>
    </w:pPr>
    <w:r>
      <w:rPr>
        <w:lang w:val="pt-BR"/>
      </w:rPr>
      <w:t>Asa Norte – Brasília DF – 70719-900</w:t>
    </w:r>
  </w:p>
  <w:p>
    <w:pPr>
      <w:pStyle w:val="Footer"/>
      <w:tabs>
        <w:tab w:val="clear" w:pos="720"/>
        <w:tab w:val="center" w:pos="5103" w:leader="none"/>
        <w:tab w:val="right" w:pos="10206" w:leader="none"/>
      </w:tabs>
      <w:jc w:val="center"/>
      <w:rPr>
        <w:lang w:val="pt-BR"/>
      </w:rPr>
    </w:pPr>
    <w:r>
      <w:rPr>
        <w:lang w:val="pt-BR"/>
      </w:rPr>
    </w:r>
  </w:p>
  <w:p>
    <w:pPr>
      <w:pStyle w:val="Footer"/>
      <w:tabs>
        <w:tab w:val="clear" w:pos="720"/>
        <w:tab w:val="center" w:pos="5103" w:leader="none"/>
        <w:tab w:val="right" w:pos="10206" w:leader="none"/>
      </w:tabs>
      <w:jc w:val="end"/>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behindDoc="1" distT="0" distB="0" distL="0" distR="0" simplePos="0" locked="0" layoutInCell="0" allowOverlap="1" relativeHeight="29">
          <wp:simplePos x="0" y="0"/>
          <wp:positionH relativeFrom="margin">
            <wp:posOffset>-5564505</wp:posOffset>
          </wp:positionH>
          <wp:positionV relativeFrom="page">
            <wp:posOffset>-635</wp:posOffset>
          </wp:positionV>
          <wp:extent cx="5564505" cy="3542665"/>
          <wp:effectExtent l="0" t="0" r="0" b="0"/>
          <wp:wrapNone/>
          <wp:docPr id="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title=""/>
                  <pic:cNvPicPr>
                    <a:picLocks noChangeAspect="1" noChangeArrowheads="1"/>
                  </pic:cNvPicPr>
                </pic:nvPicPr>
                <pic:blipFill>
                  <a:blip r:embed="rId1"/>
                  <a:srcRect l="-3" t="-5" r="-3" b="-5"/>
                  <a:stretch>
                    <a:fillRect/>
                  </a:stretch>
                </pic:blipFill>
                <pic:spPr bwMode="auto">
                  <a:xfrm>
                    <a:off x="0" y="0"/>
                    <a:ext cx="5564505" cy="3542665"/>
                  </a:xfrm>
                  <a:prstGeom prst="rect">
                    <a:avLst/>
                  </a:prstGeom>
                </pic:spPr>
              </pic:pic>
            </a:graphicData>
          </a:graphic>
        </wp:anchor>
      </w:drawing>
    </w:r>
    <w:r>
      <w:rPr/>
      <w:tab/>
      <w:tab/>
      <w:tab/>
      <w:tab/>
      <w:tab/>
      <w:tab/>
      <w:t xml:space="preserve">     </w:t>
      <w:tab/>
      <w:t xml:space="preserve">     </w:t>
    </w:r>
    <w:r>
      <w:rPr/>
      <w:drawing>
        <wp:inline distT="0" distB="0" distL="0" distR="0">
          <wp:extent cx="6096000" cy="609600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6" t="-6" r="-6" b="-6"/>
                  <a:stretch>
                    <a:fillRect/>
                  </a:stretch>
                </pic:blipFill>
                <pic:spPr bwMode="auto">
                  <a:xfrm>
                    <a:off x="0" y="0"/>
                    <a:ext cx="6096000" cy="6096000"/>
                  </a:xfrm>
                  <a:prstGeom prst="rect">
                    <a:avLst/>
                  </a:prstGeom>
                </pic:spPr>
              </pic:pic>
            </a:graphicData>
          </a:graphic>
        </wp:inline>
      </w:drawing>
    </w: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alibri" w:hAnsi="Calibri" w:eastAsia="Calibri" w:cs="Calibri"/>
      <w:color w:val="auto"/>
      <w:sz w:val="22"/>
      <w:szCs w:val="22"/>
      <w:lang w:val="pt-PT" w:bidi="ar-SA" w:eastAsia="zh-CN"/>
    </w:rPr>
  </w:style>
  <w:style w:type="paragraph" w:styleId="Heading1">
    <w:name w:val="Heading 1"/>
    <w:basedOn w:val="Normal"/>
    <w:next w:val="BodyText"/>
    <w:qFormat/>
    <w:pPr>
      <w:numPr>
        <w:ilvl w:val="0"/>
        <w:numId w:val="1"/>
      </w:numPr>
      <w:ind w:hanging="0" w:start="1184" w:end="0"/>
      <w:outlineLvl w:val="0"/>
    </w:pPr>
    <w:rPr>
      <w:b/>
      <w:bCs/>
      <w:sz w:val="28"/>
      <w:szCs w:val="28"/>
    </w:rPr>
  </w:style>
  <w:style w:type="paragraph" w:styleId="Heading2">
    <w:name w:val="Heading 2"/>
    <w:basedOn w:val="Normal"/>
    <w:next w:val="BodyText"/>
    <w:qFormat/>
    <w:pPr>
      <w:numPr>
        <w:ilvl w:val="1"/>
        <w:numId w:val="1"/>
      </w:numPr>
      <w:ind w:hanging="0" w:start="1184" w:end="0"/>
      <w:outlineLvl w:val="1"/>
    </w:pPr>
    <w:rPr>
      <w:b/>
      <w:bCs/>
      <w:sz w:val="24"/>
      <w:szCs w:val="24"/>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eastAsia="Symbol" w:cs="Symbol"/>
      <w:b w:val="false"/>
      <w:bCs w:val="false"/>
      <w:i w:val="false"/>
      <w:iCs w:val="false"/>
      <w:spacing w:val="0"/>
      <w:w w:val="100"/>
      <w:sz w:val="24"/>
      <w:szCs w:val="24"/>
      <w:lang w:val="pt-PT" w:bidi="ar-SA"/>
    </w:rPr>
  </w:style>
  <w:style w:type="character" w:styleId="WW8Num2z1">
    <w:name w:val="WW8Num2z1"/>
    <w:qFormat/>
    <w:rPr>
      <w:lang w:val="pt-PT" w:bidi="ar-SA"/>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Calibri" w:hAnsi="Calibri" w:eastAsia="Calibri" w:cs="Calibri"/>
      <w:b w:val="false"/>
      <w:bCs w:val="false"/>
      <w:i w:val="false"/>
      <w:iCs w:val="false"/>
      <w:spacing w:val="0"/>
      <w:w w:val="100"/>
      <w:sz w:val="22"/>
      <w:szCs w:val="22"/>
      <w:lang w:val="pt-PT" w:bidi="ar-SA"/>
    </w:rPr>
  </w:style>
  <w:style w:type="character" w:styleId="WW8Num5z1">
    <w:name w:val="WW8Num5z1"/>
    <w:qFormat/>
    <w:rPr>
      <w:lang w:val="pt-PT" w:bidi="ar-SA"/>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Wingdings" w:hAnsi="Wingdings" w:eastAsia="Wingdings" w:cs="Wingdings"/>
      <w:b w:val="false"/>
      <w:bCs w:val="false"/>
      <w:i w:val="false"/>
      <w:iCs w:val="false"/>
      <w:spacing w:val="0"/>
      <w:w w:val="129"/>
      <w:sz w:val="24"/>
      <w:szCs w:val="24"/>
      <w:lang w:val="pt-PT" w:bidi="ar-SA"/>
    </w:rPr>
  </w:style>
  <w:style w:type="character" w:styleId="WW8Num7z1">
    <w:name w:val="WW8Num7z1"/>
    <w:qFormat/>
    <w:rPr>
      <w:lang w:val="pt-PT" w:bidi="ar-SA"/>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Calibri" w:hAnsi="Calibri" w:eastAsia="Calibri" w:cs="Calibri"/>
      <w:b/>
      <w:bCs/>
      <w:i w:val="false"/>
      <w:iCs w:val="false"/>
      <w:spacing w:val="-1"/>
      <w:w w:val="100"/>
      <w:sz w:val="24"/>
      <w:szCs w:val="24"/>
      <w:lang w:val="pt-PT" w:bidi="ar-SA"/>
    </w:rPr>
  </w:style>
  <w:style w:type="character" w:styleId="WW8Num9z1">
    <w:name w:val="WW8Num9z1"/>
    <w:qFormat/>
    <w:rPr>
      <w:lang w:val="pt-PT" w:bidi="ar-SA"/>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Times New Roman"/>
      <w:sz w:val="20"/>
    </w:rPr>
  </w:style>
  <w:style w:type="character" w:styleId="WW8Num11z2">
    <w:name w:val="WW8Num11z2"/>
    <w:qFormat/>
    <w:rPr>
      <w:rFonts w:ascii="Wingdings" w:hAnsi="Wingdings" w:cs="Wingdings"/>
      <w:sz w:val="20"/>
    </w:rPr>
  </w:style>
  <w:style w:type="character" w:styleId="WW8Num12z0">
    <w:name w:val="WW8Num12z0"/>
    <w:qFormat/>
    <w:rPr>
      <w:rFonts w:ascii="Wingdings" w:hAnsi="Wingdings" w:eastAsia="Wingdings" w:cs="Wingdings"/>
      <w:spacing w:val="0"/>
      <w:w w:val="100"/>
      <w:lang w:val="pt-PT" w:bidi="ar-SA"/>
    </w:rPr>
  </w:style>
  <w:style w:type="character" w:styleId="WW8Num12z1">
    <w:name w:val="WW8Num12z1"/>
    <w:qFormat/>
    <w:rPr>
      <w:rFonts w:ascii="Wingdings" w:hAnsi="Wingdings" w:eastAsia="Wingdings" w:cs="Wingdings"/>
      <w:b w:val="false"/>
      <w:bCs w:val="false"/>
      <w:i w:val="false"/>
      <w:iCs w:val="false"/>
      <w:spacing w:val="0"/>
      <w:w w:val="100"/>
      <w:sz w:val="24"/>
      <w:szCs w:val="24"/>
      <w:lang w:val="pt-PT" w:bidi="ar-SA"/>
    </w:rPr>
  </w:style>
  <w:style w:type="character" w:styleId="WW8Num12z2">
    <w:name w:val="WW8Num12z2"/>
    <w:qFormat/>
    <w:rPr>
      <w:lang w:val="pt-PT" w:bidi="ar-SA"/>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Calibri" w:hAnsi="Calibri" w:eastAsia="Calibri" w:cs="Calibri"/>
      <w:b/>
      <w:bCs/>
      <w:i w:val="false"/>
      <w:iCs w:val="false"/>
      <w:spacing w:val="-1"/>
      <w:w w:val="100"/>
      <w:sz w:val="24"/>
      <w:szCs w:val="24"/>
      <w:lang w:val="pt-PT" w:bidi="ar-SA"/>
    </w:rPr>
  </w:style>
  <w:style w:type="character" w:styleId="WW8Num14z1">
    <w:name w:val="WW8Num14z1"/>
    <w:qFormat/>
    <w:rPr>
      <w:lang w:val="pt-PT" w:bidi="ar-SA"/>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Wingdings" w:hAnsi="Wingdings" w:eastAsia="Wingdings" w:cs="Wingdings"/>
      <w:b w:val="false"/>
      <w:bCs w:val="false"/>
      <w:i w:val="false"/>
      <w:iCs w:val="false"/>
      <w:spacing w:val="0"/>
      <w:w w:val="100"/>
      <w:sz w:val="24"/>
      <w:szCs w:val="24"/>
      <w:lang w:val="pt-PT" w:bidi="ar-SA"/>
    </w:rPr>
  </w:style>
  <w:style w:type="character" w:styleId="WW8Num17z3">
    <w:name w:val="WW8Num17z3"/>
    <w:qFormat/>
    <w:rPr>
      <w:lang w:val="pt-PT" w:bidi="ar-SA"/>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Calibri" w:hAnsi="Calibri" w:eastAsia="Calibri" w:cs="Calibri"/>
      <w:b/>
      <w:bCs/>
      <w:i w:val="false"/>
      <w:iCs w:val="false"/>
      <w:spacing w:val="-1"/>
      <w:w w:val="100"/>
      <w:sz w:val="24"/>
      <w:szCs w:val="24"/>
      <w:lang w:val="pt-PT" w:bidi="ar-SA"/>
    </w:rPr>
  </w:style>
  <w:style w:type="character" w:styleId="WW8Num19z1">
    <w:name w:val="WW8Num19z1"/>
    <w:qFormat/>
    <w:rPr>
      <w:lang w:val="pt-PT" w:bidi="ar-SA"/>
    </w:rPr>
  </w:style>
  <w:style w:type="character" w:styleId="Fontepargpadro">
    <w:name w:val="Fonte parág. padrão"/>
    <w:qFormat/>
    <w:rPr/>
  </w:style>
  <w:style w:type="character" w:styleId="Hyperlink">
    <w:name w:val="Hyperlink"/>
    <w:rPr>
      <w:color w:val="0000FF"/>
      <w:u w:val="single"/>
    </w:rPr>
  </w:style>
  <w:style w:type="character" w:styleId="MenoPendente">
    <w:name w:val="Menção Pendente"/>
    <w:qFormat/>
    <w:rPr>
      <w:color w:val="605E5C"/>
      <w:shd w:fill="E1DFDD" w:val="clear"/>
    </w:rPr>
  </w:style>
  <w:style w:type="character" w:styleId="markedcontent">
    <w:name w:val="markedcontent"/>
    <w:basedOn w:val="Fontepargpadro"/>
    <w:qFormat/>
    <w:rPr/>
  </w:style>
  <w:style w:type="character" w:styleId="CorpodetextoChar">
    <w:name w:val="Corpo de texto Char"/>
    <w:qFormat/>
    <w:rPr>
      <w:rFonts w:ascii="Calibri" w:hAnsi="Calibri" w:eastAsia="Calibri" w:cs="Calibri"/>
      <w:sz w:val="24"/>
      <w:szCs w:val="24"/>
      <w:lang w:val="pt-PT"/>
    </w:rPr>
  </w:style>
  <w:style w:type="character" w:styleId="CabealhoChar">
    <w:name w:val="Cabeçalho Char"/>
    <w:qFormat/>
    <w:rPr>
      <w:rFonts w:ascii="Calibri" w:hAnsi="Calibri" w:eastAsia="Calibri" w:cs="Calibri"/>
      <w:lang w:val="pt-PT"/>
    </w:rPr>
  </w:style>
  <w:style w:type="character" w:styleId="RodapChar">
    <w:name w:val="Rodapé Char"/>
    <w:qFormat/>
    <w:rPr>
      <w:rFonts w:ascii="Calibri" w:hAnsi="Calibri" w:eastAsia="Calibri" w:cs="Calibri"/>
      <w:lang w:val="pt-PT"/>
    </w:rPr>
  </w:style>
  <w:style w:type="character" w:styleId="Strong">
    <w:name w:val="Strong"/>
    <w:qFormat/>
    <w:rPr>
      <w:b/>
      <w:bCs/>
    </w:rPr>
  </w:style>
  <w:style w:type="paragraph" w:styleId="Heading">
    <w:name w:val="Heading"/>
    <w:basedOn w:val="Normal"/>
    <w:next w:val="BodyText"/>
    <w:qFormat/>
    <w:pPr>
      <w:ind w:hanging="0" w:start="328" w:end="311"/>
      <w:jc w:val="center"/>
    </w:pPr>
    <w:rPr>
      <w:b/>
      <w:bCs/>
      <w:sz w:val="56"/>
      <w:szCs w:val="56"/>
    </w:rPr>
  </w:style>
  <w:style w:type="paragraph" w:styleId="BodyText">
    <w:name w:val="Body Text"/>
    <w:basedOn w:val="Normal"/>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pPr>
      <w:spacing w:before="121" w:after="0"/>
      <w:ind w:hanging="0" w:start="1184" w:end="0"/>
    </w:pPr>
    <w:rPr/>
  </w:style>
  <w:style w:type="paragraph" w:styleId="TOC2">
    <w:name w:val="TOC 2"/>
    <w:basedOn w:val="Normal"/>
    <w:pPr>
      <w:spacing w:before="120" w:after="0"/>
      <w:ind w:hanging="0" w:start="1402" w:end="0"/>
    </w:pPr>
    <w:rPr/>
  </w:style>
  <w:style w:type="paragraph" w:styleId="PargrafodaLista">
    <w:name w:val="Parágrafo da Lista"/>
    <w:basedOn w:val="Normal"/>
    <w:qFormat/>
    <w:pPr>
      <w:ind w:hanging="359" w:start="1538" w:end="0"/>
    </w:pPr>
    <w:rPr/>
  </w:style>
  <w:style w:type="paragraph" w:styleId="TableParagraph">
    <w:name w:val="Table Paragraph"/>
    <w:basedOn w:val="Normal"/>
    <w:qFormat/>
    <w:pPr>
      <w:jc w:val="center"/>
    </w:pPr>
    <w:rPr/>
  </w:style>
  <w:style w:type="paragraph" w:styleId="NormalWeb">
    <w:name w:val="Normal (Web)"/>
    <w:basedOn w:val="Normal"/>
    <w:qFormat/>
    <w:pPr>
      <w:widowControl/>
      <w:autoSpaceDE w:val="true"/>
      <w:spacing w:before="280" w:after="280"/>
    </w:pPr>
    <w:rPr>
      <w:rFonts w:ascii="Times New Roman" w:hAnsi="Times New Roman" w:eastAsia="Times New Roman" w:cs="Times New Roman"/>
      <w:sz w:val="24"/>
      <w:szCs w:val="24"/>
      <w:lang w:val="pt-BR"/>
    </w:rPr>
  </w:style>
  <w:style w:type="paragraph" w:styleId="hb">
    <w:name w:val="hb"/>
    <w:basedOn w:val="Normal"/>
    <w:qFormat/>
    <w:pPr>
      <w:widowControl/>
      <w:autoSpaceDE w:val="true"/>
      <w:spacing w:before="280" w:after="280"/>
    </w:pPr>
    <w:rPr>
      <w:rFonts w:ascii="Times New Roman" w:hAnsi="Times New Roman" w:eastAsia="Times New Roman" w:cs="Times New Roman"/>
      <w:sz w:val="24"/>
      <w:szCs w:val="24"/>
      <w:lang w:val="pt-BR"/>
    </w:rPr>
  </w:style>
  <w:style w:type="paragraph" w:styleId="SemEspaamento">
    <w:name w:val="Sem Espaçamento"/>
    <w:qFormat/>
    <w:pPr>
      <w:widowControl w:val="false"/>
      <w:autoSpaceDE w:val="false"/>
      <w:bidi w:val="0"/>
    </w:pPr>
    <w:rPr>
      <w:rFonts w:ascii="Calibri" w:hAnsi="Calibri" w:eastAsia="Calibri" w:cs="Calibri"/>
      <w:color w:val="auto"/>
      <w:sz w:val="22"/>
      <w:szCs w:val="22"/>
      <w:lang w:val="pt-PT"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Default">
    <w:name w:val="Default"/>
    <w:qFormat/>
    <w:pPr>
      <w:widowControl/>
      <w:autoSpaceDE w:val="false"/>
      <w:bidi w:val="0"/>
    </w:pPr>
    <w:rPr>
      <w:rFonts w:ascii="Calibri" w:hAnsi="Calibri" w:eastAsia="Calibri" w:cs="Calibri"/>
      <w:color w:val="000000"/>
      <w:sz w:val="24"/>
      <w:szCs w:val="24"/>
      <w:lang w:val="pt-BR"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2025-10-13T14:41:00Z</dcterms:created>
  <dc:creator>Jadiel Teles Neves</dc:creator>
  <dc:description/>
  <cp:keywords/>
  <dc:language>en-US</dc:language>
  <cp:lastModifiedBy>BSBIA-PEDAG-D</cp:lastModifiedBy>
  <cp:lastPrinted>2025-10-13T14:47:00Z</cp:lastPrinted>
  <dcterms:modified xsi:type="dcterms:W3CDTF">2026-02-25T14:11:00Z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2023-06-04T00:00:00Z</vt:filetime>
  </property>
  <property fmtid="{D5CDD505-2E9C-101B-9397-08002B2CF9AE}" pid="3" name="Creator">
    <vt:lpwstr>Microsoft® Word para Microsoft 365</vt:lpwstr>
  </property>
  <property fmtid="{D5CDD505-2E9C-101B-9397-08002B2CF9AE}" pid="4" name="LastSaved">
    <vt:filetime>2023-11-22T00:00:00Z</vt:filetime>
  </property>
  <property fmtid="{D5CDD505-2E9C-101B-9397-08002B2CF9AE}" pid="5" name="Producer">
    <vt:lpwstr>Microsoft® Word para Microsoft 365</vt:lpwstr>
  </property>
</Properties>
</file>