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02ADC1" w14:textId="6E03BC9E" w:rsidR="00A13079" w:rsidRPr="002D6ADD" w:rsidRDefault="001E62FB" w:rsidP="00CD58D7">
      <w:pPr>
        <w:spacing w:line="276" w:lineRule="auto"/>
        <w:rPr>
          <w:rFonts w:ascii="Times New Roman" w:eastAsia="Times New Roman" w:hAnsi="Times New Roman" w:cs="Times New Roman"/>
          <w:b/>
          <w:bCs/>
          <w:color w:val="000000"/>
          <w:kern w:val="0"/>
          <w14:ligatures w14:val="none"/>
        </w:rPr>
      </w:pPr>
      <w:r w:rsidRPr="002D6ADD">
        <w:rPr>
          <w:rFonts w:ascii="Times New Roman" w:eastAsia="Times New Roman" w:hAnsi="Times New Roman" w:cs="Times New Roman"/>
          <w:b/>
          <w:bCs/>
          <w:color w:val="000000"/>
          <w:kern w:val="0"/>
          <w14:ligatures w14:val="none"/>
        </w:rPr>
        <w:t>The Impact of Trade Agreements on Sectoral Productivity in Developing Countries</w:t>
      </w:r>
    </w:p>
    <w:p w14:paraId="3B33763C" w14:textId="77777777" w:rsidR="001E62FB" w:rsidRPr="002D6ADD" w:rsidRDefault="001E62FB" w:rsidP="00CD58D7">
      <w:pPr>
        <w:spacing w:line="276" w:lineRule="auto"/>
        <w:rPr>
          <w:rFonts w:ascii="Times New Roman" w:eastAsia="Times New Roman" w:hAnsi="Times New Roman" w:cs="Times New Roman"/>
          <w:b/>
          <w:bCs/>
          <w:color w:val="000000"/>
          <w:kern w:val="0"/>
          <w14:ligatures w14:val="none"/>
        </w:rPr>
      </w:pPr>
    </w:p>
    <w:p w14:paraId="3555AAF0" w14:textId="0DC1D11B" w:rsidR="001E62FB" w:rsidRPr="002D6ADD" w:rsidRDefault="001E62FB" w:rsidP="00CD58D7">
      <w:pPr>
        <w:spacing w:line="276" w:lineRule="auto"/>
        <w:rPr>
          <w:rFonts w:ascii="Times New Roman" w:eastAsia="Times New Roman" w:hAnsi="Times New Roman" w:cs="Times New Roman"/>
          <w:b/>
          <w:bCs/>
          <w:color w:val="000000"/>
          <w:kern w:val="0"/>
          <w14:ligatures w14:val="none"/>
        </w:rPr>
      </w:pPr>
      <w:r w:rsidRPr="002D6ADD">
        <w:rPr>
          <w:rFonts w:ascii="Times New Roman" w:eastAsia="Times New Roman" w:hAnsi="Times New Roman" w:cs="Times New Roman"/>
          <w:b/>
          <w:bCs/>
          <w:color w:val="000000"/>
          <w:kern w:val="0"/>
          <w14:ligatures w14:val="none"/>
        </w:rPr>
        <w:t>Introduction</w:t>
      </w:r>
    </w:p>
    <w:p w14:paraId="3FEA3F3A" w14:textId="77777777" w:rsidR="001E62FB" w:rsidRPr="002D6ADD" w:rsidRDefault="001E62FB" w:rsidP="00CD58D7">
      <w:pPr>
        <w:spacing w:line="276" w:lineRule="auto"/>
        <w:rPr>
          <w:rFonts w:ascii="Times New Roman" w:eastAsia="Times New Roman" w:hAnsi="Times New Roman" w:cs="Times New Roman"/>
          <w:b/>
          <w:bCs/>
          <w:color w:val="000000"/>
          <w:kern w:val="0"/>
          <w14:ligatures w14:val="none"/>
        </w:rPr>
      </w:pPr>
    </w:p>
    <w:p w14:paraId="440D1F67" w14:textId="77777777" w:rsidR="001E62FB" w:rsidRPr="002D6ADD" w:rsidRDefault="001E62FB" w:rsidP="00CD58D7">
      <w:pPr>
        <w:spacing w:line="276" w:lineRule="auto"/>
        <w:rPr>
          <w:rFonts w:ascii="Times New Roman" w:eastAsia="Times New Roman" w:hAnsi="Times New Roman" w:cs="Times New Roman"/>
          <w:b/>
          <w:bCs/>
          <w:color w:val="000000"/>
          <w:kern w:val="0"/>
          <w14:ligatures w14:val="none"/>
        </w:rPr>
      </w:pPr>
    </w:p>
    <w:p w14:paraId="687FF955" w14:textId="77777777" w:rsidR="001E62FB" w:rsidRPr="002D6ADD" w:rsidRDefault="001E62FB" w:rsidP="00CD58D7">
      <w:pPr>
        <w:spacing w:line="276" w:lineRule="auto"/>
        <w:rPr>
          <w:rFonts w:ascii="Times New Roman" w:eastAsia="Times New Roman" w:hAnsi="Times New Roman" w:cs="Times New Roman"/>
          <w:b/>
          <w:bCs/>
          <w:color w:val="000000"/>
          <w:kern w:val="0"/>
          <w14:ligatures w14:val="none"/>
        </w:rPr>
      </w:pPr>
    </w:p>
    <w:p w14:paraId="12966F03" w14:textId="5EDB15EC" w:rsidR="001E62FB" w:rsidRPr="002D6ADD" w:rsidRDefault="001E62FB" w:rsidP="00CD58D7">
      <w:pPr>
        <w:spacing w:line="276" w:lineRule="auto"/>
        <w:rPr>
          <w:rFonts w:ascii="Times New Roman" w:eastAsia="Times New Roman" w:hAnsi="Times New Roman" w:cs="Times New Roman"/>
          <w:b/>
          <w:bCs/>
          <w:color w:val="000000"/>
          <w:kern w:val="0"/>
          <w14:ligatures w14:val="none"/>
        </w:rPr>
      </w:pPr>
      <w:r w:rsidRPr="002D6ADD">
        <w:rPr>
          <w:rFonts w:ascii="Times New Roman" w:eastAsia="Times New Roman" w:hAnsi="Times New Roman" w:cs="Times New Roman"/>
          <w:b/>
          <w:bCs/>
          <w:color w:val="000000"/>
          <w:kern w:val="0"/>
          <w14:ligatures w14:val="none"/>
        </w:rPr>
        <w:t>Data and Methodology.</w:t>
      </w:r>
    </w:p>
    <w:p w14:paraId="0B49238E" w14:textId="44CA683D" w:rsidR="001E62FB" w:rsidRPr="002D6ADD" w:rsidRDefault="001E62FB" w:rsidP="00CD58D7">
      <w:pPr>
        <w:spacing w:line="276" w:lineRule="auto"/>
        <w:rPr>
          <w:rFonts w:ascii="Times New Roman" w:eastAsia="Times New Roman" w:hAnsi="Times New Roman" w:cs="Times New Roman"/>
          <w:b/>
          <w:bCs/>
          <w:color w:val="000000"/>
          <w:kern w:val="0"/>
          <w14:ligatures w14:val="none"/>
        </w:rPr>
      </w:pPr>
      <w:r w:rsidRPr="002D6ADD">
        <w:rPr>
          <w:rFonts w:ascii="Times New Roman" w:eastAsia="Times New Roman" w:hAnsi="Times New Roman" w:cs="Times New Roman"/>
          <w:b/>
          <w:bCs/>
          <w:color w:val="000000"/>
          <w:kern w:val="0"/>
          <w14:ligatures w14:val="none"/>
        </w:rPr>
        <w:t>Data</w:t>
      </w:r>
    </w:p>
    <w:p w14:paraId="02654B0E" w14:textId="5CCDFBFC" w:rsidR="00131895" w:rsidRPr="002D6ADD" w:rsidRDefault="00ED40FD" w:rsidP="00CD58D7">
      <w:pPr>
        <w:spacing w:line="276" w:lineRule="auto"/>
        <w:rPr>
          <w:rFonts w:ascii="Times New Roman" w:hAnsi="Times New Roman" w:cs="Times New Roman"/>
          <w:color w:val="000000"/>
        </w:rPr>
      </w:pPr>
      <w:r w:rsidRPr="002D6ADD">
        <w:rPr>
          <w:rFonts w:ascii="Times New Roman" w:eastAsia="Times New Roman" w:hAnsi="Times New Roman" w:cs="Times New Roman"/>
          <w:color w:val="000000"/>
          <w:kern w:val="0"/>
          <w14:ligatures w14:val="none"/>
        </w:rPr>
        <w:t xml:space="preserve">Data on bilateral trade agreements are obtained from the updated version of the dataset provided by </w:t>
      </w:r>
      <w:r w:rsidRPr="002D6ADD">
        <w:rPr>
          <w:rFonts w:ascii="Times New Roman" w:eastAsia="Times New Roman" w:hAnsi="Times New Roman" w:cs="Times New Roman"/>
          <w:color w:val="000000"/>
          <w:kern w:val="0"/>
          <w14:ligatures w14:val="none"/>
        </w:rPr>
        <w:fldChar w:fldCharType="begin"/>
      </w:r>
      <w:r w:rsidR="00CE3C65">
        <w:rPr>
          <w:rFonts w:ascii="Times New Roman" w:eastAsia="Times New Roman" w:hAnsi="Times New Roman" w:cs="Times New Roman"/>
          <w:color w:val="000000"/>
          <w:kern w:val="0"/>
          <w14:ligatures w14:val="none"/>
        </w:rPr>
        <w:instrText xml:space="preserve"> ADDIN ZOTERO_ITEM CSL_CITATION {"citationID":"ye6lWzky","properties":{"unsorted":false,"formattedCitation":"(Baier, 2011)","plainCitation":"(Baier, 2011)","dontUpdate":true,"noteIndex":0},"citationItems":[{"id":559,"uris":["http://zotero.org/users/local/FU1BXf8o/items/B5ZYHF99"],"itemData":{"id":559,"type":"book","source":"Google Scholar","title":"Economic Integration Agreements: Historical database of entry into Economic Integration Agreements, 1960-2000","title-short":"Economic Integration Agreements","author":[{"family":"Baier","given":"Scott L."}],"issued":{"date-parts":[["2011"]]}}}],"schema":"https://github.com/citation-style-language/schema/raw/master/csl-citation.json"} </w:instrText>
      </w:r>
      <w:r w:rsidRPr="002D6ADD">
        <w:rPr>
          <w:rFonts w:ascii="Times New Roman" w:eastAsia="Times New Roman" w:hAnsi="Times New Roman" w:cs="Times New Roman"/>
          <w:color w:val="000000"/>
          <w:kern w:val="0"/>
          <w14:ligatures w14:val="none"/>
        </w:rPr>
        <w:fldChar w:fldCharType="separate"/>
      </w:r>
      <w:r w:rsidRPr="002D6ADD">
        <w:rPr>
          <w:rFonts w:ascii="Times New Roman" w:eastAsia="Times New Roman" w:hAnsi="Times New Roman" w:cs="Times New Roman"/>
          <w:noProof/>
          <w:color w:val="000000"/>
          <w:kern w:val="0"/>
          <w14:ligatures w14:val="none"/>
        </w:rPr>
        <w:t>Baier (2011)</w:t>
      </w:r>
      <w:r w:rsidRPr="002D6ADD">
        <w:rPr>
          <w:rFonts w:ascii="Times New Roman" w:eastAsia="Times New Roman" w:hAnsi="Times New Roman" w:cs="Times New Roman"/>
          <w:color w:val="000000"/>
          <w:kern w:val="0"/>
          <w14:ligatures w14:val="none"/>
        </w:rPr>
        <w:fldChar w:fldCharType="end"/>
      </w:r>
      <w:r w:rsidRPr="002D6ADD">
        <w:rPr>
          <w:rFonts w:ascii="Times New Roman" w:eastAsia="Times New Roman" w:hAnsi="Times New Roman" w:cs="Times New Roman"/>
          <w:color w:val="000000"/>
          <w:kern w:val="0"/>
          <w14:ligatures w14:val="none"/>
        </w:rPr>
        <w:t xml:space="preserve"> , which tracks bilateral trade agreements across country pairs between 1950 and 2017</w:t>
      </w:r>
      <w:r w:rsidR="00E47758" w:rsidRPr="002D6ADD">
        <w:rPr>
          <w:rFonts w:ascii="Times New Roman" w:eastAsia="Times New Roman" w:hAnsi="Times New Roman" w:cs="Times New Roman"/>
          <w:color w:val="000000"/>
          <w:kern w:val="0"/>
          <w14:ligatures w14:val="none"/>
        </w:rPr>
        <w:t xml:space="preserve">. The dataset contains about 195 countries. Between country pairs, </w:t>
      </w:r>
      <w:r w:rsidR="00556083" w:rsidRPr="002D6ADD">
        <w:rPr>
          <w:rFonts w:ascii="Times New Roman" w:eastAsia="Times New Roman" w:hAnsi="Times New Roman" w:cs="Times New Roman"/>
          <w:color w:val="000000"/>
          <w:kern w:val="0"/>
          <w14:ligatures w14:val="none"/>
        </w:rPr>
        <w:t>trade agreements are ranked from 1 to 6, increasing in the extent of trade openness</w:t>
      </w:r>
      <w:r w:rsidR="004363DD" w:rsidRPr="002D6ADD">
        <w:rPr>
          <w:rFonts w:ascii="Times New Roman" w:eastAsia="Times New Roman" w:hAnsi="Times New Roman" w:cs="Times New Roman"/>
          <w:color w:val="000000"/>
          <w:kern w:val="0"/>
          <w14:ligatures w14:val="none"/>
        </w:rPr>
        <w:t>. The trade agreements captured include Preferential Trade Agreements (PTAs)</w:t>
      </w:r>
      <w:r w:rsidR="00556083" w:rsidRPr="002D6ADD">
        <w:rPr>
          <w:rFonts w:ascii="Times New Roman" w:eastAsia="Times New Roman" w:hAnsi="Times New Roman" w:cs="Times New Roman"/>
          <w:color w:val="000000"/>
          <w:kern w:val="0"/>
          <w14:ligatures w14:val="none"/>
        </w:rPr>
        <w:t xml:space="preserve">, </w:t>
      </w:r>
      <w:r w:rsidR="004363DD" w:rsidRPr="002D6ADD">
        <w:rPr>
          <w:rFonts w:ascii="Times New Roman" w:eastAsia="Times New Roman" w:hAnsi="Times New Roman" w:cs="Times New Roman"/>
          <w:color w:val="000000"/>
          <w:kern w:val="0"/>
          <w14:ligatures w14:val="none"/>
        </w:rPr>
        <w:t>Non-Reciprocal Preferential Trade Agreements (NR-PTA</w:t>
      </w:r>
      <w:r w:rsidR="00823ACA" w:rsidRPr="002D6ADD">
        <w:rPr>
          <w:rFonts w:ascii="Times New Roman" w:eastAsia="Times New Roman" w:hAnsi="Times New Roman" w:cs="Times New Roman"/>
          <w:color w:val="000000"/>
          <w:kern w:val="0"/>
          <w14:ligatures w14:val="none"/>
        </w:rPr>
        <w:t>s</w:t>
      </w:r>
      <w:r w:rsidR="004363DD" w:rsidRPr="002D6ADD">
        <w:rPr>
          <w:rFonts w:ascii="Times New Roman" w:eastAsia="Times New Roman" w:hAnsi="Times New Roman" w:cs="Times New Roman"/>
          <w:color w:val="000000"/>
          <w:kern w:val="0"/>
          <w14:ligatures w14:val="none"/>
        </w:rPr>
        <w:t>), Free Trade Agreements (FTAs), Customs Unions (CUs), Common Markets (CMs), and Economic Unions</w:t>
      </w:r>
      <w:r w:rsidR="00823ACA" w:rsidRPr="002D6ADD">
        <w:rPr>
          <w:rFonts w:ascii="Times New Roman" w:eastAsia="Times New Roman" w:hAnsi="Times New Roman" w:cs="Times New Roman"/>
          <w:color w:val="000000"/>
          <w:kern w:val="0"/>
          <w14:ligatures w14:val="none"/>
        </w:rPr>
        <w:t xml:space="preserve"> (EUNs). </w:t>
      </w:r>
    </w:p>
    <w:p w14:paraId="2C6957CB" w14:textId="2D85EA1D" w:rsidR="006A0F11" w:rsidRDefault="006A0F11" w:rsidP="00CD58D7">
      <w:pPr>
        <w:spacing w:line="276" w:lineRule="auto"/>
        <w:rPr>
          <w:rFonts w:ascii="Times New Roman" w:hAnsi="Times New Roman" w:cs="Times New Roman"/>
          <w:color w:val="000000"/>
        </w:rPr>
      </w:pPr>
      <w:r w:rsidRPr="002D6ADD">
        <w:rPr>
          <w:rFonts w:ascii="Times New Roman" w:hAnsi="Times New Roman" w:cs="Times New Roman"/>
          <w:color w:val="000000"/>
        </w:rPr>
        <w:t xml:space="preserve">Since our focus is on the impact of trade agreements on sectoral productivity in developing countries, </w:t>
      </w:r>
      <w:r w:rsidR="0084738E" w:rsidRPr="002D6ADD">
        <w:rPr>
          <w:rFonts w:ascii="Times New Roman" w:hAnsi="Times New Roman" w:cs="Times New Roman"/>
          <w:color w:val="000000"/>
        </w:rPr>
        <w:t xml:space="preserve">we extract only developing-developed country </w:t>
      </w:r>
      <w:r w:rsidR="002B5B23">
        <w:rPr>
          <w:rFonts w:ascii="Times New Roman" w:hAnsi="Times New Roman" w:cs="Times New Roman"/>
          <w:color w:val="000000"/>
        </w:rPr>
        <w:t>dyads</w:t>
      </w:r>
      <w:r w:rsidR="0084738E" w:rsidRPr="002D6ADD">
        <w:rPr>
          <w:rFonts w:ascii="Times New Roman" w:hAnsi="Times New Roman" w:cs="Times New Roman"/>
          <w:color w:val="000000"/>
        </w:rPr>
        <w:t xml:space="preserve"> from the dataset. We </w:t>
      </w:r>
      <w:r w:rsidR="00EA0127" w:rsidRPr="002D6ADD">
        <w:rPr>
          <w:rFonts w:ascii="Times New Roman" w:hAnsi="Times New Roman" w:cs="Times New Roman"/>
          <w:color w:val="000000"/>
        </w:rPr>
        <w:t>follow the World Bank income classification</w:t>
      </w:r>
      <w:r w:rsidR="002D6ADD">
        <w:rPr>
          <w:rFonts w:ascii="Times New Roman" w:hAnsi="Times New Roman" w:cs="Times New Roman"/>
          <w:color w:val="000000"/>
        </w:rPr>
        <w:t xml:space="preserve"> </w:t>
      </w:r>
      <w:r w:rsidR="002D6ADD">
        <w:rPr>
          <w:rFonts w:ascii="Times New Roman" w:hAnsi="Times New Roman" w:cs="Times New Roman"/>
          <w:color w:val="000000"/>
        </w:rPr>
        <w:fldChar w:fldCharType="begin"/>
      </w:r>
      <w:r w:rsidR="002D6ADD">
        <w:rPr>
          <w:rFonts w:ascii="Times New Roman" w:hAnsi="Times New Roman" w:cs="Times New Roman"/>
          <w:color w:val="000000"/>
        </w:rPr>
        <w:instrText xml:space="preserve"> ADDIN ZOTERO_ITEM CSL_CITATION {"citationID":"cwSFG1rD","properties":{"unsorted":false,"formattedCitation":"(Metreau et al., 2024)","plainCitation":"(Metreau et al., 2024)","noteIndex":0},"citationItems":[{"id":579,"uris":["http://zotero.org/users/local/FU1BXf8o/items/F6JP6462"],"itemData":{"id":579,"type":"article-journal","container-title":"World Bank Blogs","source":"Google Scholar","title":"World Bank country classifications by income level for 2024-2025","volume":"1","author":[{"family":"Metreau","given":"Eric"},{"family":"Young","given":"Kathryn Elizabeth"},{"family":"Eapen","given":"Shwetha Grace"}],"issued":{"date-parts":[["2024"]]}}}],"schema":"https://github.com/citation-style-language/schema/raw/master/csl-citation.json"} </w:instrText>
      </w:r>
      <w:r w:rsidR="002D6ADD">
        <w:rPr>
          <w:rFonts w:ascii="Times New Roman" w:hAnsi="Times New Roman" w:cs="Times New Roman"/>
          <w:color w:val="000000"/>
        </w:rPr>
        <w:fldChar w:fldCharType="separate"/>
      </w:r>
      <w:r w:rsidR="002D6ADD">
        <w:rPr>
          <w:rFonts w:ascii="Times New Roman" w:hAnsi="Times New Roman" w:cs="Times New Roman"/>
          <w:noProof/>
          <w:color w:val="000000"/>
        </w:rPr>
        <w:t>(Metreau et al., 2024)</w:t>
      </w:r>
      <w:r w:rsidR="002D6ADD">
        <w:rPr>
          <w:rFonts w:ascii="Times New Roman" w:hAnsi="Times New Roman" w:cs="Times New Roman"/>
          <w:color w:val="000000"/>
        </w:rPr>
        <w:fldChar w:fldCharType="end"/>
      </w:r>
      <w:r w:rsidR="002D6ADD">
        <w:rPr>
          <w:rFonts w:ascii="Times New Roman" w:hAnsi="Times New Roman" w:cs="Times New Roman"/>
          <w:color w:val="000000"/>
        </w:rPr>
        <w:t xml:space="preserve"> to categorize countries into developing and developed. We consider countries categorized as high-income countries</w:t>
      </w:r>
      <w:r w:rsidR="002B5B23">
        <w:rPr>
          <w:rFonts w:ascii="Times New Roman" w:hAnsi="Times New Roman" w:cs="Times New Roman"/>
          <w:color w:val="000000"/>
        </w:rPr>
        <w:t xml:space="preserve"> by the World Bank</w:t>
      </w:r>
      <w:r w:rsidR="002D6ADD">
        <w:rPr>
          <w:rFonts w:ascii="Times New Roman" w:hAnsi="Times New Roman" w:cs="Times New Roman"/>
          <w:color w:val="000000"/>
        </w:rPr>
        <w:t xml:space="preserve"> </w:t>
      </w:r>
      <w:r w:rsidR="002B5B23">
        <w:rPr>
          <w:rFonts w:ascii="Times New Roman" w:hAnsi="Times New Roman" w:cs="Times New Roman"/>
          <w:color w:val="000000"/>
        </w:rPr>
        <w:t>to</w:t>
      </w:r>
      <w:r w:rsidR="002D6ADD">
        <w:rPr>
          <w:rFonts w:ascii="Times New Roman" w:hAnsi="Times New Roman" w:cs="Times New Roman"/>
          <w:color w:val="000000"/>
        </w:rPr>
        <w:t xml:space="preserve"> </w:t>
      </w:r>
      <w:r w:rsidR="002B5B23">
        <w:rPr>
          <w:rFonts w:ascii="Times New Roman" w:hAnsi="Times New Roman" w:cs="Times New Roman"/>
          <w:color w:val="000000"/>
        </w:rPr>
        <w:t>be</w:t>
      </w:r>
      <w:r w:rsidR="002D6ADD">
        <w:rPr>
          <w:rFonts w:ascii="Times New Roman" w:hAnsi="Times New Roman" w:cs="Times New Roman"/>
          <w:color w:val="000000"/>
        </w:rPr>
        <w:t xml:space="preserve"> developed</w:t>
      </w:r>
      <w:r w:rsidR="002B5B23">
        <w:rPr>
          <w:rFonts w:ascii="Times New Roman" w:hAnsi="Times New Roman" w:cs="Times New Roman"/>
          <w:color w:val="000000"/>
        </w:rPr>
        <w:t>,</w:t>
      </w:r>
      <w:r w:rsidR="002D6ADD">
        <w:rPr>
          <w:rFonts w:ascii="Times New Roman" w:hAnsi="Times New Roman" w:cs="Times New Roman"/>
          <w:color w:val="000000"/>
        </w:rPr>
        <w:t xml:space="preserve"> while countries categorized as </w:t>
      </w:r>
      <w:r w:rsidR="002B5B23">
        <w:rPr>
          <w:rFonts w:ascii="Times New Roman" w:hAnsi="Times New Roman" w:cs="Times New Roman"/>
          <w:color w:val="000000"/>
        </w:rPr>
        <w:t xml:space="preserve">low-income, lower-middle-income, and upper-middle-income </w:t>
      </w:r>
      <w:proofErr w:type="gramStart"/>
      <w:r w:rsidR="002B5B23">
        <w:rPr>
          <w:rFonts w:ascii="Times New Roman" w:hAnsi="Times New Roman" w:cs="Times New Roman"/>
          <w:color w:val="000000"/>
        </w:rPr>
        <w:t>are considered to be</w:t>
      </w:r>
      <w:proofErr w:type="gramEnd"/>
      <w:r w:rsidR="002B5B23">
        <w:rPr>
          <w:rFonts w:ascii="Times New Roman" w:hAnsi="Times New Roman" w:cs="Times New Roman"/>
          <w:color w:val="000000"/>
        </w:rPr>
        <w:t xml:space="preserve"> developing. </w:t>
      </w:r>
    </w:p>
    <w:p w14:paraId="7026FBBC" w14:textId="79DFFA01" w:rsidR="00C244BD" w:rsidRDefault="002B5B23" w:rsidP="00CD58D7">
      <w:pPr>
        <w:spacing w:line="276" w:lineRule="auto"/>
        <w:rPr>
          <w:rFonts w:ascii="Times New Roman" w:eastAsia="Times New Roman" w:hAnsi="Times New Roman" w:cs="Times New Roman"/>
          <w:kern w:val="0"/>
          <w14:ligatures w14:val="none"/>
        </w:rPr>
      </w:pPr>
      <w:r>
        <w:rPr>
          <w:rFonts w:ascii="Times New Roman" w:hAnsi="Times New Roman" w:cs="Times New Roman"/>
          <w:color w:val="000000"/>
        </w:rPr>
        <w:t>Data on sectoral e</w:t>
      </w:r>
      <w:r w:rsidR="000F6CCE">
        <w:rPr>
          <w:rFonts w:ascii="Times New Roman" w:hAnsi="Times New Roman" w:cs="Times New Roman"/>
          <w:color w:val="000000"/>
        </w:rPr>
        <w:t xml:space="preserve">mployment and value added are sourced from </w:t>
      </w:r>
      <w:r w:rsidR="003775EE">
        <w:rPr>
          <w:rFonts w:ascii="Times New Roman" w:hAnsi="Times New Roman" w:cs="Times New Roman"/>
          <w:color w:val="000000"/>
        </w:rPr>
        <w:t xml:space="preserve">a global productivity data compiled by </w:t>
      </w:r>
      <w:r w:rsidR="003775EE">
        <w:rPr>
          <w:rFonts w:ascii="Times New Roman" w:hAnsi="Times New Roman" w:cs="Times New Roman"/>
          <w:color w:val="000000"/>
        </w:rPr>
        <w:fldChar w:fldCharType="begin"/>
      </w:r>
      <w:r w:rsidR="00CE3C65">
        <w:rPr>
          <w:rFonts w:ascii="Times New Roman" w:hAnsi="Times New Roman" w:cs="Times New Roman"/>
          <w:color w:val="000000"/>
        </w:rPr>
        <w:instrText xml:space="preserve"> ADDIN ZOTERO_ITEM CSL_CITATION {"citationID":"VMLFpNzz","properties":{"unsorted":false,"formattedCitation":"(Dieppe, 2021)","plainCitation":"(Dieppe, 2021)","dontUpdate":true,"noteIndex":0},"citationItems":[{"id":580,"uris":["http://zotero.org/users/local/FU1BXf8o/items/M3GUBL7E"],"itemData":{"id":580,"type":"book","abstract":"The COVID-19 pandemic struck the global economy after a decade that featured a broad-based slowdown in productivity growth. Global Productivity: Trends, Drivers, and Policies presents the first comprehensive analysis of the evolution and drivers of productivity growth, examines the effects of COVID-19 on productivity, and discusses a wide range of policies needed to rekindle productivity growth. The book also provides a far-reaching data set of multiple measures of productivity for up to 164 advanced economies and emerging market and developing economies, and it introduces a new sectoral database of productivity. The World Bank has created an extraordinary book on productivity, covering a large group of countries and using a wide variety of data sources. There is an emphasis on emerging and developing economies, whereas the prior literature has concentrated on developed economies. The book seeks to understand growth patterns and quantify the role of (among other things) the reallocation of factors, technological change, and the impact of natural disasters, including the COVID-19 pandemic. This book is must-reading for specialists in emerging economies but also provides deep insights for anyone interested in economic growth and productivity. Martin Neil Baily Senior Fellow, The Brookings Institution Former Chair, U.S. President's Council of Economic Advisers This is an important book at a critical time. As the book notes, global productivity growth had already been slowing prior to the COVID-19 pandemic and collapses with the pandemic. If we want an effective recovery, we have to understand what was driving these long-run trends. The book presents a novel global approach to examining the levels, growth rates, and drivers of productivity growth. For anyone wanting to understand or influence productivity growth, this is an essential read. Nicholas Bloom William D. Eberle Professor of Economics, Stanford University The COVID-19 pandemic hit a global economy that was already struggling with an adverse pre-existing condition—slow productivity growth. This extraordinarily valuable and timely book brings considerable new evidence that shows the broad-based, long-standing nature of the slowdown. It is comprehensive, with an exceptional focus on emerging market and developing economies. Importantly, it shows how severe disasters (of which COVID-19 is just the latest) typically harm productivity. There are no silver bullets, but the book suggests sensible strategies to improve growth prospects. John Fernald Schroders Chaired Professor of European Competitiveness and Reform and Professor of Economics, INSEAD","ISBN":"978-1-4648-1609-3","language":"en","note":"Google-Books-ID: AyK3EQAAQBAJ","number-of-pages":"680","publisher":"World Bank Publications","source":"Google Books","title":"Global Productivity: Trends, Drivers, and Policies","title-short":"Global Productivity","author":[{"family":"Dieppe","given":"Alistair"}],"issued":{"date-parts":[["2021",6,9]]}}}],"schema":"https://github.com/citation-style-language/schema/raw/master/csl-citation.json"} </w:instrText>
      </w:r>
      <w:r w:rsidR="003775EE">
        <w:rPr>
          <w:rFonts w:ascii="Times New Roman" w:hAnsi="Times New Roman" w:cs="Times New Roman"/>
          <w:color w:val="000000"/>
        </w:rPr>
        <w:fldChar w:fldCharType="separate"/>
      </w:r>
      <w:r w:rsidR="003775EE">
        <w:rPr>
          <w:rFonts w:ascii="Times New Roman" w:hAnsi="Times New Roman" w:cs="Times New Roman"/>
          <w:noProof/>
          <w:color w:val="000000"/>
        </w:rPr>
        <w:t>Dieppe</w:t>
      </w:r>
      <w:r w:rsidR="003E19BC">
        <w:rPr>
          <w:rFonts w:ascii="Times New Roman" w:hAnsi="Times New Roman" w:cs="Times New Roman"/>
          <w:noProof/>
          <w:color w:val="000000"/>
        </w:rPr>
        <w:t xml:space="preserve"> (</w:t>
      </w:r>
      <w:r w:rsidR="003775EE">
        <w:rPr>
          <w:rFonts w:ascii="Times New Roman" w:hAnsi="Times New Roman" w:cs="Times New Roman"/>
          <w:noProof/>
          <w:color w:val="000000"/>
        </w:rPr>
        <w:t>2021)</w:t>
      </w:r>
      <w:r w:rsidR="003775EE">
        <w:rPr>
          <w:rFonts w:ascii="Times New Roman" w:hAnsi="Times New Roman" w:cs="Times New Roman"/>
          <w:color w:val="000000"/>
        </w:rPr>
        <w:fldChar w:fldCharType="end"/>
      </w:r>
      <w:r w:rsidR="003775EE">
        <w:rPr>
          <w:rFonts w:ascii="Times New Roman" w:hAnsi="Times New Roman" w:cs="Times New Roman"/>
          <w:color w:val="000000"/>
        </w:rPr>
        <w:t>. This contains data on employment shares and value-added for 9 sectors and 103 countries</w:t>
      </w:r>
      <w:r w:rsidR="003E19BC">
        <w:rPr>
          <w:rFonts w:ascii="Times New Roman" w:hAnsi="Times New Roman" w:cs="Times New Roman"/>
          <w:color w:val="000000"/>
        </w:rPr>
        <w:t>,</w:t>
      </w:r>
      <w:r w:rsidR="003775EE">
        <w:rPr>
          <w:rFonts w:ascii="Times New Roman" w:hAnsi="Times New Roman" w:cs="Times New Roman"/>
          <w:color w:val="000000"/>
        </w:rPr>
        <w:t xml:space="preserve"> ranging from 1950 to </w:t>
      </w:r>
      <w:r w:rsidR="003E19BC">
        <w:rPr>
          <w:rFonts w:ascii="Times New Roman" w:hAnsi="Times New Roman" w:cs="Times New Roman"/>
          <w:color w:val="000000"/>
        </w:rPr>
        <w:t xml:space="preserve">2017. </w:t>
      </w:r>
      <w:r w:rsidR="008C18D4">
        <w:rPr>
          <w:rFonts w:ascii="Times New Roman" w:hAnsi="Times New Roman" w:cs="Times New Roman"/>
          <w:color w:val="000000"/>
        </w:rPr>
        <w:t xml:space="preserve"> </w:t>
      </w:r>
      <w:r w:rsidR="00B34907">
        <w:rPr>
          <w:rFonts w:ascii="Times New Roman" w:hAnsi="Times New Roman" w:cs="Times New Roman"/>
          <w:color w:val="000000"/>
        </w:rPr>
        <w:t xml:space="preserve">The data </w:t>
      </w:r>
      <w:r w:rsidR="00CE3C65">
        <w:rPr>
          <w:rFonts w:ascii="Times New Roman" w:hAnsi="Times New Roman" w:cs="Times New Roman"/>
          <w:color w:val="000000"/>
        </w:rPr>
        <w:t xml:space="preserve">is gathered from various sources, including the OECD STAN database, KLEMS, the Groningen Growth and Development Center (GGDC) database by </w:t>
      </w:r>
      <w:r w:rsidR="00CE3C65">
        <w:rPr>
          <w:rFonts w:ascii="Times New Roman" w:hAnsi="Times New Roman" w:cs="Times New Roman"/>
          <w:color w:val="000000"/>
        </w:rPr>
        <w:fldChar w:fldCharType="begin"/>
      </w:r>
      <w:r w:rsidR="00CE3C65">
        <w:rPr>
          <w:rFonts w:ascii="Times New Roman" w:hAnsi="Times New Roman" w:cs="Times New Roman"/>
          <w:color w:val="000000"/>
        </w:rPr>
        <w:instrText xml:space="preserve"> ADDIN ZOTERO_ITEM CSL_CITATION {"citationID":"AZyhwULP","properties":{"unsorted":false,"formattedCitation":"(Timmer et al., 2015)","plainCitation":"(Timmer et al., 2015)","noteIndex":0},"citationItems":[{"id":518,"uris":["http://zotero.org/users/local/FU1BXf8o/items/WPY77SKV"],"itemData":{"id":518,"type":"chapter","abstract":"A central concept in development economics is the notion of structural change. Structural change, which we narrowly define in this chapter as the reallocation of labour across sectors with different productivity levels, featured prominently in the early literature on economic development by Kuznets (1966). Technological change typically takes place at the detailed industry level and thereby induces differential patterns of sector productivity growth. At the same time, changes in demand and international trade drive a process of structural transformation in which production factors such as capital, labour and intermediate inputs are continuously relocated across locations and economic activities (Kuznets, 1966; Chenery et al., 1986; Harberger, 1998; Hsieh and Klenow, 2009; Herrendorf et al., 2014).","container-title":"Routledge Handbook of Industry and Development","ISBN":"978-0-203-38706-1","note":"number-of-pages: 19","publisher":"Routledge","title":"Patterns of structural change in developing countries","author":[{"family":"Timmer","given":"Marcel"},{"family":"Vries","given":"Gaaitzen J.","dropping-particle":"de"},{"family":"Vries","given":"Klaas","dropping-particle":"de"}],"issued":{"date-parts":[["2015"]]}}}],"schema":"https://github.com/citation-style-language/schema/raw/master/csl-citation.json"} </w:instrText>
      </w:r>
      <w:r w:rsidR="00CE3C65">
        <w:rPr>
          <w:rFonts w:ascii="Times New Roman" w:hAnsi="Times New Roman" w:cs="Times New Roman"/>
          <w:color w:val="000000"/>
        </w:rPr>
        <w:fldChar w:fldCharType="separate"/>
      </w:r>
      <w:r w:rsidR="00CE3C65">
        <w:rPr>
          <w:rFonts w:ascii="Times New Roman" w:hAnsi="Times New Roman" w:cs="Times New Roman"/>
          <w:noProof/>
          <w:color w:val="000000"/>
        </w:rPr>
        <w:t>Timmer et al. ( 2015)</w:t>
      </w:r>
      <w:r w:rsidR="00CE3C65">
        <w:rPr>
          <w:rFonts w:ascii="Times New Roman" w:hAnsi="Times New Roman" w:cs="Times New Roman"/>
          <w:color w:val="000000"/>
        </w:rPr>
        <w:fldChar w:fldCharType="end"/>
      </w:r>
      <w:r w:rsidR="00CE3C65">
        <w:rPr>
          <w:rFonts w:ascii="Times New Roman" w:hAnsi="Times New Roman" w:cs="Times New Roman"/>
          <w:color w:val="000000"/>
        </w:rPr>
        <w:t xml:space="preserve">, </w:t>
      </w:r>
      <w:r w:rsidR="00FF5CCD">
        <w:rPr>
          <w:rFonts w:ascii="Times New Roman" w:hAnsi="Times New Roman" w:cs="Times New Roman"/>
          <w:color w:val="000000"/>
        </w:rPr>
        <w:t xml:space="preserve">and </w:t>
      </w:r>
      <w:r w:rsidR="00CE3C65">
        <w:rPr>
          <w:rFonts w:ascii="Times New Roman" w:hAnsi="Times New Roman" w:cs="Times New Roman"/>
          <w:color w:val="000000"/>
        </w:rPr>
        <w:t>the Expanded Africa Database (EASD)</w:t>
      </w:r>
      <w:r w:rsidR="005B1B6C">
        <w:rPr>
          <w:rFonts w:ascii="Times New Roman" w:hAnsi="Times New Roman" w:cs="Times New Roman"/>
          <w:color w:val="000000"/>
        </w:rPr>
        <w:t xml:space="preserve"> by</w:t>
      </w:r>
      <w:r w:rsidR="00CE3C65">
        <w:rPr>
          <w:rFonts w:ascii="Times New Roman" w:hAnsi="Times New Roman" w:cs="Times New Roman"/>
          <w:color w:val="000000"/>
        </w:rPr>
        <w:t xml:space="preserve"> </w:t>
      </w:r>
      <w:r w:rsidR="00CE3C65">
        <w:rPr>
          <w:rFonts w:ascii="Times New Roman" w:hAnsi="Times New Roman" w:cs="Times New Roman"/>
          <w:color w:val="000000"/>
        </w:rPr>
        <w:fldChar w:fldCharType="begin"/>
      </w:r>
      <w:r w:rsidR="00CE3C65">
        <w:rPr>
          <w:rFonts w:ascii="Times New Roman" w:hAnsi="Times New Roman" w:cs="Times New Roman"/>
          <w:color w:val="000000"/>
        </w:rPr>
        <w:instrText xml:space="preserve"> ADDIN ZOTERO_ITEM CSL_CITATION {"citationID":"JE12kX6I","properties":{"unsorted":false,"formattedCitation":"(Mensah &amp; Szirmai, 2018)","plainCitation":"(Mensah &amp; Szirmai, 2018)","noteIndex":0},"citationItems":[{"id":604,"uris":["http://zotero.org/users/local/FU1BXf8o/items/FFUMLMG7"],"itemData":{"id":604,"type":"article-journal","container-title":"UNU-MERIT working paper","source":"Google Scholar","title":"Africa sector database (asd): Expansion and update","title-short":"Africa sector database (asd)","URL":"https://www.academia.edu/download/104762990/wp2018-020.pdf","volume":"20","author":[{"family":"Mensah","given":"Emmanuel Buadi"},{"family":"Szirmai","given":"Adam"}],"accessed":{"date-parts":[["2026",3,12]]},"issued":{"date-parts":[["2018"]]}}}],"schema":"https://github.com/citation-style-language/schema/raw/master/csl-citation.json"} </w:instrText>
      </w:r>
      <w:r w:rsidR="00CE3C65">
        <w:rPr>
          <w:rFonts w:ascii="Times New Roman" w:hAnsi="Times New Roman" w:cs="Times New Roman"/>
          <w:color w:val="000000"/>
        </w:rPr>
        <w:fldChar w:fldCharType="separate"/>
      </w:r>
      <w:r w:rsidR="00CE3C65">
        <w:rPr>
          <w:rFonts w:ascii="Times New Roman" w:hAnsi="Times New Roman" w:cs="Times New Roman"/>
          <w:noProof/>
          <w:color w:val="000000"/>
        </w:rPr>
        <w:t>Mensah &amp; Szirmai (2018)</w:t>
      </w:r>
      <w:r w:rsidR="00CE3C65">
        <w:rPr>
          <w:rFonts w:ascii="Times New Roman" w:hAnsi="Times New Roman" w:cs="Times New Roman"/>
          <w:color w:val="000000"/>
        </w:rPr>
        <w:fldChar w:fldCharType="end"/>
      </w:r>
      <w:r w:rsidR="00FF5CCD">
        <w:rPr>
          <w:rFonts w:ascii="Times New Roman" w:hAnsi="Times New Roman" w:cs="Times New Roman"/>
          <w:color w:val="000000"/>
        </w:rPr>
        <w:t>, the APO  database, UN data, ILOSAT</w:t>
      </w:r>
      <w:r w:rsidR="005B1B6C">
        <w:rPr>
          <w:rFonts w:ascii="Times New Roman" w:hAnsi="Times New Roman" w:cs="Times New Roman"/>
          <w:color w:val="000000"/>
        </w:rPr>
        <w:t>,</w:t>
      </w:r>
      <w:r w:rsidR="00FF5CCD">
        <w:rPr>
          <w:rFonts w:ascii="Times New Roman" w:hAnsi="Times New Roman" w:cs="Times New Roman"/>
          <w:color w:val="000000"/>
        </w:rPr>
        <w:t xml:space="preserve"> and other national sources.</w:t>
      </w:r>
      <w:r w:rsidR="005B1B6C">
        <w:rPr>
          <w:rFonts w:ascii="Times New Roman" w:hAnsi="Times New Roman" w:cs="Times New Roman"/>
          <w:color w:val="000000"/>
        </w:rPr>
        <w:t xml:space="preserve"> The 9 sectors include agriculture, mining, manufacturing, </w:t>
      </w:r>
      <w:r w:rsidR="00C244BD">
        <w:rPr>
          <w:rFonts w:ascii="Times New Roman" w:hAnsi="Times New Roman" w:cs="Times New Roman"/>
          <w:color w:val="000000"/>
        </w:rPr>
        <w:t xml:space="preserve">construction, utilities, transport </w:t>
      </w:r>
      <w:r w:rsidR="00C244BD" w:rsidRPr="00C244BD">
        <w:rPr>
          <w:rFonts w:ascii="Times New Roman" w:hAnsi="Times New Roman" w:cs="Times New Roman"/>
          <w:color w:val="000000"/>
        </w:rPr>
        <w:t xml:space="preserve">services, trade services, </w:t>
      </w:r>
      <w:r w:rsidR="00C244BD" w:rsidRPr="00C244BD">
        <w:rPr>
          <w:rFonts w:ascii="Times New Roman" w:eastAsia="Times New Roman" w:hAnsi="Times New Roman" w:cs="Times New Roman"/>
          <w:kern w:val="0"/>
          <w14:ligatures w14:val="none"/>
        </w:rPr>
        <w:t>finance and business services, and other services.</w:t>
      </w:r>
      <w:r w:rsidR="00C244BD">
        <w:rPr>
          <w:rFonts w:ascii="Calibri" w:eastAsia="Times New Roman" w:hAnsi="Calibri" w:cs="Calibri"/>
          <w:kern w:val="0"/>
          <w:sz w:val="22"/>
          <w:szCs w:val="22"/>
          <w14:ligatures w14:val="none"/>
        </w:rPr>
        <w:t xml:space="preserve"> </w:t>
      </w:r>
      <w:r w:rsidR="00C244BD" w:rsidRPr="009D6B93">
        <w:rPr>
          <w:rFonts w:ascii="Times New Roman" w:eastAsia="Times New Roman" w:hAnsi="Times New Roman" w:cs="Times New Roman"/>
          <w:kern w:val="0"/>
          <w14:ligatures w14:val="none"/>
        </w:rPr>
        <w:t xml:space="preserve">Following </w:t>
      </w:r>
      <w:r w:rsidR="009D6B93" w:rsidRPr="009D6B93">
        <w:rPr>
          <w:rFonts w:ascii="Times New Roman" w:eastAsia="Times New Roman" w:hAnsi="Times New Roman" w:cs="Times New Roman"/>
          <w:kern w:val="0"/>
          <w14:ligatures w14:val="none"/>
        </w:rPr>
        <w:fldChar w:fldCharType="begin"/>
      </w:r>
      <w:r w:rsidR="009D6B93" w:rsidRPr="009D6B93">
        <w:rPr>
          <w:rFonts w:ascii="Times New Roman" w:eastAsia="Times New Roman" w:hAnsi="Times New Roman" w:cs="Times New Roman"/>
          <w:kern w:val="0"/>
          <w14:ligatures w14:val="none"/>
        </w:rPr>
        <w:instrText xml:space="preserve"> ADDIN ZOTERO_ITEM CSL_CITATION {"citationID":"AS4Vo8Mz","properties":{"unsorted":false,"formattedCitation":"(Herrendorf et al., 2014)","plainCitation":"(Herrendorf et al., 2014)","noteIndex":0},"citationItems":[{"id":609,"uris":["http://zotero.org/users/local/FU1BXf8o/items/8YUEV2XV"],"itemData":{"id":609,"type":"article-journal","container-title":"Handbook of economic growth","page":"855–941","publisher":"Elsevier","source":"Google Scholar","title":"Growth and structural transformation","volume":"2","author":[{"family":"Herrendorf","given":"Berthold"},{"family":"Rogerson","given":"Richard"},{"family":"Valentinyi","given":"Akos"}],"issued":{"date-parts":[["2014"]]}}}],"schema":"https://github.com/citation-style-language/schema/raw/master/csl-citation.json"} </w:instrText>
      </w:r>
      <w:r w:rsidR="009D6B93" w:rsidRPr="009D6B93">
        <w:rPr>
          <w:rFonts w:ascii="Times New Roman" w:eastAsia="Times New Roman" w:hAnsi="Times New Roman" w:cs="Times New Roman"/>
          <w:kern w:val="0"/>
          <w14:ligatures w14:val="none"/>
        </w:rPr>
        <w:fldChar w:fldCharType="separate"/>
      </w:r>
      <w:r w:rsidR="009D6B93" w:rsidRPr="009D6B93">
        <w:rPr>
          <w:rFonts w:ascii="Times New Roman" w:eastAsia="Times New Roman" w:hAnsi="Times New Roman" w:cs="Times New Roman"/>
          <w:noProof/>
          <w:kern w:val="0"/>
          <w14:ligatures w14:val="none"/>
        </w:rPr>
        <w:t>Herrendorf et al. (2014)</w:t>
      </w:r>
      <w:r w:rsidR="009D6B93" w:rsidRPr="009D6B93">
        <w:rPr>
          <w:rFonts w:ascii="Times New Roman" w:eastAsia="Times New Roman" w:hAnsi="Times New Roman" w:cs="Times New Roman"/>
          <w:kern w:val="0"/>
          <w14:ligatures w14:val="none"/>
        </w:rPr>
        <w:fldChar w:fldCharType="end"/>
      </w:r>
      <w:r w:rsidR="009D6B93">
        <w:rPr>
          <w:rFonts w:ascii="Times New Roman" w:eastAsia="Times New Roman" w:hAnsi="Times New Roman" w:cs="Times New Roman"/>
          <w:kern w:val="0"/>
          <w14:ligatures w14:val="none"/>
        </w:rPr>
        <w:t xml:space="preserve">, we aggregate the 9-sectors into 3 sectors: agriculture, manufacturing, and services. We maintain the agricultural sector as </w:t>
      </w:r>
      <w:r w:rsidR="006D1FCD">
        <w:rPr>
          <w:rFonts w:ascii="Times New Roman" w:eastAsia="Times New Roman" w:hAnsi="Times New Roman" w:cs="Times New Roman"/>
          <w:kern w:val="0"/>
          <w14:ligatures w14:val="none"/>
        </w:rPr>
        <w:t>originally defined</w:t>
      </w:r>
      <w:r w:rsidR="009D6B93">
        <w:rPr>
          <w:rFonts w:ascii="Times New Roman" w:eastAsia="Times New Roman" w:hAnsi="Times New Roman" w:cs="Times New Roman"/>
          <w:kern w:val="0"/>
          <w14:ligatures w14:val="none"/>
        </w:rPr>
        <w:t xml:space="preserve">. Manufacturing </w:t>
      </w:r>
      <w:r w:rsidR="006D1FCD">
        <w:rPr>
          <w:rFonts w:ascii="Times New Roman" w:eastAsia="Times New Roman" w:hAnsi="Times New Roman" w:cs="Times New Roman"/>
          <w:kern w:val="0"/>
          <w14:ligatures w14:val="none"/>
        </w:rPr>
        <w:t>combines m</w:t>
      </w:r>
      <w:r w:rsidR="00332079">
        <w:rPr>
          <w:rFonts w:ascii="Times New Roman" w:eastAsia="Times New Roman" w:hAnsi="Times New Roman" w:cs="Times New Roman"/>
          <w:kern w:val="0"/>
          <w14:ligatures w14:val="none"/>
        </w:rPr>
        <w:t xml:space="preserve">ining, manufacturing, construction, and utilities. </w:t>
      </w:r>
      <w:r w:rsidR="006D1FCD">
        <w:rPr>
          <w:rFonts w:ascii="Times New Roman" w:eastAsia="Times New Roman" w:hAnsi="Times New Roman" w:cs="Times New Roman"/>
          <w:kern w:val="0"/>
          <w14:ligatures w14:val="none"/>
        </w:rPr>
        <w:t>The s</w:t>
      </w:r>
      <w:r w:rsidR="00332079">
        <w:rPr>
          <w:rFonts w:ascii="Times New Roman" w:eastAsia="Times New Roman" w:hAnsi="Times New Roman" w:cs="Times New Roman"/>
          <w:kern w:val="0"/>
          <w14:ligatures w14:val="none"/>
        </w:rPr>
        <w:t xml:space="preserve">ervices </w:t>
      </w:r>
      <w:r w:rsidR="006D1FCD">
        <w:rPr>
          <w:rFonts w:ascii="Times New Roman" w:eastAsia="Times New Roman" w:hAnsi="Times New Roman" w:cs="Times New Roman"/>
          <w:kern w:val="0"/>
          <w14:ligatures w14:val="none"/>
        </w:rPr>
        <w:t>sector includes t</w:t>
      </w:r>
      <w:r w:rsidR="00332079">
        <w:rPr>
          <w:rFonts w:ascii="Times New Roman" w:hAnsi="Times New Roman" w:cs="Times New Roman"/>
          <w:color w:val="000000"/>
        </w:rPr>
        <w:t xml:space="preserve">ransport </w:t>
      </w:r>
      <w:r w:rsidR="00332079" w:rsidRPr="00C244BD">
        <w:rPr>
          <w:rFonts w:ascii="Times New Roman" w:hAnsi="Times New Roman" w:cs="Times New Roman"/>
          <w:color w:val="000000"/>
        </w:rPr>
        <w:t xml:space="preserve">services, trade services, </w:t>
      </w:r>
      <w:r w:rsidR="00332079" w:rsidRPr="00C244BD">
        <w:rPr>
          <w:rFonts w:ascii="Times New Roman" w:eastAsia="Times New Roman" w:hAnsi="Times New Roman" w:cs="Times New Roman"/>
          <w:kern w:val="0"/>
          <w14:ligatures w14:val="none"/>
        </w:rPr>
        <w:t>finance and business services, and other services</w:t>
      </w:r>
      <w:r w:rsidR="00332079">
        <w:rPr>
          <w:rFonts w:ascii="Times New Roman" w:eastAsia="Times New Roman" w:hAnsi="Times New Roman" w:cs="Times New Roman"/>
          <w:kern w:val="0"/>
          <w14:ligatures w14:val="none"/>
        </w:rPr>
        <w:t xml:space="preserve">. </w:t>
      </w:r>
      <w:r w:rsidR="00433376">
        <w:rPr>
          <w:rFonts w:ascii="Times New Roman" w:eastAsia="Times New Roman" w:hAnsi="Times New Roman" w:cs="Times New Roman"/>
          <w:kern w:val="0"/>
          <w14:ligatures w14:val="none"/>
        </w:rPr>
        <w:t>Merging the trade data and the sector productivity data results an unbalanced panel data consisting of 58 developing countries spanning 1950 to 2017.</w:t>
      </w:r>
    </w:p>
    <w:p w14:paraId="634C4369" w14:textId="77777777" w:rsidR="00A53399" w:rsidRDefault="00A53399" w:rsidP="00CD58D7">
      <w:pPr>
        <w:spacing w:line="276" w:lineRule="auto"/>
        <w:rPr>
          <w:rFonts w:ascii="Times New Roman" w:eastAsia="Times New Roman" w:hAnsi="Times New Roman" w:cs="Times New Roman"/>
          <w:kern w:val="0"/>
          <w14:ligatures w14:val="none"/>
        </w:rPr>
      </w:pPr>
    </w:p>
    <w:p w14:paraId="76B67270" w14:textId="54079BB6" w:rsidR="00A53399" w:rsidRDefault="00A53399" w:rsidP="00CD58D7">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data </w:t>
      </w:r>
      <w:r w:rsidR="00350C36">
        <w:rPr>
          <w:rFonts w:ascii="Times New Roman" w:eastAsia="Times New Roman" w:hAnsi="Times New Roman" w:cs="Times New Roman"/>
          <w:kern w:val="0"/>
          <w14:ligatures w14:val="none"/>
        </w:rPr>
        <w:t xml:space="preserve">used to construct </w:t>
      </w:r>
      <w:r>
        <w:rPr>
          <w:rFonts w:ascii="Times New Roman" w:eastAsia="Times New Roman" w:hAnsi="Times New Roman" w:cs="Times New Roman"/>
          <w:kern w:val="0"/>
          <w14:ligatures w14:val="none"/>
        </w:rPr>
        <w:t xml:space="preserve">our control variables are </w:t>
      </w:r>
      <w:r w:rsidR="00350C36">
        <w:rPr>
          <w:rFonts w:ascii="Times New Roman" w:eastAsia="Times New Roman" w:hAnsi="Times New Roman" w:cs="Times New Roman"/>
          <w:kern w:val="0"/>
          <w14:ligatures w14:val="none"/>
        </w:rPr>
        <w:t>obtained</w:t>
      </w:r>
      <w:r>
        <w:rPr>
          <w:rFonts w:ascii="Times New Roman" w:eastAsia="Times New Roman" w:hAnsi="Times New Roman" w:cs="Times New Roman"/>
          <w:kern w:val="0"/>
          <w14:ligatures w14:val="none"/>
        </w:rPr>
        <w:t xml:space="preserve"> from the Penn-World tables. These include GDP, population, </w:t>
      </w:r>
      <w:r w:rsidR="00350C36">
        <w:rPr>
          <w:rFonts w:ascii="Times New Roman" w:eastAsia="Times New Roman" w:hAnsi="Times New Roman" w:cs="Times New Roman"/>
          <w:kern w:val="0"/>
          <w14:ligatures w14:val="none"/>
        </w:rPr>
        <w:t>capital formation as a share of GDP</w:t>
      </w:r>
      <w:r>
        <w:rPr>
          <w:rFonts w:ascii="Times New Roman" w:eastAsia="Times New Roman" w:hAnsi="Times New Roman" w:cs="Times New Roman"/>
          <w:kern w:val="0"/>
          <w14:ligatures w14:val="none"/>
        </w:rPr>
        <w:t>,</w:t>
      </w:r>
      <w:r w:rsidR="00350C36">
        <w:rPr>
          <w:rFonts w:ascii="Times New Roman" w:eastAsia="Times New Roman" w:hAnsi="Times New Roman" w:cs="Times New Roman"/>
          <w:kern w:val="0"/>
          <w14:ligatures w14:val="none"/>
        </w:rPr>
        <w:t xml:space="preserve"> and merchandise</w:t>
      </w:r>
      <w:r>
        <w:rPr>
          <w:rFonts w:ascii="Times New Roman" w:eastAsia="Times New Roman" w:hAnsi="Times New Roman" w:cs="Times New Roman"/>
          <w:kern w:val="0"/>
          <w14:ligatures w14:val="none"/>
        </w:rPr>
        <w:t xml:space="preserve"> imports</w:t>
      </w:r>
      <w:r w:rsidR="00350C36">
        <w:rPr>
          <w:rFonts w:ascii="Times New Roman" w:eastAsia="Times New Roman" w:hAnsi="Times New Roman" w:cs="Times New Roman"/>
          <w:kern w:val="0"/>
          <w14:ligatures w14:val="none"/>
        </w:rPr>
        <w:t xml:space="preserve"> and exports as a share of GDP</w:t>
      </w:r>
      <w:r>
        <w:rPr>
          <w:rFonts w:ascii="Times New Roman" w:eastAsia="Times New Roman" w:hAnsi="Times New Roman" w:cs="Times New Roman"/>
          <w:kern w:val="0"/>
          <w14:ligatures w14:val="none"/>
        </w:rPr>
        <w:t>.</w:t>
      </w:r>
    </w:p>
    <w:p w14:paraId="4E12D51C" w14:textId="77777777" w:rsidR="00332079" w:rsidRDefault="00332079" w:rsidP="00CD58D7">
      <w:pPr>
        <w:spacing w:line="276" w:lineRule="auto"/>
        <w:rPr>
          <w:rFonts w:ascii="Times New Roman" w:eastAsia="Times New Roman" w:hAnsi="Times New Roman" w:cs="Times New Roman"/>
          <w:kern w:val="0"/>
          <w14:ligatures w14:val="none"/>
        </w:rPr>
      </w:pPr>
    </w:p>
    <w:p w14:paraId="7C0A2816" w14:textId="30EBE33A" w:rsidR="00332079" w:rsidRDefault="00332079" w:rsidP="00CD58D7">
      <w:pPr>
        <w:spacing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Variable Description</w:t>
      </w:r>
    </w:p>
    <w:p w14:paraId="10A180F3" w14:textId="200CB792" w:rsidR="00332079" w:rsidRPr="00332079" w:rsidRDefault="00332079" w:rsidP="00CD58D7">
      <w:pPr>
        <w:spacing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Trade agreements</w:t>
      </w:r>
    </w:p>
    <w:p w14:paraId="021B9029" w14:textId="77777777" w:rsidR="00350C36" w:rsidRDefault="00332079" w:rsidP="00CD58D7">
      <w:pPr>
        <w:spacing w:line="276" w:lineRule="auto"/>
        <w:rPr>
          <w:rFonts w:ascii="Times New Roman" w:hAnsi="Times New Roman" w:cs="Times New Roman"/>
          <w:color w:val="000000"/>
        </w:rPr>
      </w:pPr>
      <w:r>
        <w:rPr>
          <w:rFonts w:ascii="Times New Roman" w:eastAsia="Times New Roman" w:hAnsi="Times New Roman" w:cs="Times New Roman"/>
          <w:color w:val="000000"/>
          <w:kern w:val="0"/>
          <w14:ligatures w14:val="none"/>
        </w:rPr>
        <w:t>As stated above, we rely on the</w:t>
      </w:r>
      <w:r w:rsidR="00350C36">
        <w:rPr>
          <w:rFonts w:ascii="Times New Roman" w:eastAsia="Times New Roman" w:hAnsi="Times New Roman" w:cs="Times New Roman"/>
          <w:color w:val="000000"/>
          <w:kern w:val="0"/>
          <w14:ligatures w14:val="none"/>
        </w:rPr>
        <w:t xml:space="preserve"> bilateral</w:t>
      </w:r>
      <w:r>
        <w:rPr>
          <w:rFonts w:ascii="Times New Roman" w:eastAsia="Times New Roman" w:hAnsi="Times New Roman" w:cs="Times New Roman"/>
          <w:color w:val="000000"/>
          <w:kern w:val="0"/>
          <w14:ligatures w14:val="none"/>
        </w:rPr>
        <w:t xml:space="preserve"> trade agreements data</w:t>
      </w:r>
      <w:r w:rsidR="00350C36">
        <w:rPr>
          <w:rFonts w:ascii="Times New Roman" w:eastAsia="Times New Roman" w:hAnsi="Times New Roman" w:cs="Times New Roman"/>
          <w:color w:val="000000"/>
          <w:kern w:val="0"/>
          <w14:ligatures w14:val="none"/>
        </w:rPr>
        <w:t xml:space="preserve"> by</w:t>
      </w:r>
      <w:r>
        <w:rPr>
          <w:rFonts w:ascii="Times New Roman" w:eastAsia="Times New Roman" w:hAnsi="Times New Roman" w:cs="Times New Roman"/>
          <w:color w:val="000000"/>
          <w:kern w:val="0"/>
          <w14:ligatures w14:val="none"/>
        </w:rPr>
        <w:t xml:space="preserve"> </w:t>
      </w:r>
      <w:r w:rsidRPr="002D6ADD">
        <w:rPr>
          <w:rFonts w:ascii="Times New Roman" w:eastAsia="Times New Roman" w:hAnsi="Times New Roman" w:cs="Times New Roman"/>
          <w:color w:val="000000"/>
          <w:kern w:val="0"/>
          <w14:ligatures w14:val="none"/>
        </w:rPr>
        <w:fldChar w:fldCharType="begin"/>
      </w:r>
      <w:r w:rsidR="004A6FC9">
        <w:rPr>
          <w:rFonts w:ascii="Times New Roman" w:eastAsia="Times New Roman" w:hAnsi="Times New Roman" w:cs="Times New Roman"/>
          <w:color w:val="000000"/>
          <w:kern w:val="0"/>
          <w14:ligatures w14:val="none"/>
        </w:rPr>
        <w:instrText xml:space="preserve"> ADDIN ZOTERO_ITEM CSL_CITATION {"citationID":"KOtBzUcn","properties":{"unsorted":false,"formattedCitation":"(Baier, 2011)","plainCitation":"(Baier, 2011)","dontUpdate":true,"noteIndex":0},"citationItems":[{"id":559,"uris":["http://zotero.org/users/local/FU1BXf8o/items/B5ZYHF99"],"itemData":{"id":559,"type":"book","source":"Google Scholar","title":"Economic Integration Agreements: Historical database of entry into Economic Integration Agreements, 1960-2000","title-short":"Economic Integration Agreements","author":[{"family":"Baier","given":"Scott L."}],"issued":{"date-parts":[["2011"]]}}}],"schema":"https://github.com/citation-style-language/schema/raw/master/csl-citation.json"} </w:instrText>
      </w:r>
      <w:r w:rsidRPr="002D6ADD">
        <w:rPr>
          <w:rFonts w:ascii="Times New Roman" w:eastAsia="Times New Roman" w:hAnsi="Times New Roman" w:cs="Times New Roman"/>
          <w:color w:val="000000"/>
          <w:kern w:val="0"/>
          <w14:ligatures w14:val="none"/>
        </w:rPr>
        <w:fldChar w:fldCharType="separate"/>
      </w:r>
      <w:r w:rsidRPr="002D6ADD">
        <w:rPr>
          <w:rFonts w:ascii="Times New Roman" w:eastAsia="Times New Roman" w:hAnsi="Times New Roman" w:cs="Times New Roman"/>
          <w:noProof/>
          <w:color w:val="000000"/>
          <w:kern w:val="0"/>
          <w14:ligatures w14:val="none"/>
        </w:rPr>
        <w:t>Baier (2011)</w:t>
      </w:r>
      <w:r w:rsidRPr="002D6ADD">
        <w:rPr>
          <w:rFonts w:ascii="Times New Roman" w:eastAsia="Times New Roman" w:hAnsi="Times New Roman" w:cs="Times New Roman"/>
          <w:color w:val="000000"/>
          <w:kern w:val="0"/>
          <w14:ligatures w14:val="none"/>
        </w:rPr>
        <w:fldChar w:fldCharType="end"/>
      </w:r>
      <w:r>
        <w:rPr>
          <w:rFonts w:ascii="Times New Roman" w:eastAsia="Times New Roman" w:hAnsi="Times New Roman" w:cs="Times New Roman"/>
          <w:color w:val="000000"/>
          <w:kern w:val="0"/>
          <w14:ligatures w14:val="none"/>
        </w:rPr>
        <w:t xml:space="preserve"> to construct our measures of trade agreements.  </w:t>
      </w:r>
      <w:r w:rsidRPr="002D6ADD">
        <w:rPr>
          <w:rFonts w:ascii="Times New Roman" w:hAnsi="Times New Roman" w:cs="Times New Roman"/>
          <w:color w:val="000000"/>
        </w:rPr>
        <w:t>Following the growing literature on the design and depth of trade agreements, we distinguish between</w:t>
      </w:r>
      <w:r w:rsidRPr="002D6ADD">
        <w:rPr>
          <w:rStyle w:val="apple-converted-space"/>
          <w:rFonts w:ascii="Times New Roman" w:hAnsi="Times New Roman" w:cs="Times New Roman"/>
          <w:color w:val="000000"/>
        </w:rPr>
        <w:t> </w:t>
      </w:r>
      <w:r w:rsidRPr="002D6ADD">
        <w:rPr>
          <w:rStyle w:val="Emphasis"/>
          <w:rFonts w:ascii="Times New Roman" w:eastAsiaTheme="majorEastAsia" w:hAnsi="Times New Roman" w:cs="Times New Roman"/>
          <w:i w:val="0"/>
          <w:iCs w:val="0"/>
          <w:color w:val="000000"/>
        </w:rPr>
        <w:t>deep</w:t>
      </w:r>
      <w:r w:rsidRPr="002D6ADD">
        <w:rPr>
          <w:rStyle w:val="apple-converted-space"/>
          <w:rFonts w:ascii="Times New Roman" w:hAnsi="Times New Roman" w:cs="Times New Roman"/>
          <w:color w:val="000000"/>
        </w:rPr>
        <w:t> </w:t>
      </w:r>
      <w:r w:rsidRPr="002D6ADD">
        <w:rPr>
          <w:rFonts w:ascii="Times New Roman" w:hAnsi="Times New Roman" w:cs="Times New Roman"/>
          <w:color w:val="000000"/>
        </w:rPr>
        <w:t>and</w:t>
      </w:r>
      <w:r w:rsidRPr="002D6ADD">
        <w:rPr>
          <w:rStyle w:val="apple-converted-space"/>
          <w:rFonts w:ascii="Times New Roman" w:hAnsi="Times New Roman" w:cs="Times New Roman"/>
          <w:color w:val="000000"/>
        </w:rPr>
        <w:t> </w:t>
      </w:r>
      <w:r w:rsidRPr="002D6ADD">
        <w:rPr>
          <w:rStyle w:val="Emphasis"/>
          <w:rFonts w:ascii="Times New Roman" w:eastAsiaTheme="majorEastAsia" w:hAnsi="Times New Roman" w:cs="Times New Roman"/>
          <w:i w:val="0"/>
          <w:iCs w:val="0"/>
          <w:color w:val="000000"/>
        </w:rPr>
        <w:t xml:space="preserve">shallow </w:t>
      </w:r>
      <w:r w:rsidRPr="002D6ADD">
        <w:rPr>
          <w:rFonts w:ascii="Times New Roman" w:hAnsi="Times New Roman" w:cs="Times New Roman"/>
          <w:color w:val="000000"/>
        </w:rPr>
        <w:t xml:space="preserve">forms of integration </w:t>
      </w:r>
      <w:r w:rsidRPr="002D6ADD">
        <w:rPr>
          <w:rFonts w:ascii="Times New Roman" w:hAnsi="Times New Roman" w:cs="Times New Roman"/>
          <w:color w:val="000000"/>
        </w:rPr>
        <w:fldChar w:fldCharType="begin"/>
      </w:r>
      <w:r w:rsidRPr="002D6ADD">
        <w:rPr>
          <w:rFonts w:ascii="Times New Roman" w:hAnsi="Times New Roman" w:cs="Times New Roman"/>
          <w:color w:val="000000"/>
        </w:rPr>
        <w:instrText xml:space="preserve"> ADDIN ZOTERO_ITEM CSL_CITATION {"citationID":"VVg1Pzrm","properties":{"unsorted":false,"formattedCitation":"(Baier et al., 2014; D\\uc0\\u252{}r et al., 2014a; Mattoo et al., 2020)","plainCitation":"(Baier et al., 2014; Dür et al., 2014a; Mattoo et al., 2020)","noteIndex":0},"citationItems":[{"id":564,"uris":["http://zotero.org/users/local/FU1BXf8o/items/STY2I7JB"],"itemData":{"id":564,"type":"article-journal","abstract":"One of the main policy sources of trade–cost changes is the formation of an economic integration agreement (EIA), which potentially affects an importing country's welfare. This paper: (i) provides the first evidence using gravity equations of both intensive and extensive (goods) margins being affected by EIAs employing a panel data set with a large number of country pairs, product categories, and EIAs from 1962 to 2000; (ii) provides the first evidence of the differential (partial) effects of various “types” of EIAs on these intensive and extensive margins of trade; and (iii) finds a novel differential “timing” of the two margins' (partial) effects with intensive-margin effects occurring sooner than extensive-margin effects, consistent with recent theoretical predictions. The results are robust to correcting for potential sample-selection, firm-heterogeneity, and reverse causality biases.","container-title":"Journal of International Economics","DOI":"10.1016/j.jinteco.2014.03.005","ISSN":"0022-1996","issue":"2","journalAbbreviation":"Journal of International Economics","page":"339-350","source":"ScienceDirect","title":"Economic integration agreements and the margins of international trade","volume":"93","author":[{"family":"Baier","given":"Scott L."},{"family":"Bergstrand","given":"Jeffrey H."},{"family":"Feng","given":"Michael"}],"issued":{"date-parts":[["2014",7,1]]}}},{"id":560,"uris":["http://zotero.org/users/local/FU1BXf8o/items/47HBDWF3"],"itemData":{"id":560,"type":"article-journal","abstract":"Preferential trade agreements (PTAs) have been proliferating for the last twenty years. A large literature has studied various aspects of this phenomenon. Until recently, however, many large-N studies have paid only scant attention to variation across PTAs in terms of content and design. Our contribution to this literature is a new dataset on the design of trade agreements that is the most comprehensive in terms of both variables coded and agreements covered. We illustrate the dataset’s usefulness in re-visiting the questions if and to what extent PTAs impact trade flows. The analysis shows that on average PTAs increase trade flows, but that this effect is largely driven by deep agreements. In addition, we provide evidence that provisions that tackle behind-the-border regulation matter for trade flows. The dataset’s contribution is not limited to the PTA literature, however. Broader debates on topics such as institutional design and the legalization of international relations will also benefit from the novel data.","container-title":"The Review of International Organizations","DOI":"10.1007/s11558-013-9179-8","ISSN":"1559-744X","issue":"3","journalAbbreviation":"Rev Int Organ","language":"en","page":"353-375","source":"Springer Link","title":"The design of international trade agreements: Introducing a new dataset","title-short":"The design of international trade agreements","volume":"9","author":[{"family":"Dür","given":"Andreas"},{"family":"Baccini","given":"Leonardo"},{"family":"Elsig","given":"Manfred"}],"issued":{"date-parts":[["2014",9,1]]}}},{"id":570,"uris":["http://zotero.org/users/local/FU1BXf8o/items/K8TNBKAR"],"itemData":{"id":570,"type":"book","abstract":"This Handbook presents detailed data and analysis on the content of the policy areas most frequently covered in DTAs, focusing on the stated objectives, substantive commitments, and other aspects such as transparency, procedures, and enforcement.","ISBN":"978-1-4648-1554-6","language":"en","note":"Google-Books-ID: 8wi3EQAAQBAJ","number-of-pages":"635","publisher":"World Bank Publications","source":"Google Books","title":"Handbook of Deep Trade Agreements","author":[{"family":"Mattoo","given":"Aaditya"},{"family":"Rocha","given":"Nadia"},{"family":"Ruta","given":"Michele"}],"issued":{"date-parts":[["2020",9,23]]}}}],"schema":"https://github.com/citation-style-language/schema/raw/master/csl-citation.json"} </w:instrText>
      </w:r>
      <w:r w:rsidRPr="002D6ADD">
        <w:rPr>
          <w:rFonts w:ascii="Times New Roman" w:hAnsi="Times New Roman" w:cs="Times New Roman"/>
          <w:color w:val="000000"/>
        </w:rPr>
        <w:fldChar w:fldCharType="separate"/>
      </w:r>
      <w:r w:rsidRPr="002D6ADD">
        <w:rPr>
          <w:rFonts w:ascii="Times New Roman" w:hAnsi="Times New Roman" w:cs="Times New Roman"/>
          <w:color w:val="000000"/>
          <w:kern w:val="0"/>
        </w:rPr>
        <w:t>(Baier et al., 2014; Dür et al., 2014a; Mattoo et al., 2020)</w:t>
      </w:r>
      <w:r w:rsidRPr="002D6ADD">
        <w:rPr>
          <w:rFonts w:ascii="Times New Roman" w:hAnsi="Times New Roman" w:cs="Times New Roman"/>
          <w:color w:val="000000"/>
        </w:rPr>
        <w:fldChar w:fldCharType="end"/>
      </w:r>
      <w:r w:rsidRPr="002D6ADD">
        <w:rPr>
          <w:rFonts w:ascii="Times New Roman" w:hAnsi="Times New Roman" w:cs="Times New Roman"/>
          <w:color w:val="000000"/>
        </w:rPr>
        <w:t xml:space="preserve">. In this literature, agreement depth is typically measured by the number and enforceability of policy provisions extending beyond tariff reductions. These cover areas such as commitments covering services, investment, competition policy, public procurement, intellectual property rights, and regulatory cooperation. </w:t>
      </w:r>
      <w:r w:rsidRPr="002D6ADD">
        <w:rPr>
          <w:rFonts w:ascii="Times New Roman" w:hAnsi="Times New Roman" w:cs="Times New Roman"/>
          <w:color w:val="000000"/>
        </w:rPr>
        <w:fldChar w:fldCharType="begin"/>
      </w:r>
      <w:r>
        <w:rPr>
          <w:rFonts w:ascii="Times New Roman" w:hAnsi="Times New Roman" w:cs="Times New Roman"/>
          <w:color w:val="000000"/>
        </w:rPr>
        <w:instrText xml:space="preserve"> ADDIN ZOTERO_ITEM CSL_CITATION {"citationID":"fVm0MHMh","properties":{"unsorted":false,"formattedCitation":"(D\\uc0\\u252{}r et al., 2014b)","plainCitation":"(Dür et al., 2014b)","dontUpdate":true,"noteIndex":0},"citationItems":[{"id":574,"uris":["http://zotero.org/users/local/FU1BXf8o/items/4DCY9WSG"],"itemData":{"id":574,"type":"article-journal","abstract":"Preferential trade agreements (PTAs) have been proliferating for the last twenty years. A large literature has studied various aspects of this phenomenon. Until recently, however, many large-N studies have paid only scant attention to variation across PTAs in terms of content and design. Our contribution to this literature is a new dataset on the design of trade agreements that is the most comprehensive in terms of both variables coded and agreements covered. We illustrate the dataset’s usefulness in re-visiting the questions if and to what extent PTAs impact trade flows. The analysis shows that on average PTAs increase trade flows, but that this effect is largely driven by deep agreements. In addition, we provide evidence that provisions that tackle behind-the-border regulation matter for trade flows. The dataset’s contribution is not limited to the PTA literature, however. Broader debates on topics such as institutional design and the legalization of international relations will also benefit from the novel data.","container-title":"The Review of International Organizations","DOI":"10.1007/s11558-013-9179-8","ISSN":"1559-744X","issue":"3","journalAbbreviation":"Rev Int Organ","language":"en","page":"353-375","source":"Springer Link","title":"The design of international trade agreements: Introducing a new dataset","title-short":"The design of international trade agreements","volume":"9","author":[{"family":"Dür","given":"Andreas"},{"family":"Baccini","given":"Leonardo"},{"family":"Elsig","given":"Manfred"}],"issued":{"date-parts":[["2014",9,1]]}}}],"schema":"https://github.com/citation-style-language/schema/raw/master/csl-citation.json"} </w:instrText>
      </w:r>
      <w:r w:rsidRPr="002D6ADD">
        <w:rPr>
          <w:rFonts w:ascii="Times New Roman" w:hAnsi="Times New Roman" w:cs="Times New Roman"/>
          <w:color w:val="000000"/>
        </w:rPr>
        <w:fldChar w:fldCharType="separate"/>
      </w:r>
      <w:r w:rsidRPr="002D6ADD">
        <w:rPr>
          <w:rFonts w:ascii="Times New Roman" w:hAnsi="Times New Roman" w:cs="Times New Roman"/>
          <w:color w:val="000000"/>
          <w:kern w:val="0"/>
        </w:rPr>
        <w:t>Dür et al., (2014b)</w:t>
      </w:r>
      <w:r w:rsidRPr="002D6ADD">
        <w:rPr>
          <w:rFonts w:ascii="Times New Roman" w:hAnsi="Times New Roman" w:cs="Times New Roman"/>
          <w:color w:val="000000"/>
        </w:rPr>
        <w:fldChar w:fldCharType="end"/>
      </w:r>
      <w:r w:rsidRPr="002D6ADD">
        <w:rPr>
          <w:rFonts w:ascii="Times New Roman" w:hAnsi="Times New Roman" w:cs="Times New Roman"/>
          <w:color w:val="000000"/>
        </w:rPr>
        <w:t xml:space="preserve"> in their development of the DESTA dataset operationalize depth as the breadth and legal enforceability of the provisions included in a trade agreement. </w:t>
      </w:r>
      <w:r w:rsidRPr="002D6ADD">
        <w:rPr>
          <w:rFonts w:ascii="Times New Roman" w:hAnsi="Times New Roman" w:cs="Times New Roman"/>
          <w:color w:val="000000"/>
        </w:rPr>
        <w:fldChar w:fldCharType="begin"/>
      </w:r>
      <w:r>
        <w:rPr>
          <w:rFonts w:ascii="Times New Roman" w:hAnsi="Times New Roman" w:cs="Times New Roman"/>
          <w:color w:val="000000"/>
        </w:rPr>
        <w:instrText xml:space="preserve"> ADDIN ZOTERO_ITEM CSL_CITATION {"citationID":"73xLLwwY","properties":{"unsorted":false,"formattedCitation":"(Mattoo et al., 2020)","plainCitation":"(Mattoo et al., 2020)","dontUpdate":true,"noteIndex":0},"citationItems":[{"id":570,"uris":["http://zotero.org/users/local/FU1BXf8o/items/K8TNBKAR"],"itemData":{"id":570,"type":"book","abstract":"This Handbook presents detailed data and analysis on the content of the policy areas most frequently covered in DTAs, focusing on the stated objectives, substantive commitments, and other aspects such as transparency, procedures, and enforcement.","ISBN":"978-1-4648-1554-6","language":"en","note":"Google-Books-ID: 8wi3EQAAQBAJ","number-of-pages":"635","publisher":"World Bank Publications","source":"Google Books","title":"Handbook of Deep Trade Agreements","author":[{"family":"Mattoo","given":"Aaditya"},{"family":"Rocha","given":"Nadia"},{"family":"Ruta","given":"Michele"}],"issued":{"date-parts":[["2020",9,23]]}}}],"schema":"https://github.com/citation-style-language/schema/raw/master/csl-citation.json"} </w:instrText>
      </w:r>
      <w:r w:rsidRPr="002D6ADD">
        <w:rPr>
          <w:rFonts w:ascii="Times New Roman" w:hAnsi="Times New Roman" w:cs="Times New Roman"/>
          <w:color w:val="000000"/>
        </w:rPr>
        <w:fldChar w:fldCharType="separate"/>
      </w:r>
      <w:r w:rsidRPr="002D6ADD">
        <w:rPr>
          <w:rFonts w:ascii="Times New Roman" w:hAnsi="Times New Roman" w:cs="Times New Roman"/>
          <w:noProof/>
          <w:color w:val="000000"/>
        </w:rPr>
        <w:t>Mattoo et al. (2020)</w:t>
      </w:r>
      <w:r w:rsidRPr="002D6ADD">
        <w:rPr>
          <w:rFonts w:ascii="Times New Roman" w:hAnsi="Times New Roman" w:cs="Times New Roman"/>
          <w:color w:val="000000"/>
        </w:rPr>
        <w:fldChar w:fldCharType="end"/>
      </w:r>
      <w:r>
        <w:rPr>
          <w:rFonts w:ascii="Times New Roman" w:hAnsi="Times New Roman" w:cs="Times New Roman"/>
          <w:color w:val="000000"/>
        </w:rPr>
        <w:t>,</w:t>
      </w:r>
      <w:r w:rsidRPr="002D6ADD">
        <w:rPr>
          <w:rFonts w:ascii="Times New Roman" w:hAnsi="Times New Roman" w:cs="Times New Roman"/>
          <w:color w:val="000000"/>
        </w:rPr>
        <w:t xml:space="preserve"> in building the World Bank’s deep trade agreement database, also explore deep trade based on the extensiveness and legal bindingness of commitments across policy areas. </w:t>
      </w:r>
    </w:p>
    <w:p w14:paraId="3582D1C5" w14:textId="600D87B2" w:rsidR="00574AAE" w:rsidRDefault="00332079" w:rsidP="00CD58D7">
      <w:pPr>
        <w:spacing w:line="276" w:lineRule="auto"/>
        <w:rPr>
          <w:rFonts w:ascii="Times New Roman" w:hAnsi="Times New Roman" w:cs="Times New Roman"/>
          <w:color w:val="000000"/>
        </w:rPr>
      </w:pPr>
      <w:r w:rsidRPr="002D6ADD">
        <w:rPr>
          <w:rFonts w:ascii="Times New Roman" w:hAnsi="Times New Roman" w:cs="Times New Roman"/>
          <w:color w:val="000000"/>
        </w:rPr>
        <w:t xml:space="preserve">Consistent with these approaches, we categorize FTAs, CUs, and CMs as deep trade, as they typically involve comprehensive tariff liberalization combined with substantial regulatory and institutional integration. We classify PTAs and NR-PTAs as shallow trade. These arrangements generally involve limited tariff concessions, narrower product coverage, or unilateral preferences without extensive institutional commitments </w:t>
      </w:r>
      <w:r w:rsidRPr="002D6ADD">
        <w:rPr>
          <w:rFonts w:ascii="Times New Roman" w:hAnsi="Times New Roman" w:cs="Times New Roman"/>
          <w:color w:val="000000"/>
        </w:rPr>
        <w:fldChar w:fldCharType="begin"/>
      </w:r>
      <w:r w:rsidRPr="002D6ADD">
        <w:rPr>
          <w:rFonts w:ascii="Times New Roman" w:hAnsi="Times New Roman" w:cs="Times New Roman"/>
          <w:color w:val="000000"/>
        </w:rPr>
        <w:instrText xml:space="preserve"> ADDIN ZOTERO_ITEM CSL_CITATION {"citationID":"rXbDUq49","properties":{"unsorted":false,"formattedCitation":"(Lim\\uc0\\u227{}o, 2016)","plainCitation":"(Limão, 2016)","noteIndex":0},"citationItems":[{"id":577,"uris":["http://zotero.org/users/local/FU1BXf8o/items/BRBPFZ57"],"itemData":{"id":577,"type":"chapter","container-title":"Handbook of commercial policy","page":"279–367","publisher":"Elsevier","source":"Google Scholar","title":"Preferential trade agreements","URL":"https://www.sciencedirect.com/science/article/pii/S2214312216300138","volume":"1","author":[{"family":"Limão","given":"Nuno"}],"accessed":{"date-parts":[["2026",2,16]]},"issued":{"date-parts":[["2016"]]}}}],"schema":"https://github.com/citation-style-language/schema/raw/master/csl-citation.json"} </w:instrText>
      </w:r>
      <w:r w:rsidRPr="002D6ADD">
        <w:rPr>
          <w:rFonts w:ascii="Times New Roman" w:hAnsi="Times New Roman" w:cs="Times New Roman"/>
          <w:color w:val="000000"/>
        </w:rPr>
        <w:fldChar w:fldCharType="separate"/>
      </w:r>
      <w:r w:rsidRPr="002D6ADD">
        <w:rPr>
          <w:rFonts w:ascii="Times New Roman" w:hAnsi="Times New Roman" w:cs="Times New Roman"/>
          <w:color w:val="000000"/>
          <w:kern w:val="0"/>
        </w:rPr>
        <w:t>(Limão, 2016)</w:t>
      </w:r>
      <w:r w:rsidRPr="002D6ADD">
        <w:rPr>
          <w:rFonts w:ascii="Times New Roman" w:hAnsi="Times New Roman" w:cs="Times New Roman"/>
          <w:color w:val="000000"/>
        </w:rPr>
        <w:fldChar w:fldCharType="end"/>
      </w:r>
      <w:r w:rsidRPr="002D6ADD">
        <w:rPr>
          <w:rFonts w:ascii="Times New Roman" w:hAnsi="Times New Roman" w:cs="Times New Roman"/>
          <w:color w:val="000000"/>
        </w:rPr>
        <w:t>.</w:t>
      </w:r>
      <w:r w:rsidR="00760089">
        <w:rPr>
          <w:rFonts w:ascii="Times New Roman" w:hAnsi="Times New Roman" w:cs="Times New Roman"/>
          <w:color w:val="000000"/>
        </w:rPr>
        <w:t xml:space="preserve"> Because our sectoral employment and productivity variables are measured at the country-year level, we also aggregate the trade data to a developing country-year level panel data. For each developing country and year, we aggregate the number of deep and shallow bilateral trade agreements the country has with its developing country pairs.</w:t>
      </w:r>
      <w:r w:rsidR="001406AB">
        <w:rPr>
          <w:rFonts w:ascii="Times New Roman" w:hAnsi="Times New Roman" w:cs="Times New Roman"/>
          <w:color w:val="000000"/>
        </w:rPr>
        <w:t xml:space="preserve"> </w:t>
      </w:r>
    </w:p>
    <w:p w14:paraId="75C6D30D" w14:textId="2B35441D" w:rsidR="001406AB" w:rsidRDefault="001406AB" w:rsidP="00CD58D7">
      <w:pPr>
        <w:spacing w:line="276" w:lineRule="auto"/>
        <w:rPr>
          <w:rFonts w:ascii="Times New Roman" w:eastAsiaTheme="minorEastAsia" w:hAnsi="Times New Roman" w:cs="Times New Roman"/>
          <w:color w:val="000000"/>
        </w:rPr>
      </w:pPr>
      <w:r>
        <w:rPr>
          <w:rFonts w:ascii="Times New Roman" w:hAnsi="Times New Roman" w:cs="Times New Roman"/>
          <w:color w:val="000000"/>
        </w:rPr>
        <w:t xml:space="preserve">Let </w:t>
      </w:r>
      <m:oMath>
        <m:sSubSup>
          <m:sSubSupPr>
            <m:ctrlPr>
              <w:rPr>
                <w:rFonts w:ascii="Cambria Math" w:hAnsi="Cambria Math" w:cs="Times New Roman"/>
                <w:i/>
                <w:color w:val="000000"/>
              </w:rPr>
            </m:ctrlPr>
          </m:sSubSupPr>
          <m:e>
            <m:r>
              <w:rPr>
                <w:rFonts w:ascii="Cambria Math" w:hAnsi="Cambria Math" w:cs="Times New Roman"/>
                <w:color w:val="000000"/>
              </w:rPr>
              <m:t>A</m:t>
            </m:r>
          </m:e>
          <m:sub>
            <m:r>
              <w:rPr>
                <w:rFonts w:ascii="Cambria Math" w:hAnsi="Cambria Math" w:cs="Times New Roman"/>
                <w:color w:val="000000"/>
              </w:rPr>
              <m:t>i,s,t</m:t>
            </m:r>
          </m:sub>
          <m:sup>
            <m:r>
              <w:rPr>
                <w:rFonts w:ascii="Cambria Math" w:hAnsi="Cambria Math" w:cs="Times New Roman"/>
                <w:color w:val="000000"/>
              </w:rPr>
              <m:t>k</m:t>
            </m:r>
          </m:sup>
        </m:sSubSup>
      </m:oMath>
      <w:r>
        <w:rPr>
          <w:rFonts w:ascii="Times New Roman" w:eastAsiaTheme="minorEastAsia" w:hAnsi="Times New Roman" w:cs="Times New Roman"/>
          <w:color w:val="000000"/>
        </w:rPr>
        <w:t xml:space="preserve"> be a binary indicator equal to one if developing country </w:t>
      </w:r>
      <w:proofErr w:type="spellStart"/>
      <w:r>
        <w:rPr>
          <w:rFonts w:ascii="Times New Roman" w:eastAsiaTheme="minorEastAsia" w:hAnsi="Times New Roman" w:cs="Times New Roman"/>
          <w:i/>
          <w:iCs/>
          <w:color w:val="000000"/>
        </w:rPr>
        <w:t>i</w:t>
      </w:r>
      <w:proofErr w:type="spellEnd"/>
      <w:r>
        <w:rPr>
          <w:rFonts w:ascii="Times New Roman" w:eastAsiaTheme="minorEastAsia" w:hAnsi="Times New Roman" w:cs="Times New Roman"/>
          <w:i/>
          <w:iCs/>
          <w:color w:val="000000"/>
        </w:rPr>
        <w:t xml:space="preserve"> </w:t>
      </w:r>
      <w:r>
        <w:rPr>
          <w:rFonts w:ascii="Times New Roman" w:eastAsiaTheme="minorEastAsia" w:hAnsi="Times New Roman" w:cs="Times New Roman"/>
          <w:color w:val="000000"/>
        </w:rPr>
        <w:t xml:space="preserve">has an agreement of type </w:t>
      </w:r>
      <m:oMath>
        <m:r>
          <w:rPr>
            <w:rFonts w:ascii="Cambria Math" w:eastAsiaTheme="minorEastAsia" w:hAnsi="Cambria Math" w:cs="Times New Roman"/>
            <w:color w:val="000000"/>
          </w:rPr>
          <m:t>k∈(Deep, Shallow)</m:t>
        </m:r>
      </m:oMath>
      <w:r>
        <w:rPr>
          <w:rFonts w:ascii="Times New Roman" w:eastAsiaTheme="minorEastAsia" w:hAnsi="Times New Roman" w:cs="Times New Roman"/>
          <w:color w:val="000000"/>
        </w:rPr>
        <w:t xml:space="preserve"> with developed p</w:t>
      </w:r>
      <w:r w:rsidR="00574AAE">
        <w:rPr>
          <w:rFonts w:ascii="Times New Roman" w:eastAsiaTheme="minorEastAsia" w:hAnsi="Times New Roman" w:cs="Times New Roman"/>
          <w:color w:val="000000"/>
        </w:rPr>
        <w:t xml:space="preserve">artner </w:t>
      </w:r>
      <w:r w:rsidR="00574AAE">
        <w:rPr>
          <w:rFonts w:ascii="Times New Roman" w:eastAsiaTheme="minorEastAsia" w:hAnsi="Times New Roman" w:cs="Times New Roman"/>
          <w:i/>
          <w:iCs/>
          <w:color w:val="000000"/>
        </w:rPr>
        <w:t xml:space="preserve">s </w:t>
      </w:r>
      <w:r w:rsidR="00574AAE">
        <w:rPr>
          <w:rFonts w:ascii="Times New Roman" w:eastAsiaTheme="minorEastAsia" w:hAnsi="Times New Roman" w:cs="Times New Roman"/>
          <w:color w:val="000000"/>
        </w:rPr>
        <w:t>in year t. Then our baseline dependent variables are the count of the number of deep and shallow trade agreements a country has in a year. That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
        <w:gridCol w:w="8511"/>
        <w:gridCol w:w="496"/>
      </w:tblGrid>
      <w:tr w:rsidR="00574AAE" w:rsidRPr="00BC255D" w14:paraId="487CC4A3" w14:textId="77777777">
        <w:tc>
          <w:tcPr>
            <w:tcW w:w="353" w:type="dxa"/>
            <w:vAlign w:val="center"/>
          </w:tcPr>
          <w:p w14:paraId="543AD119" w14:textId="77777777" w:rsidR="00574AAE" w:rsidRPr="00BC255D" w:rsidRDefault="00574AAE" w:rsidP="00CD58D7">
            <w:pPr>
              <w:spacing w:line="276" w:lineRule="auto"/>
              <w:jc w:val="center"/>
              <w:rPr>
                <w:rFonts w:ascii="Times New Roman" w:hAnsi="Times New Roman" w:cs="Times New Roman"/>
                <w:sz w:val="24"/>
                <w:szCs w:val="24"/>
              </w:rPr>
            </w:pPr>
          </w:p>
        </w:tc>
        <w:tc>
          <w:tcPr>
            <w:tcW w:w="8511" w:type="dxa"/>
            <w:vAlign w:val="center"/>
          </w:tcPr>
          <w:p w14:paraId="6F74A1CB" w14:textId="6C7489EF" w:rsidR="00574AAE" w:rsidRPr="00574AAE" w:rsidRDefault="00000000" w:rsidP="00CD58D7">
            <w:pPr>
              <w:spacing w:line="276" w:lineRule="auto"/>
              <w:jc w:val="center"/>
              <w:rPr>
                <w:rFonts w:ascii="Times New Roman" w:eastAsia="Cambria Math" w:hAnsi="Times New Roman" w:cs="Times New Roman"/>
              </w:rPr>
            </w:pPr>
            <m:oMathPara>
              <m:oMath>
                <m:sSub>
                  <m:sSubPr>
                    <m:ctrlPr>
                      <w:rPr>
                        <w:rFonts w:ascii="Cambria Math" w:eastAsia="Cambria Math" w:hAnsi="Cambria Math" w:cs="Times New Roman"/>
                        <w:i/>
                      </w:rPr>
                    </m:ctrlPr>
                  </m:sSubPr>
                  <m:e>
                    <m:r>
                      <w:rPr>
                        <w:rFonts w:ascii="Cambria Math" w:eastAsia="Cambria Math" w:hAnsi="Cambria Math" w:cs="Times New Roman"/>
                      </w:rPr>
                      <m:t>DeepCount</m:t>
                    </m:r>
                  </m:e>
                  <m:sub>
                    <m:r>
                      <w:rPr>
                        <w:rFonts w:ascii="Cambria Math" w:eastAsia="Cambria Math" w:hAnsi="Cambria Math" w:cs="Times New Roman"/>
                      </w:rPr>
                      <m:t>i,t</m:t>
                    </m:r>
                  </m:sub>
                </m:sSub>
                <m:r>
                  <w:rPr>
                    <w:rFonts w:ascii="Cambria Math" w:eastAsia="Cambria Math" w:hAnsi="Cambria Math" w:cs="Times New Roman"/>
                  </w:rPr>
                  <m:t>=</m:t>
                </m:r>
                <m:nary>
                  <m:naryPr>
                    <m:chr m:val="∑"/>
                    <m:limLoc m:val="undOvr"/>
                    <m:supHide m:val="1"/>
                    <m:ctrlPr>
                      <w:rPr>
                        <w:rFonts w:ascii="Cambria Math" w:eastAsia="Cambria Math" w:hAnsi="Cambria Math" w:cs="Times New Roman"/>
                        <w:i/>
                      </w:rPr>
                    </m:ctrlPr>
                  </m:naryPr>
                  <m:sub>
                    <m:r>
                      <w:rPr>
                        <w:rFonts w:ascii="Cambria Math" w:eastAsia="Cambria Math" w:hAnsi="Cambria Math" w:cs="Times New Roman"/>
                      </w:rPr>
                      <m:t>s</m:t>
                    </m:r>
                  </m:sub>
                  <m:sup/>
                  <m:e>
                    <m:sSubSup>
                      <m:sSubSupPr>
                        <m:ctrlPr>
                          <w:rPr>
                            <w:rFonts w:ascii="Cambria Math" w:hAnsi="Cambria Math" w:cs="Times New Roman"/>
                            <w:i/>
                            <w:color w:val="000000"/>
                            <w:kern w:val="2"/>
                            <w:sz w:val="24"/>
                            <w:szCs w:val="24"/>
                            <w14:ligatures w14:val="standardContextual"/>
                          </w:rPr>
                        </m:ctrlPr>
                      </m:sSubSupPr>
                      <m:e>
                        <m:r>
                          <w:rPr>
                            <w:rFonts w:ascii="Cambria Math" w:hAnsi="Cambria Math" w:cs="Times New Roman"/>
                            <w:color w:val="000000"/>
                          </w:rPr>
                          <m:t>A</m:t>
                        </m:r>
                      </m:e>
                      <m:sub>
                        <m:r>
                          <w:rPr>
                            <w:rFonts w:ascii="Cambria Math" w:hAnsi="Cambria Math" w:cs="Times New Roman"/>
                            <w:color w:val="000000"/>
                          </w:rPr>
                          <m:t>i,s,t</m:t>
                        </m:r>
                      </m:sub>
                      <m:sup>
                        <m:r>
                          <w:rPr>
                            <w:rFonts w:ascii="Cambria Math" w:hAnsi="Cambria Math" w:cs="Times New Roman"/>
                            <w:color w:val="000000"/>
                          </w:rPr>
                          <m:t>Deep</m:t>
                        </m:r>
                      </m:sup>
                    </m:sSubSup>
                  </m:e>
                </m:nary>
                <m:r>
                  <w:rPr>
                    <w:rFonts w:ascii="Cambria Math" w:eastAsia="Cambria Math" w:hAnsi="Cambria Math" w:cs="Times New Roman"/>
                  </w:rPr>
                  <m:t xml:space="preserve"> </m:t>
                </m:r>
              </m:oMath>
            </m:oMathPara>
          </w:p>
          <w:p w14:paraId="0DB7037C" w14:textId="47957A2E" w:rsidR="00574AAE" w:rsidRPr="00BC255D" w:rsidRDefault="00000000" w:rsidP="00CD58D7">
            <w:pPr>
              <w:spacing w:line="276" w:lineRule="auto"/>
              <w:jc w:val="center"/>
              <w:rPr>
                <w:rFonts w:ascii="Times New Roman" w:eastAsia="Cambria Math" w:hAnsi="Times New Roman" w:cs="Times New Roman"/>
              </w:rPr>
            </w:pPr>
            <m:oMathPara>
              <m:oMath>
                <m:sSub>
                  <m:sSubPr>
                    <m:ctrlPr>
                      <w:rPr>
                        <w:rFonts w:ascii="Cambria Math" w:eastAsia="Cambria Math" w:hAnsi="Cambria Math" w:cs="Times New Roman"/>
                        <w:i/>
                      </w:rPr>
                    </m:ctrlPr>
                  </m:sSubPr>
                  <m:e>
                    <m:r>
                      <w:rPr>
                        <w:rFonts w:ascii="Cambria Math" w:eastAsia="Cambria Math" w:hAnsi="Cambria Math" w:cs="Times New Roman"/>
                      </w:rPr>
                      <m:t>ShallowCount</m:t>
                    </m:r>
                  </m:e>
                  <m:sub>
                    <m:r>
                      <w:rPr>
                        <w:rFonts w:ascii="Cambria Math" w:eastAsia="Cambria Math" w:hAnsi="Cambria Math" w:cs="Times New Roman"/>
                      </w:rPr>
                      <m:t>i,t</m:t>
                    </m:r>
                  </m:sub>
                </m:sSub>
                <m:r>
                  <w:rPr>
                    <w:rFonts w:ascii="Cambria Math" w:eastAsia="Cambria Math" w:hAnsi="Cambria Math" w:cs="Times New Roman"/>
                  </w:rPr>
                  <m:t>=</m:t>
                </m:r>
                <m:nary>
                  <m:naryPr>
                    <m:chr m:val="∑"/>
                    <m:limLoc m:val="undOvr"/>
                    <m:supHide m:val="1"/>
                    <m:ctrlPr>
                      <w:rPr>
                        <w:rFonts w:ascii="Cambria Math" w:eastAsia="Cambria Math" w:hAnsi="Cambria Math" w:cs="Times New Roman"/>
                        <w:i/>
                      </w:rPr>
                    </m:ctrlPr>
                  </m:naryPr>
                  <m:sub>
                    <m:r>
                      <w:rPr>
                        <w:rFonts w:ascii="Cambria Math" w:eastAsia="Cambria Math" w:hAnsi="Cambria Math" w:cs="Times New Roman"/>
                      </w:rPr>
                      <m:t>s</m:t>
                    </m:r>
                  </m:sub>
                  <m:sup/>
                  <m:e>
                    <m:sSubSup>
                      <m:sSubSupPr>
                        <m:ctrlPr>
                          <w:rPr>
                            <w:rFonts w:ascii="Cambria Math" w:hAnsi="Cambria Math" w:cs="Times New Roman"/>
                            <w:i/>
                            <w:color w:val="000000"/>
                            <w:kern w:val="2"/>
                            <w:sz w:val="24"/>
                            <w:szCs w:val="24"/>
                            <w14:ligatures w14:val="standardContextual"/>
                          </w:rPr>
                        </m:ctrlPr>
                      </m:sSubSupPr>
                      <m:e>
                        <m:r>
                          <w:rPr>
                            <w:rFonts w:ascii="Cambria Math" w:hAnsi="Cambria Math" w:cs="Times New Roman"/>
                            <w:color w:val="000000"/>
                          </w:rPr>
                          <m:t>A</m:t>
                        </m:r>
                      </m:e>
                      <m:sub>
                        <m:r>
                          <w:rPr>
                            <w:rFonts w:ascii="Cambria Math" w:hAnsi="Cambria Math" w:cs="Times New Roman"/>
                            <w:color w:val="000000"/>
                          </w:rPr>
                          <m:t>i,s,t</m:t>
                        </m:r>
                      </m:sub>
                      <m:sup>
                        <m:r>
                          <w:rPr>
                            <w:rFonts w:ascii="Cambria Math" w:hAnsi="Cambria Math" w:cs="Times New Roman"/>
                            <w:color w:val="000000"/>
                          </w:rPr>
                          <m:t>Shallow</m:t>
                        </m:r>
                      </m:sup>
                    </m:sSubSup>
                  </m:e>
                </m:nary>
              </m:oMath>
            </m:oMathPara>
          </w:p>
          <w:p w14:paraId="686FD04B" w14:textId="77777777" w:rsidR="00574AAE" w:rsidRPr="00BC255D" w:rsidRDefault="00574AAE" w:rsidP="00CD58D7">
            <w:pPr>
              <w:spacing w:line="276" w:lineRule="auto"/>
              <w:jc w:val="center"/>
              <w:rPr>
                <w:rFonts w:ascii="Times New Roman" w:hAnsi="Times New Roman" w:cs="Times New Roman"/>
                <w:sz w:val="24"/>
                <w:szCs w:val="24"/>
              </w:rPr>
            </w:pPr>
          </w:p>
        </w:tc>
        <w:tc>
          <w:tcPr>
            <w:tcW w:w="496" w:type="dxa"/>
            <w:vAlign w:val="center"/>
          </w:tcPr>
          <w:p w14:paraId="2496CE80" w14:textId="77777777" w:rsidR="00574AAE" w:rsidRPr="00BC255D" w:rsidRDefault="00574AAE" w:rsidP="00CD58D7">
            <w:pPr>
              <w:spacing w:line="276" w:lineRule="auto"/>
              <w:jc w:val="center"/>
              <w:rPr>
                <w:rFonts w:ascii="Times New Roman" w:hAnsi="Times New Roman" w:cs="Times New Roman"/>
                <w:sz w:val="24"/>
                <w:szCs w:val="24"/>
              </w:rPr>
            </w:pPr>
            <w:r w:rsidRPr="00BC255D">
              <w:rPr>
                <w:rFonts w:ascii="Times New Roman" w:hAnsi="Times New Roman" w:cs="Times New Roman"/>
                <w:sz w:val="24"/>
                <w:szCs w:val="24"/>
              </w:rPr>
              <w:t>(1)</w:t>
            </w:r>
          </w:p>
        </w:tc>
      </w:tr>
    </w:tbl>
    <w:p w14:paraId="3FAA51E8" w14:textId="77777777" w:rsidR="00574AAE" w:rsidRPr="00574AAE" w:rsidRDefault="00574AAE" w:rsidP="00CD58D7">
      <w:pPr>
        <w:spacing w:line="276" w:lineRule="auto"/>
        <w:rPr>
          <w:rFonts w:ascii="Times New Roman" w:hAnsi="Times New Roman" w:cs="Times New Roman"/>
          <w:color w:val="000000"/>
        </w:rPr>
      </w:pPr>
    </w:p>
    <w:p w14:paraId="110357B7" w14:textId="25957C91" w:rsidR="00332079" w:rsidRDefault="00760089" w:rsidP="00CD58D7">
      <w:pPr>
        <w:spacing w:line="276" w:lineRule="auto"/>
        <w:rPr>
          <w:rFonts w:ascii="Times New Roman" w:hAnsi="Times New Roman" w:cs="Times New Roman"/>
          <w:color w:val="000000"/>
        </w:rPr>
      </w:pPr>
      <w:r>
        <w:rPr>
          <w:rFonts w:ascii="Times New Roman" w:hAnsi="Times New Roman" w:cs="Times New Roman"/>
          <w:color w:val="000000"/>
        </w:rPr>
        <w:lastRenderedPageBreak/>
        <w:t xml:space="preserve"> The result is a country-level panel data of the number of deep trade and shallow trade agreements developing countries have had with their developed country partners</w:t>
      </w:r>
      <w:r w:rsidR="00574AAE">
        <w:rPr>
          <w:rFonts w:ascii="Times New Roman" w:hAnsi="Times New Roman" w:cs="Times New Roman"/>
          <w:color w:val="000000"/>
        </w:rPr>
        <w:t xml:space="preserve"> over the years</w:t>
      </w:r>
      <w:r>
        <w:rPr>
          <w:rFonts w:ascii="Times New Roman" w:hAnsi="Times New Roman" w:cs="Times New Roman"/>
          <w:color w:val="000000"/>
        </w:rPr>
        <w:t>.</w:t>
      </w:r>
    </w:p>
    <w:p w14:paraId="11194FC1" w14:textId="6D121839" w:rsidR="00BA52C5" w:rsidRDefault="00BA52C5" w:rsidP="00CD58D7">
      <w:pPr>
        <w:pStyle w:val="NormalWeb"/>
        <w:spacing w:line="276" w:lineRule="auto"/>
        <w:rPr>
          <w:color w:val="000000"/>
        </w:rPr>
      </w:pPr>
      <w:r>
        <w:rPr>
          <w:color w:val="000000"/>
        </w:rPr>
        <w:t>The evolution of trade agreements displayed in Figure 1 reveals two distinct patterns in the development of deep and shallow trade integration over time. Panel B shows that shallow trade agreements began to emerge earlier, with a noticeable increase starting in the 1960s and accelerating through the 1970s and 1980s. This pattern aligns closely with the expansion of preferential trade arrangements under the</w:t>
      </w:r>
      <w:r>
        <w:rPr>
          <w:rStyle w:val="apple-converted-space"/>
          <w:rFonts w:eastAsiaTheme="majorEastAsia"/>
          <w:color w:val="000000"/>
        </w:rPr>
        <w:t> </w:t>
      </w:r>
      <w:r>
        <w:rPr>
          <w:rStyle w:val="whitespace-normal"/>
          <w:rFonts w:eastAsiaTheme="majorEastAsia"/>
          <w:color w:val="000000"/>
        </w:rPr>
        <w:t>General Agreement on Tariffs and Trade (GATT)</w:t>
      </w:r>
      <w:r>
        <w:rPr>
          <w:color w:val="000000"/>
        </w:rPr>
        <w:t xml:space="preserve">, which promoted tariff reductions through successive negotiation rounds while permitting limited-scope preferential agreements, particularly for developing countries under schemes such as the </w:t>
      </w:r>
      <w:bookmarkStart w:id="0" w:name="_Hlk224597198"/>
      <w:r>
        <w:rPr>
          <w:color w:val="000000"/>
        </w:rPr>
        <w:t xml:space="preserve">Generalized System of </w:t>
      </w:r>
      <w:bookmarkEnd w:id="0"/>
      <w:r>
        <w:rPr>
          <w:color w:val="000000"/>
        </w:rPr>
        <w:t xml:space="preserve">Preferences (GSP) </w:t>
      </w:r>
      <w:r>
        <w:rPr>
          <w:color w:val="000000"/>
        </w:rPr>
        <w:fldChar w:fldCharType="begin"/>
      </w:r>
      <w:r>
        <w:rPr>
          <w:color w:val="000000"/>
        </w:rPr>
        <w:instrText xml:space="preserve"> ADDIN ZOTERO_ITEM CSL_CITATION {"citationID":"Jz0WS6vS","properties":{"unsorted":false,"formattedCitation":"(Bagwell &amp; Staiger, 2004; Irwin et al., 2008)","plainCitation":"(Bagwell &amp; Staiger, 2004; Irwin et al., 2008)","noteIndex":0},"citationItems":[{"id":622,"uris":["http://zotero.org/users/local/FU1BXf8o/items/TKQR7L2I"],"itemData":{"id":622,"type":"book","publisher":"MIT press","source":"Google Scholar","title":"The economics of the world trading system","URL":"https://books.google.com/books?hl=en&amp;lr=&amp;id=JE146yt90t0C&amp;oi=fnd&amp;pg=PR11&amp;dq=Bagwell,+K.,+%26+Staiger,+R.+W.+(2002).+The+Economics+of+the+World+Trading+System.+MIT+Press.&amp;ots=2KsKGHHbfk&amp;sig=BQb28tnDFPpJr_F2ThKe-_tBDyE","author":[{"family":"Bagwell","given":"Kyle"},{"family":"Staiger","given":"Robert W."}],"accessed":{"date-parts":[["2026",3,16]]},"issued":{"date-parts":[["2004"]]}}},{"id":617,"uris":["http://zotero.org/users/local/FU1BXf8o/items/WDFJE3Y5"],"itemData":{"id":617,"type":"book","publisher":"Cambridge University Press","source":"Google Scholar","title":"The Genesis of the GATT","URL":"https://books.google.com/books?hl=en&amp;lr=&amp;id=cTbPpd6pKEoC&amp;oi=fnd&amp;pg=PA5&amp;dq=Irwin,+D.+A.,+Mavroidis,+P.+C.,+%26+Sykes,+A.+O.+(2008).+The+Genesis+of+the+GATT.+Cambridge+University+Press.&amp;ots=uAun110wtN&amp;sig=lfZLmKVghwiMKchkUUEp0YZVuvU","author":[{"family":"Irwin","given":"Douglas A."},{"family":"Mavroidis","given":"Petros C."},{"family":"Sykes","given":"Alan O."}],"accessed":{"date-parts":[["2026",3,16]]},"issued":{"date-parts":[["2008"]]}}}],"schema":"https://github.com/citation-style-language/schema/raw/master/csl-citation.json"} </w:instrText>
      </w:r>
      <w:r>
        <w:rPr>
          <w:color w:val="000000"/>
        </w:rPr>
        <w:fldChar w:fldCharType="separate"/>
      </w:r>
      <w:r>
        <w:rPr>
          <w:noProof/>
          <w:color w:val="000000"/>
        </w:rPr>
        <w:t>(Bagwell &amp; Staiger, 2004; Irwin et al., 2008)</w:t>
      </w:r>
      <w:r>
        <w:rPr>
          <w:color w:val="000000"/>
        </w:rPr>
        <w:fldChar w:fldCharType="end"/>
      </w:r>
      <w:r>
        <w:rPr>
          <w:color w:val="000000"/>
        </w:rPr>
        <w:t>. During this period, trade liberalization was largely confined to border measures, and agreements tended to remain relatively shallow in scope.</w:t>
      </w:r>
    </w:p>
    <w:p w14:paraId="13155E22" w14:textId="39705900" w:rsidR="00BA52C5" w:rsidRDefault="001577A4" w:rsidP="00CD58D7">
      <w:pPr>
        <w:pStyle w:val="NormalWeb"/>
        <w:spacing w:line="276" w:lineRule="auto"/>
        <w:rPr>
          <w:color w:val="000000"/>
        </w:rPr>
      </w:pPr>
      <w:r>
        <w:rPr>
          <w:color w:val="000000"/>
        </w:rPr>
        <w:t xml:space="preserve">In </w:t>
      </w:r>
      <w:r w:rsidR="00BA52C5">
        <w:rPr>
          <w:color w:val="000000"/>
        </w:rPr>
        <w:t>Panel A</w:t>
      </w:r>
      <w:r>
        <w:rPr>
          <w:color w:val="000000"/>
        </w:rPr>
        <w:t>, we see that</w:t>
      </w:r>
      <w:r w:rsidR="00BA52C5">
        <w:rPr>
          <w:color w:val="000000"/>
        </w:rPr>
        <w:t xml:space="preserve"> deep trade agreements </w:t>
      </w:r>
      <w:r>
        <w:rPr>
          <w:color w:val="000000"/>
        </w:rPr>
        <w:t>were</w:t>
      </w:r>
      <w:r w:rsidR="00BA52C5">
        <w:rPr>
          <w:color w:val="000000"/>
        </w:rPr>
        <w:t xml:space="preserve"> virtually nonexistent until the early 1990s, </w:t>
      </w:r>
      <w:r>
        <w:rPr>
          <w:color w:val="000000"/>
        </w:rPr>
        <w:t>where we see a sharp increase</w:t>
      </w:r>
      <w:r w:rsidR="00BA52C5">
        <w:rPr>
          <w:color w:val="000000"/>
        </w:rPr>
        <w:t>. This structural shift coincides with the establishment of the</w:t>
      </w:r>
      <w:r w:rsidR="00BA52C5">
        <w:rPr>
          <w:rStyle w:val="apple-converted-space"/>
          <w:rFonts w:eastAsiaTheme="majorEastAsia"/>
          <w:color w:val="000000"/>
        </w:rPr>
        <w:t> </w:t>
      </w:r>
      <w:r w:rsidR="00BA52C5">
        <w:rPr>
          <w:rStyle w:val="whitespace-normal"/>
          <w:rFonts w:eastAsiaTheme="majorEastAsia"/>
          <w:color w:val="000000"/>
        </w:rPr>
        <w:t>World Trade Organization</w:t>
      </w:r>
      <w:r w:rsidR="00BA52C5">
        <w:rPr>
          <w:rStyle w:val="apple-converted-space"/>
          <w:rFonts w:eastAsiaTheme="majorEastAsia"/>
          <w:color w:val="000000"/>
        </w:rPr>
        <w:t> </w:t>
      </w:r>
      <w:r w:rsidR="00BA52C5">
        <w:rPr>
          <w:color w:val="000000"/>
        </w:rPr>
        <w:t>in 1995, which marked a fundamental transformation in the global trading system. The WTO expanded the scope of trade governance beyond tariffs to include services (GATS), intellectual property rights (TRIPS), and investment-related measures (TRIMS)</w:t>
      </w:r>
      <w:r>
        <w:rPr>
          <w:color w:val="000000"/>
        </w:rPr>
        <w:t>. This encouraged</w:t>
      </w:r>
      <w:r w:rsidR="00BA52C5">
        <w:rPr>
          <w:color w:val="000000"/>
        </w:rPr>
        <w:t xml:space="preserve"> more comprehensive and legally enforceable forms of economic integration </w:t>
      </w:r>
      <w:r>
        <w:rPr>
          <w:color w:val="000000"/>
        </w:rPr>
        <w:fldChar w:fldCharType="begin"/>
      </w:r>
      <w:r>
        <w:rPr>
          <w:color w:val="000000"/>
        </w:rPr>
        <w:instrText xml:space="preserve"> ADDIN ZOTERO_ITEM CSL_CITATION {"citationID":"b3gIUDVK","properties":{"unsorted":false,"formattedCitation":"(Baldwin, 2016; Mattoo et al., 2020)","plainCitation":"(Baldwin, 2016; Mattoo et al., 2020)","noteIndex":0},"citationItems":[{"id":624,"uris":["http://zotero.org/users/local/FU1BXf8o/items/BEPMWNTF"],"itemData":{"id":624,"type":"book","publisher":"Harvard University Press","source":"Google Scholar","title":"The great convergence: Information technology and the new globalization","title-short":"The great convergence","URL":"https://books.google.com/books?hl=en&amp;lr=&amp;id=B2msDQAAQBAJ&amp;oi=fnd&amp;pg=PP1&amp;dq=Baldwin,+R.+(2016).+The+Great+Convergence:+Information+Technology+and+the+New+Globalization.+Harvard+University+Press&amp;ots=4jWZQVPL1i&amp;sig=hhTkHxBaho1ZrtM7bU589yN-HZQ","author":[{"family":"Baldwin","given":"Richard"}],"accessed":{"date-parts":[["2026",3,16]]},"issued":{"date-parts":[["2016"]]}}},{"id":570,"uris":["http://zotero.org/users/local/FU1BXf8o/items/K8TNBKAR"],"itemData":{"id":570,"type":"book","abstract":"This Handbook presents detailed data and analysis on the content of the policy areas most frequently covered in DTAs, focusing on the stated objectives, substantive commitments, and other aspects such as transparency, procedures, and enforcement.","ISBN":"978-1-4648-1554-6","language":"en","note":"Google-Books-ID: 8wi3EQAAQBAJ","number-of-pages":"635","publisher":"World Bank Publications","source":"Google Books","title":"Handbook of Deep Trade Agreements","author":[{"family":"Mattoo","given":"Aaditya"},{"family":"Rocha","given":"Nadia"},{"family":"Ruta","given":"Michele"}],"issued":{"date-parts":[["2020",9,23]]}}}],"schema":"https://github.com/citation-style-language/schema/raw/master/csl-citation.json"} </w:instrText>
      </w:r>
      <w:r>
        <w:rPr>
          <w:color w:val="000000"/>
        </w:rPr>
        <w:fldChar w:fldCharType="separate"/>
      </w:r>
      <w:r>
        <w:rPr>
          <w:noProof/>
          <w:color w:val="000000"/>
        </w:rPr>
        <w:t>(Baldwin, 2016; Mattoo et al., 2020)</w:t>
      </w:r>
      <w:r>
        <w:rPr>
          <w:color w:val="000000"/>
        </w:rPr>
        <w:fldChar w:fldCharType="end"/>
      </w:r>
      <w:r>
        <w:rPr>
          <w:color w:val="000000"/>
        </w:rPr>
        <w:t>.</w:t>
      </w:r>
    </w:p>
    <w:p w14:paraId="7B261DC7" w14:textId="4EB53287" w:rsidR="001571FA" w:rsidRDefault="00BA52C5" w:rsidP="00CD58D7">
      <w:pPr>
        <w:pStyle w:val="NormalWeb"/>
        <w:spacing w:line="276" w:lineRule="auto"/>
        <w:rPr>
          <w:color w:val="000000"/>
        </w:rPr>
      </w:pPr>
      <w:r>
        <w:rPr>
          <w:color w:val="000000"/>
        </w:rPr>
        <w:t>The rapid growth in deep trade agreements from the late 1990s onward also reflects the rise of “new generation” trade agreements, such as NAFTA and subsequent bilateral and regional FTAs, which incorporate extensive provisions on regulatory cooperation, investment, and standards. These developments are closely linked to the expansion of global value chains and the increasing need for deeper policy coordination to facilitate cross-border production</w:t>
      </w:r>
      <w:r w:rsidR="001577A4">
        <w:rPr>
          <w:color w:val="000000"/>
        </w:rPr>
        <w:t xml:space="preserve"> </w:t>
      </w:r>
      <w:r w:rsidR="001577A4">
        <w:rPr>
          <w:color w:val="000000"/>
        </w:rPr>
        <w:fldChar w:fldCharType="begin"/>
      </w:r>
      <w:r w:rsidR="001577A4">
        <w:rPr>
          <w:color w:val="000000"/>
        </w:rPr>
        <w:instrText xml:space="preserve"> ADDIN ZOTERO_ITEM CSL_CITATION {"citationID":"LZBw8b69","properties":{"unsorted":false,"formattedCitation":"(Baldwin, 2016; D\\uc0\\u252{}r et al., 2014b)","plainCitation":"(Baldwin, 2016; Dür et al., 2014b)","noteIndex":0},"citationItems":[{"id":624,"uris":["http://zotero.org/users/local/FU1BXf8o/items/BEPMWNTF"],"itemData":{"id":624,"type":"book","publisher":"Harvard University Press","source":"Google Scholar","title":"The great convergence: Information technology and the new globalization","title-short":"The great convergence","URL":"https://books.google.com/books?hl=en&amp;lr=&amp;id=B2msDQAAQBAJ&amp;oi=fnd&amp;pg=PP1&amp;dq=Baldwin,+R.+(2016).+The+Great+Convergence:+Information+Technology+and+the+New+Globalization.+Harvard+University+Press&amp;ots=4jWZQVPL1i&amp;sig=hhTkHxBaho1ZrtM7bU589yN-HZQ","author":[{"family":"Baldwin","given":"Richard"}],"accessed":{"date-parts":[["2026",3,16]]},"issued":{"date-parts":[["2016"]]}}},{"id":574,"uris":["http://zotero.org/users/local/FU1BXf8o/items/4DCY9WSG"],"itemData":{"id":574,"type":"article-journal","abstract":"Preferential trade agreements (PTAs) have been proliferating for the last twenty years. A large literature has studied various aspects of this phenomenon. Until recently, however, many large-N studies have paid only scant attention to variation across PTAs in terms of content and design. Our contribution to this literature is a new dataset on the design of trade agreements that is the most comprehensive in terms of both variables coded and agreements covered. We illustrate the dataset’s usefulness in re-visiting the questions if and to what extent PTAs impact trade flows. The analysis shows that on average PTAs increase trade flows, but that this effect is largely driven by deep agreements. In addition, we provide evidence that provisions that tackle behind-the-border regulation matter for trade flows. The dataset’s contribution is not limited to the PTA literature, however. Broader debates on topics such as institutional design and the legalization of international relations will also benefit from the novel data.","container-title":"The Review of International Organizations","DOI":"10.1007/s11558-013-9179-8","ISSN":"1559-744X","issue":"3","journalAbbreviation":"Rev Int Organ","language":"en","page":"353-375","source":"Springer Link","title":"The design of international trade agreements: Introducing a new dataset","title-short":"The design of international trade agreements","volume":"9","author":[{"family":"Dür","given":"Andreas"},{"family":"Baccini","given":"Leonardo"},{"family":"Elsig","given":"Manfred"}],"issued":{"date-parts":[["2014",9,1]]}}}],"schema":"https://github.com/citation-style-language/schema/raw/master/csl-citation.json"} </w:instrText>
      </w:r>
      <w:r w:rsidR="001577A4">
        <w:rPr>
          <w:color w:val="000000"/>
        </w:rPr>
        <w:fldChar w:fldCharType="separate"/>
      </w:r>
      <w:r w:rsidR="001577A4" w:rsidRPr="001577A4">
        <w:rPr>
          <w:color w:val="000000"/>
        </w:rPr>
        <w:t>(Baldwin, 2016; Dür et al., 2014b)</w:t>
      </w:r>
      <w:r w:rsidR="001577A4">
        <w:rPr>
          <w:color w:val="000000"/>
        </w:rPr>
        <w:fldChar w:fldCharType="end"/>
      </w:r>
      <w:r>
        <w:rPr>
          <w:color w:val="000000"/>
        </w:rPr>
        <w:t>.</w:t>
      </w:r>
    </w:p>
    <w:p w14:paraId="5E09AEAA" w14:textId="77777777" w:rsidR="001571FA" w:rsidRDefault="001571FA" w:rsidP="00CD58D7">
      <w:pPr>
        <w:spacing w:line="276" w:lineRule="auto"/>
        <w:rPr>
          <w:rFonts w:ascii="Times New Roman" w:hAnsi="Times New Roman" w:cs="Times New Roman"/>
          <w:color w:val="000000"/>
        </w:rPr>
      </w:pPr>
    </w:p>
    <w:p w14:paraId="7803C6A3" w14:textId="77777777" w:rsidR="001571FA" w:rsidRDefault="001571FA" w:rsidP="00CD58D7">
      <w:pPr>
        <w:spacing w:line="276" w:lineRule="auto"/>
        <w:rPr>
          <w:rFonts w:ascii="Times New Roman" w:hAnsi="Times New Roman" w:cs="Times New Roman"/>
          <w:color w:val="000000"/>
        </w:rPr>
      </w:pPr>
    </w:p>
    <w:p w14:paraId="40843206" w14:textId="77777777" w:rsidR="001571FA" w:rsidRDefault="001571FA" w:rsidP="00CD58D7">
      <w:pPr>
        <w:spacing w:line="276" w:lineRule="auto"/>
        <w:rPr>
          <w:rFonts w:ascii="Times New Roman" w:hAnsi="Times New Roman" w:cs="Times New Roman"/>
          <w:color w:val="000000"/>
        </w:rPr>
      </w:pPr>
    </w:p>
    <w:p w14:paraId="06058D3A" w14:textId="77777777" w:rsidR="001571FA" w:rsidRDefault="001571FA" w:rsidP="00CD58D7">
      <w:pPr>
        <w:spacing w:line="276" w:lineRule="auto"/>
        <w:rPr>
          <w:rFonts w:ascii="Times New Roman" w:hAnsi="Times New Roman" w:cs="Times New Roman"/>
          <w:color w:val="000000"/>
        </w:rPr>
      </w:pPr>
    </w:p>
    <w:p w14:paraId="3AE64E3E" w14:textId="77777777" w:rsidR="00941ABD" w:rsidRDefault="00941ABD" w:rsidP="00CD58D7">
      <w:pPr>
        <w:spacing w:line="276" w:lineRule="auto"/>
        <w:rPr>
          <w:rFonts w:ascii="Times New Roman" w:hAnsi="Times New Roman" w:cs="Times New Roman"/>
          <w:color w:val="000000"/>
        </w:rPr>
      </w:pPr>
    </w:p>
    <w:p w14:paraId="32E73EF8" w14:textId="77777777" w:rsidR="00941ABD" w:rsidRDefault="00941ABD" w:rsidP="00CD58D7">
      <w:pPr>
        <w:spacing w:line="276" w:lineRule="auto"/>
        <w:rPr>
          <w:rFonts w:ascii="Times New Roman" w:hAnsi="Times New Roman" w:cs="Times New Roman"/>
          <w:color w:val="000000"/>
        </w:rPr>
      </w:pPr>
    </w:p>
    <w:p w14:paraId="588B655F" w14:textId="77777777" w:rsidR="00941ABD" w:rsidRDefault="00941ABD" w:rsidP="00CD58D7">
      <w:pPr>
        <w:spacing w:line="276" w:lineRule="auto"/>
        <w:rPr>
          <w:rFonts w:ascii="Times New Roman" w:hAnsi="Times New Roman" w:cs="Times New Roman"/>
          <w:color w:val="000000"/>
        </w:rPr>
      </w:pPr>
    </w:p>
    <w:p w14:paraId="4219264D" w14:textId="77777777" w:rsidR="00941ABD" w:rsidRDefault="00941ABD" w:rsidP="00CD58D7">
      <w:pPr>
        <w:spacing w:line="276" w:lineRule="auto"/>
        <w:rPr>
          <w:rFonts w:ascii="Times New Roman" w:hAnsi="Times New Roman" w:cs="Times New Roman"/>
          <w:color w:val="000000"/>
        </w:rPr>
      </w:pPr>
    </w:p>
    <w:p w14:paraId="60FA1C14" w14:textId="77777777" w:rsidR="00941ABD" w:rsidRDefault="00941ABD" w:rsidP="00CD58D7">
      <w:pPr>
        <w:spacing w:line="276" w:lineRule="auto"/>
        <w:rPr>
          <w:rFonts w:ascii="Times New Roman" w:hAnsi="Times New Roman" w:cs="Times New Roman"/>
          <w:color w:val="000000"/>
        </w:rPr>
      </w:pPr>
    </w:p>
    <w:p w14:paraId="7DC078AD" w14:textId="77777777" w:rsidR="00941ABD" w:rsidRDefault="00941ABD" w:rsidP="00CD58D7">
      <w:pPr>
        <w:spacing w:line="276" w:lineRule="auto"/>
        <w:rPr>
          <w:rFonts w:ascii="Times New Roman" w:hAnsi="Times New Roman" w:cs="Times New Roman"/>
          <w:color w:val="000000"/>
        </w:rPr>
      </w:pPr>
    </w:p>
    <w:p w14:paraId="1DD1C18E" w14:textId="61D9F377" w:rsidR="00941ABD" w:rsidRPr="000A4DE9" w:rsidRDefault="00941ABD" w:rsidP="00CD58D7">
      <w:pPr>
        <w:spacing w:line="276" w:lineRule="auto"/>
        <w:rPr>
          <w:rFonts w:ascii="Times New Roman" w:hAnsi="Times New Roman" w:cs="Times New Roman"/>
          <w:b/>
          <w:bCs/>
          <w:color w:val="000000"/>
        </w:rPr>
      </w:pPr>
      <w:r w:rsidRPr="000A4DE9">
        <w:rPr>
          <w:rFonts w:ascii="Times New Roman" w:hAnsi="Times New Roman" w:cs="Times New Roman"/>
          <w:b/>
          <w:bCs/>
          <w:color w:val="000000"/>
        </w:rPr>
        <w:t xml:space="preserve">Figure 1: Average number of </w:t>
      </w:r>
      <w:r w:rsidR="000A4DE9" w:rsidRPr="000A4DE9">
        <w:rPr>
          <w:rFonts w:ascii="Times New Roman" w:hAnsi="Times New Roman" w:cs="Times New Roman"/>
          <w:b/>
          <w:bCs/>
          <w:color w:val="000000"/>
        </w:rPr>
        <w:t>trade agreements over time.</w:t>
      </w:r>
    </w:p>
    <w:p w14:paraId="5519328B" w14:textId="7E7740C6" w:rsidR="00A977CF" w:rsidRDefault="00F33B03" w:rsidP="00CD58D7">
      <w:pPr>
        <w:spacing w:line="276" w:lineRule="auto"/>
        <w:rPr>
          <w:rFonts w:ascii="Times New Roman" w:hAnsi="Times New Roman" w:cs="Times New Roman"/>
          <w:color w:val="000000"/>
        </w:rPr>
      </w:pPr>
      <w:r w:rsidRPr="00F33B03">
        <w:rPr>
          <w:rFonts w:ascii="Times New Roman" w:hAnsi="Times New Roman" w:cs="Times New Roman"/>
          <w:noProof/>
          <w:color w:val="000000"/>
        </w:rPr>
        <w:drawing>
          <wp:inline distT="0" distB="0" distL="0" distR="0" wp14:anchorId="3FFCF9C5" wp14:editId="6706CE8F">
            <wp:extent cx="5029200" cy="3657600"/>
            <wp:effectExtent l="0" t="0" r="0" b="0"/>
            <wp:docPr id="35247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75880" name=""/>
                    <pic:cNvPicPr/>
                  </pic:nvPicPr>
                  <pic:blipFill>
                    <a:blip r:embed="rId4"/>
                    <a:stretch>
                      <a:fillRect/>
                    </a:stretch>
                  </pic:blipFill>
                  <pic:spPr>
                    <a:xfrm>
                      <a:off x="0" y="0"/>
                      <a:ext cx="5029200" cy="3657600"/>
                    </a:xfrm>
                    <a:prstGeom prst="rect">
                      <a:avLst/>
                    </a:prstGeom>
                  </pic:spPr>
                </pic:pic>
              </a:graphicData>
            </a:graphic>
          </wp:inline>
        </w:drawing>
      </w:r>
    </w:p>
    <w:p w14:paraId="4B194E92" w14:textId="77777777" w:rsidR="007873F6" w:rsidRDefault="007873F6" w:rsidP="00CD58D7">
      <w:pPr>
        <w:spacing w:line="276" w:lineRule="auto"/>
        <w:rPr>
          <w:rFonts w:ascii="Times New Roman" w:hAnsi="Times New Roman" w:cs="Times New Roman"/>
          <w:b/>
          <w:bCs/>
          <w:color w:val="000000"/>
        </w:rPr>
      </w:pPr>
    </w:p>
    <w:p w14:paraId="78D61723" w14:textId="3F2F95E2" w:rsidR="007873F6" w:rsidRDefault="007873F6" w:rsidP="00CD58D7">
      <w:pPr>
        <w:spacing w:line="276" w:lineRule="auto"/>
        <w:rPr>
          <w:rFonts w:ascii="Times New Roman" w:hAnsi="Times New Roman" w:cs="Times New Roman"/>
          <w:b/>
          <w:bCs/>
          <w:color w:val="000000"/>
        </w:rPr>
      </w:pPr>
      <w:r>
        <w:rPr>
          <w:rFonts w:ascii="Times New Roman" w:hAnsi="Times New Roman" w:cs="Times New Roman"/>
          <w:b/>
          <w:bCs/>
          <w:color w:val="000000"/>
        </w:rPr>
        <w:t>Sectoral employment shares and productivity</w:t>
      </w:r>
    </w:p>
    <w:p w14:paraId="481763A9" w14:textId="3EBF1F15" w:rsidR="004D4CE1" w:rsidRDefault="006A2257" w:rsidP="00CD58D7">
      <w:pPr>
        <w:spacing w:line="276" w:lineRule="auto"/>
        <w:rPr>
          <w:rFonts w:ascii="Times New Roman" w:eastAsiaTheme="minorEastAsia" w:hAnsi="Times New Roman" w:cs="Times New Roman"/>
          <w:kern w:val="0"/>
          <w:sz w:val="22"/>
          <w:szCs w:val="22"/>
          <w14:ligatures w14:val="none"/>
        </w:rPr>
      </w:pPr>
      <w:r w:rsidRPr="006A2257">
        <w:rPr>
          <w:rFonts w:ascii="Times New Roman" w:hAnsi="Times New Roman" w:cs="Times New Roman"/>
          <w:color w:val="000000"/>
        </w:rPr>
        <w:t>Our primary outcome variable is sectoral labor productivity, constructed from sectoral value-added and employment data from the Global Productivity Database</w:t>
      </w:r>
      <w:r w:rsidR="007873F6">
        <w:rPr>
          <w:rFonts w:ascii="Times New Roman" w:hAnsi="Times New Roman" w:cs="Times New Roman"/>
          <w:color w:val="000000"/>
        </w:rPr>
        <w:t xml:space="preserve">. </w:t>
      </w:r>
      <w:r>
        <w:rPr>
          <w:rFonts w:ascii="Times New Roman" w:hAnsi="Times New Roman" w:cs="Times New Roman"/>
          <w:color w:val="000000"/>
        </w:rPr>
        <w:t xml:space="preserve">Let </w:t>
      </w:r>
      <m:oMath>
        <m:sSub>
          <m:sSubPr>
            <m:ctrlPr>
              <w:rPr>
                <w:rFonts w:ascii="Cambria Math" w:hAnsi="Cambria Math" w:cs="Times New Roman"/>
                <w:i/>
                <w:color w:val="000000"/>
              </w:rPr>
            </m:ctrlPr>
          </m:sSubPr>
          <m:e>
            <m:r>
              <w:rPr>
                <w:rFonts w:ascii="Cambria Math" w:hAnsi="Cambria Math" w:cs="Times New Roman"/>
                <w:color w:val="000000"/>
              </w:rPr>
              <m:t>Emp</m:t>
            </m:r>
          </m:e>
          <m:sub>
            <m:r>
              <w:rPr>
                <w:rFonts w:ascii="Cambria Math" w:hAnsi="Cambria Math" w:cs="Times New Roman"/>
                <w:color w:val="000000"/>
              </w:rPr>
              <m:t>i,j,t</m:t>
            </m:r>
          </m:sub>
        </m:sSub>
      </m:oMath>
      <w:r w:rsidR="00A5397E">
        <w:rPr>
          <w:rFonts w:ascii="Times New Roman" w:eastAsiaTheme="minorEastAsia" w:hAnsi="Times New Roman" w:cs="Times New Roman"/>
          <w:color w:val="000000"/>
        </w:rPr>
        <w:t xml:space="preserve"> </w:t>
      </w:r>
      <w:r>
        <w:rPr>
          <w:rFonts w:ascii="Times New Roman" w:eastAsiaTheme="minorEastAsia" w:hAnsi="Times New Roman" w:cs="Times New Roman"/>
          <w:color w:val="000000"/>
        </w:rPr>
        <w:t xml:space="preserve">denote employment in sector </w:t>
      </w:r>
      <w:r>
        <w:rPr>
          <w:rFonts w:ascii="Times New Roman" w:eastAsiaTheme="minorEastAsia" w:hAnsi="Times New Roman" w:cs="Times New Roman"/>
          <w:i/>
          <w:iCs/>
          <w:color w:val="000000"/>
        </w:rPr>
        <w:t xml:space="preserve">j </w:t>
      </w:r>
      <w:r>
        <w:rPr>
          <w:rFonts w:ascii="Times New Roman" w:eastAsiaTheme="minorEastAsia" w:hAnsi="Times New Roman" w:cs="Times New Roman"/>
          <w:color w:val="000000"/>
        </w:rPr>
        <w:t xml:space="preserve">of country </w:t>
      </w:r>
      <w:proofErr w:type="spellStart"/>
      <w:proofErr w:type="gramStart"/>
      <w:r>
        <w:rPr>
          <w:rFonts w:ascii="Times New Roman" w:eastAsiaTheme="minorEastAsia" w:hAnsi="Times New Roman" w:cs="Times New Roman"/>
          <w:i/>
          <w:iCs/>
          <w:color w:val="000000"/>
        </w:rPr>
        <w:t>i</w:t>
      </w:r>
      <w:proofErr w:type="spellEnd"/>
      <w:r>
        <w:rPr>
          <w:rFonts w:ascii="Times New Roman" w:eastAsiaTheme="minorEastAsia" w:hAnsi="Times New Roman" w:cs="Times New Roman"/>
          <w:i/>
          <w:iCs/>
          <w:color w:val="000000"/>
        </w:rPr>
        <w:t xml:space="preserve"> </w:t>
      </w:r>
      <w:r>
        <w:rPr>
          <w:rFonts w:ascii="Times New Roman" w:eastAsiaTheme="minorEastAsia" w:hAnsi="Times New Roman" w:cs="Times New Roman"/>
          <w:color w:val="000000"/>
        </w:rPr>
        <w:t xml:space="preserve"> at</w:t>
      </w:r>
      <w:proofErr w:type="gramEnd"/>
      <w:r>
        <w:rPr>
          <w:rFonts w:ascii="Times New Roman" w:eastAsiaTheme="minorEastAsia" w:hAnsi="Times New Roman" w:cs="Times New Roman"/>
          <w:color w:val="000000"/>
        </w:rPr>
        <w:t xml:space="preserve"> time </w:t>
      </w:r>
      <w:r>
        <w:rPr>
          <w:rFonts w:ascii="Times New Roman" w:eastAsiaTheme="minorEastAsia" w:hAnsi="Times New Roman" w:cs="Times New Roman"/>
          <w:i/>
          <w:iCs/>
          <w:color w:val="000000"/>
        </w:rPr>
        <w:t xml:space="preserve">t </w:t>
      </w:r>
      <w:r w:rsidR="00A5397E">
        <w:rPr>
          <w:rFonts w:ascii="Times New Roman" w:eastAsiaTheme="minorEastAsia" w:hAnsi="Times New Roman" w:cs="Times New Roman"/>
          <w:color w:val="000000"/>
        </w:rPr>
        <w:t xml:space="preserve">and value </w:t>
      </w:r>
      <w:r>
        <w:rPr>
          <w:rFonts w:ascii="Times New Roman" w:eastAsiaTheme="minorEastAsia" w:hAnsi="Times New Roman" w:cs="Times New Roman"/>
          <w:color w:val="000000"/>
        </w:rPr>
        <w:t xml:space="preserve">let </w:t>
      </w:r>
      <w:r w:rsidR="00A5397E">
        <w:rPr>
          <w:rFonts w:ascii="Times New Roman" w:eastAsiaTheme="minorEastAsia" w:hAnsi="Times New Roman" w:cs="Times New Roman"/>
          <w:color w:val="000000"/>
        </w:rPr>
        <w:t xml:space="preserve"> </w:t>
      </w:r>
      <m:oMath>
        <m:sSub>
          <m:sSubPr>
            <m:ctrlPr>
              <w:rPr>
                <w:rFonts w:ascii="Cambria Math" w:eastAsiaTheme="minorEastAsia" w:hAnsi="Cambria Math" w:cs="Times New Roman"/>
                <w:i/>
                <w:color w:val="000000"/>
              </w:rPr>
            </m:ctrlPr>
          </m:sSubPr>
          <m:e>
            <m:r>
              <w:rPr>
                <w:rFonts w:ascii="Cambria Math" w:eastAsiaTheme="minorEastAsia" w:hAnsi="Cambria Math" w:cs="Times New Roman"/>
                <w:color w:val="000000"/>
              </w:rPr>
              <m:t>Va</m:t>
            </m:r>
          </m:e>
          <m:sub>
            <m:r>
              <w:rPr>
                <w:rFonts w:ascii="Cambria Math" w:eastAsiaTheme="minorEastAsia" w:hAnsi="Cambria Math" w:cs="Times New Roman"/>
                <w:color w:val="000000"/>
              </w:rPr>
              <m:t>i,j,t</m:t>
            </m:r>
          </m:sub>
        </m:sSub>
      </m:oMath>
      <w:r>
        <w:rPr>
          <w:rFonts w:ascii="Times New Roman" w:eastAsiaTheme="minorEastAsia" w:hAnsi="Times New Roman" w:cs="Times New Roman"/>
          <w:color w:val="000000"/>
        </w:rPr>
        <w:t xml:space="preserve"> denote the corresponding sector value added.</w:t>
      </w:r>
    </w:p>
    <w:p w14:paraId="23EAD350" w14:textId="45184E75" w:rsidR="00CD5C1F" w:rsidRDefault="00CD5C1F" w:rsidP="00CD58D7">
      <w:pPr>
        <w:spacing w:line="276" w:lineRule="auto"/>
        <w:rPr>
          <w:rFonts w:ascii="Times New Roman" w:eastAsiaTheme="minorEastAsia" w:hAnsi="Times New Roman" w:cs="Times New Roman"/>
          <w:kern w:val="0"/>
          <w:sz w:val="22"/>
          <w:szCs w:val="22"/>
          <w14:ligatures w14:val="none"/>
        </w:rPr>
      </w:pPr>
      <w:r>
        <w:rPr>
          <w:rFonts w:ascii="Times New Roman" w:eastAsiaTheme="minorEastAsia" w:hAnsi="Times New Roman" w:cs="Times New Roman"/>
          <w:kern w:val="0"/>
          <w:sz w:val="22"/>
          <w:szCs w:val="22"/>
          <w14:ligatures w14:val="none"/>
        </w:rPr>
        <w:t xml:space="preserve">Sectoral </w:t>
      </w:r>
      <w:r w:rsidR="001406AB">
        <w:rPr>
          <w:rFonts w:ascii="Times New Roman" w:eastAsiaTheme="minorEastAsia" w:hAnsi="Times New Roman" w:cs="Times New Roman"/>
          <w:kern w:val="0"/>
          <w:sz w:val="22"/>
          <w:szCs w:val="22"/>
          <w14:ligatures w14:val="none"/>
        </w:rPr>
        <w:t xml:space="preserve">labor </w:t>
      </w:r>
      <w:r>
        <w:rPr>
          <w:rFonts w:ascii="Times New Roman" w:eastAsiaTheme="minorEastAsia" w:hAnsi="Times New Roman" w:cs="Times New Roman"/>
          <w:kern w:val="0"/>
          <w:sz w:val="22"/>
          <w:szCs w:val="22"/>
          <w14:ligatures w14:val="none"/>
        </w:rPr>
        <w:t xml:space="preserve">productivity is defined as </w:t>
      </w:r>
    </w:p>
    <w:p w14:paraId="44BF2BB0" w14:textId="77777777" w:rsidR="00CD5C1F" w:rsidRPr="00CD5C1F" w:rsidRDefault="00CD5C1F" w:rsidP="00CD58D7">
      <w:pPr>
        <w:spacing w:line="276" w:lineRule="auto"/>
        <w:rPr>
          <w:rFonts w:ascii="Times New Roman" w:hAnsi="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
        <w:gridCol w:w="8511"/>
        <w:gridCol w:w="496"/>
      </w:tblGrid>
      <w:tr w:rsidR="00CD5C1F" w:rsidRPr="00BC255D" w14:paraId="6D3944DC" w14:textId="77777777">
        <w:tc>
          <w:tcPr>
            <w:tcW w:w="353" w:type="dxa"/>
            <w:vAlign w:val="center"/>
          </w:tcPr>
          <w:p w14:paraId="66988CD1" w14:textId="77777777" w:rsidR="00CD5C1F" w:rsidRPr="00BC255D" w:rsidRDefault="00CD5C1F" w:rsidP="00CD58D7">
            <w:pPr>
              <w:spacing w:line="276" w:lineRule="auto"/>
              <w:jc w:val="center"/>
              <w:rPr>
                <w:rFonts w:ascii="Times New Roman" w:hAnsi="Times New Roman" w:cs="Times New Roman"/>
                <w:sz w:val="24"/>
                <w:szCs w:val="24"/>
              </w:rPr>
            </w:pPr>
          </w:p>
        </w:tc>
        <w:tc>
          <w:tcPr>
            <w:tcW w:w="8511" w:type="dxa"/>
            <w:vAlign w:val="center"/>
          </w:tcPr>
          <w:p w14:paraId="055F08AB" w14:textId="7ECD9409" w:rsidR="00CD5C1F" w:rsidRPr="00BC255D" w:rsidRDefault="00000000" w:rsidP="00CD58D7">
            <w:pPr>
              <w:spacing w:line="276" w:lineRule="auto"/>
              <w:jc w:val="center"/>
              <w:rPr>
                <w:rFonts w:ascii="Times New Roman" w:eastAsia="Cambria Math" w:hAnsi="Times New Roman" w:cs="Times New Roman"/>
              </w:rPr>
            </w:pPr>
            <m:oMathPara>
              <m:oMath>
                <m:sSub>
                  <m:sSubPr>
                    <m:ctrlPr>
                      <w:rPr>
                        <w:rFonts w:ascii="Cambria Math" w:eastAsia="Cambria Math" w:hAnsi="Cambria Math" w:cs="Times New Roman"/>
                        <w:i/>
                      </w:rPr>
                    </m:ctrlPr>
                  </m:sSubPr>
                  <m:e>
                    <m:r>
                      <w:rPr>
                        <w:rFonts w:ascii="Cambria Math" w:eastAsia="Cambria Math" w:hAnsi="Cambria Math" w:cs="Times New Roman"/>
                      </w:rPr>
                      <m:t>prod</m:t>
                    </m:r>
                  </m:e>
                  <m:sub>
                    <m:r>
                      <w:rPr>
                        <w:rFonts w:ascii="Cambria Math" w:eastAsia="Cambria Math" w:hAnsi="Cambria Math" w:cs="Times New Roman"/>
                      </w:rPr>
                      <m:t>i,j,t</m:t>
                    </m:r>
                  </m:sub>
                </m:sSub>
                <m:r>
                  <w:rPr>
                    <w:rFonts w:ascii="Cambria Math" w:eastAsia="Cambria Math" w:hAnsi="Cambria Math" w:cs="Times New Roman"/>
                  </w:rPr>
                  <m:t>=</m:t>
                </m:r>
                <m:f>
                  <m:fPr>
                    <m:ctrlPr>
                      <w:rPr>
                        <w:rFonts w:ascii="Cambria Math" w:eastAsia="Cambria Math" w:hAnsi="Cambria Math" w:cs="Times New Roman"/>
                        <w:i/>
                      </w:rPr>
                    </m:ctrlPr>
                  </m:fPr>
                  <m:num>
                    <m:sSub>
                      <m:sSubPr>
                        <m:ctrlPr>
                          <w:rPr>
                            <w:rFonts w:ascii="Cambria Math" w:eastAsia="Cambria Math" w:hAnsi="Cambria Math" w:cs="Times New Roman"/>
                            <w:i/>
                          </w:rPr>
                        </m:ctrlPr>
                      </m:sSubPr>
                      <m:e>
                        <m:r>
                          <w:rPr>
                            <w:rFonts w:ascii="Cambria Math" w:eastAsia="Cambria Math" w:hAnsi="Cambria Math" w:cs="Times New Roman"/>
                          </w:rPr>
                          <m:t>Va</m:t>
                        </m:r>
                      </m:e>
                      <m:sub>
                        <m:r>
                          <w:rPr>
                            <w:rFonts w:ascii="Cambria Math" w:eastAsia="Cambria Math" w:hAnsi="Cambria Math" w:cs="Times New Roman"/>
                          </w:rPr>
                          <m:t>i,j,t</m:t>
                        </m:r>
                      </m:sub>
                    </m:sSub>
                  </m:num>
                  <m:den>
                    <m:sSub>
                      <m:sSubPr>
                        <m:ctrlPr>
                          <w:rPr>
                            <w:rFonts w:ascii="Cambria Math" w:eastAsia="Cambria Math" w:hAnsi="Cambria Math" w:cs="Times New Roman"/>
                            <w:i/>
                          </w:rPr>
                        </m:ctrlPr>
                      </m:sSubPr>
                      <m:e>
                        <m:r>
                          <w:rPr>
                            <w:rFonts w:ascii="Cambria Math" w:eastAsia="Cambria Math" w:hAnsi="Cambria Math" w:cs="Times New Roman"/>
                          </w:rPr>
                          <m:t>Emp</m:t>
                        </m:r>
                      </m:e>
                      <m:sub>
                        <m:r>
                          <w:rPr>
                            <w:rFonts w:ascii="Cambria Math" w:eastAsia="Cambria Math" w:hAnsi="Cambria Math" w:cs="Times New Roman"/>
                          </w:rPr>
                          <m:t>i,j,t</m:t>
                        </m:r>
                      </m:sub>
                    </m:sSub>
                  </m:den>
                </m:f>
                <m:r>
                  <w:rPr>
                    <w:rFonts w:ascii="Cambria Math" w:eastAsia="Cambria Math" w:hAnsi="Cambria Math" w:cs="Times New Roman"/>
                  </w:rPr>
                  <m:t xml:space="preserve"> </m:t>
                </m:r>
              </m:oMath>
            </m:oMathPara>
          </w:p>
          <w:p w14:paraId="29DC3A53" w14:textId="77777777" w:rsidR="00CD5C1F" w:rsidRPr="00BC255D" w:rsidRDefault="00CD5C1F" w:rsidP="00CD58D7">
            <w:pPr>
              <w:spacing w:line="276" w:lineRule="auto"/>
              <w:jc w:val="center"/>
              <w:rPr>
                <w:rFonts w:ascii="Times New Roman" w:hAnsi="Times New Roman" w:cs="Times New Roman"/>
                <w:sz w:val="24"/>
                <w:szCs w:val="24"/>
              </w:rPr>
            </w:pPr>
          </w:p>
        </w:tc>
        <w:tc>
          <w:tcPr>
            <w:tcW w:w="496" w:type="dxa"/>
            <w:vAlign w:val="center"/>
          </w:tcPr>
          <w:p w14:paraId="00B65075" w14:textId="1FB831D1" w:rsidR="00CD5C1F" w:rsidRPr="00BC255D" w:rsidRDefault="00CD5C1F" w:rsidP="00CD58D7">
            <w:pPr>
              <w:spacing w:line="276" w:lineRule="auto"/>
              <w:jc w:val="center"/>
              <w:rPr>
                <w:rFonts w:ascii="Times New Roman" w:hAnsi="Times New Roman" w:cs="Times New Roman"/>
                <w:sz w:val="24"/>
                <w:szCs w:val="24"/>
              </w:rPr>
            </w:pPr>
            <w:r w:rsidRPr="00BC255D">
              <w:rPr>
                <w:rFonts w:ascii="Times New Roman" w:hAnsi="Times New Roman" w:cs="Times New Roman"/>
                <w:sz w:val="24"/>
                <w:szCs w:val="24"/>
              </w:rPr>
              <w:t>(</w:t>
            </w:r>
            <w:r w:rsidR="00F33B03">
              <w:rPr>
                <w:rFonts w:ascii="Times New Roman" w:hAnsi="Times New Roman" w:cs="Times New Roman"/>
                <w:sz w:val="24"/>
                <w:szCs w:val="24"/>
              </w:rPr>
              <w:t>2</w:t>
            </w:r>
            <w:r w:rsidRPr="00BC255D">
              <w:rPr>
                <w:rFonts w:ascii="Times New Roman" w:hAnsi="Times New Roman" w:cs="Times New Roman"/>
                <w:sz w:val="24"/>
                <w:szCs w:val="24"/>
              </w:rPr>
              <w:t>)</w:t>
            </w:r>
          </w:p>
        </w:tc>
      </w:tr>
    </w:tbl>
    <w:p w14:paraId="2BC3D437" w14:textId="4848B064" w:rsidR="002B5B23" w:rsidRPr="002D6ADD" w:rsidRDefault="002B5B23" w:rsidP="00CD58D7">
      <w:pPr>
        <w:spacing w:line="276" w:lineRule="auto"/>
        <w:rPr>
          <w:rFonts w:ascii="Times New Roman" w:eastAsia="Times New Roman" w:hAnsi="Times New Roman" w:cs="Times New Roman"/>
          <w:color w:val="000000"/>
          <w:kern w:val="0"/>
          <w14:ligatures w14:val="none"/>
        </w:rPr>
      </w:pPr>
    </w:p>
    <w:p w14:paraId="400D8C5C" w14:textId="1B6B2E89" w:rsidR="00131895" w:rsidRDefault="00CD5C1F" w:rsidP="00CD58D7">
      <w:pPr>
        <w:spacing w:line="276"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color w:val="000000"/>
          <w:kern w:val="0"/>
          <w14:ligatures w14:val="none"/>
        </w:rPr>
        <w:t>W</w:t>
      </w:r>
      <w:r w:rsidR="001406AB">
        <w:rPr>
          <w:rFonts w:ascii="Times New Roman" w:eastAsia="Times New Roman" w:hAnsi="Times New Roman" w:cs="Times New Roman"/>
          <w:color w:val="000000"/>
          <w:kern w:val="0"/>
          <w14:ligatures w14:val="none"/>
        </w:rPr>
        <w:t xml:space="preserve">here </w:t>
      </w:r>
      <m:oMath>
        <m:sSub>
          <m:sSubPr>
            <m:ctrlPr>
              <w:rPr>
                <w:rFonts w:ascii="Cambria Math" w:eastAsia="Cambria Math" w:hAnsi="Cambria Math" w:cs="Times New Roman"/>
                <w:i/>
                <w:kern w:val="0"/>
                <w:sz w:val="22"/>
                <w:szCs w:val="22"/>
                <w14:ligatures w14:val="none"/>
              </w:rPr>
            </m:ctrlPr>
          </m:sSubPr>
          <m:e>
            <m:r>
              <w:rPr>
                <w:rFonts w:ascii="Cambria Math" w:eastAsia="Cambria Math" w:hAnsi="Cambria Math" w:cs="Times New Roman"/>
              </w:rPr>
              <m:t>prod</m:t>
            </m:r>
          </m:e>
          <m:sub>
            <m:r>
              <w:rPr>
                <w:rFonts w:ascii="Cambria Math" w:eastAsia="Cambria Math" w:hAnsi="Cambria Math" w:cs="Times New Roman"/>
              </w:rPr>
              <m:t>i,j,t</m:t>
            </m:r>
          </m:sub>
        </m:sSub>
      </m:oMath>
      <w:r w:rsidR="001406AB">
        <w:rPr>
          <w:rFonts w:ascii="Times New Roman" w:eastAsia="Times New Roman" w:hAnsi="Times New Roman" w:cs="Times New Roman"/>
          <w:kern w:val="0"/>
          <w:sz w:val="22"/>
          <w:szCs w:val="22"/>
          <w14:ligatures w14:val="none"/>
        </w:rPr>
        <w:t xml:space="preserve"> represents the labor productivity of sector </w:t>
      </w:r>
      <w:proofErr w:type="spellStart"/>
      <w:r w:rsidR="00E83250">
        <w:rPr>
          <w:rFonts w:ascii="Times New Roman" w:eastAsia="Times New Roman" w:hAnsi="Times New Roman" w:cs="Times New Roman"/>
          <w:i/>
          <w:iCs/>
          <w:kern w:val="0"/>
          <w:sz w:val="22"/>
          <w:szCs w:val="22"/>
          <w14:ligatures w14:val="none"/>
        </w:rPr>
        <w:t>i</w:t>
      </w:r>
      <w:proofErr w:type="spellEnd"/>
      <w:r w:rsidR="006A2257">
        <w:rPr>
          <w:rFonts w:ascii="Times New Roman" w:eastAsia="Times New Roman" w:hAnsi="Times New Roman" w:cs="Times New Roman"/>
          <w:kern w:val="0"/>
          <w:sz w:val="22"/>
          <w:szCs w:val="22"/>
          <w14:ligatures w14:val="none"/>
        </w:rPr>
        <w:t xml:space="preserve"> at time </w:t>
      </w:r>
      <w:r w:rsidR="006A2257">
        <w:rPr>
          <w:rFonts w:ascii="Times New Roman" w:eastAsia="Times New Roman" w:hAnsi="Times New Roman" w:cs="Times New Roman"/>
          <w:i/>
          <w:iCs/>
          <w:kern w:val="0"/>
          <w:sz w:val="22"/>
          <w:szCs w:val="22"/>
          <w14:ligatures w14:val="none"/>
        </w:rPr>
        <w:t>t.</w:t>
      </w:r>
      <w:r w:rsidR="001406AB">
        <w:rPr>
          <w:rFonts w:ascii="Times New Roman" w:eastAsia="Times New Roman" w:hAnsi="Times New Roman" w:cs="Times New Roman"/>
          <w:i/>
          <w:iCs/>
          <w:kern w:val="0"/>
          <w:sz w:val="22"/>
          <w:szCs w:val="22"/>
          <w14:ligatures w14:val="none"/>
        </w:rPr>
        <w:t xml:space="preserve"> </w:t>
      </w:r>
    </w:p>
    <w:p w14:paraId="15DF14F3" w14:textId="7EE95704" w:rsidR="00B221DB" w:rsidRDefault="00B221DB" w:rsidP="00CD58D7">
      <w:pPr>
        <w:pStyle w:val="NormalWeb"/>
        <w:spacing w:line="276" w:lineRule="auto"/>
        <w:rPr>
          <w:color w:val="000000"/>
        </w:rPr>
      </w:pPr>
      <w:r>
        <w:rPr>
          <w:color w:val="000000"/>
        </w:rPr>
        <w:lastRenderedPageBreak/>
        <w:t>Figure 2 shows the evolution of sectoral labor productivity across manufacturing, agriculture, and services in our sample of developing countries. All three sectors exhibit a clear upward trend over time, with some important differences in timing and magnitude.</w:t>
      </w:r>
    </w:p>
    <w:p w14:paraId="11D456F1" w14:textId="68051221" w:rsidR="006A2257" w:rsidRPr="00B221DB" w:rsidRDefault="00B221DB" w:rsidP="00CD58D7">
      <w:pPr>
        <w:pStyle w:val="NormalWeb"/>
        <w:spacing w:line="276" w:lineRule="auto"/>
        <w:rPr>
          <w:color w:val="000000"/>
        </w:rPr>
      </w:pPr>
      <w:r>
        <w:rPr>
          <w:color w:val="000000"/>
        </w:rPr>
        <w:t xml:space="preserve">Manufacturing and services experience more pronounced and volatile productivity growth, with notable accelerations from the 2000s onward, likely reflecting increased global integration and technological adoption. In contrast, agricultural productivity grows more gradually and steadily, indicating slower but more consistent improvements. These patterns provide a good motivation for examining </w:t>
      </w:r>
      <w:r w:rsidR="001C3932">
        <w:rPr>
          <w:color w:val="000000"/>
        </w:rPr>
        <w:t>how trade agreements shape these industrial dynamics.</w:t>
      </w:r>
    </w:p>
    <w:p w14:paraId="2A5406A4" w14:textId="2469FFF7" w:rsidR="006A2257" w:rsidRPr="000A4DE9" w:rsidRDefault="000A4DE9" w:rsidP="00CD58D7">
      <w:pPr>
        <w:spacing w:line="276" w:lineRule="auto"/>
        <w:rPr>
          <w:rFonts w:ascii="Times New Roman" w:eastAsia="Times New Roman" w:hAnsi="Times New Roman" w:cs="Times New Roman"/>
          <w:b/>
          <w:bCs/>
          <w:kern w:val="0"/>
          <w:sz w:val="22"/>
          <w:szCs w:val="22"/>
          <w14:ligatures w14:val="none"/>
        </w:rPr>
      </w:pPr>
      <w:r w:rsidRPr="000A4DE9">
        <w:rPr>
          <w:rFonts w:ascii="Times New Roman" w:eastAsia="Times New Roman" w:hAnsi="Times New Roman" w:cs="Times New Roman"/>
          <w:b/>
          <w:bCs/>
          <w:kern w:val="0"/>
          <w:sz w:val="22"/>
          <w:szCs w:val="22"/>
          <w14:ligatures w14:val="none"/>
        </w:rPr>
        <w:t>Figure 2: Trends in sectoral labor productivity</w:t>
      </w:r>
    </w:p>
    <w:p w14:paraId="40EA6068" w14:textId="092F6C8D" w:rsidR="006A2257" w:rsidRDefault="006A2257" w:rsidP="00CD58D7">
      <w:pPr>
        <w:spacing w:line="276" w:lineRule="auto"/>
        <w:jc w:val="center"/>
        <w:rPr>
          <w:rFonts w:ascii="Times New Roman" w:eastAsia="Times New Roman" w:hAnsi="Times New Roman" w:cs="Times New Roman"/>
          <w:kern w:val="0"/>
          <w:sz w:val="22"/>
          <w:szCs w:val="22"/>
          <w14:ligatures w14:val="none"/>
        </w:rPr>
      </w:pPr>
      <w:r w:rsidRPr="006A2257">
        <w:rPr>
          <w:rFonts w:ascii="Times New Roman" w:eastAsia="Times New Roman" w:hAnsi="Times New Roman" w:cs="Times New Roman"/>
          <w:noProof/>
          <w:kern w:val="0"/>
          <w:sz w:val="22"/>
          <w:szCs w:val="22"/>
          <w14:ligatures w14:val="none"/>
        </w:rPr>
        <w:drawing>
          <wp:inline distT="0" distB="0" distL="0" distR="0" wp14:anchorId="7B641185" wp14:editId="49011347">
            <wp:extent cx="5029200" cy="3657600"/>
            <wp:effectExtent l="0" t="0" r="0" b="0"/>
            <wp:docPr id="158903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37543" name=""/>
                    <pic:cNvPicPr/>
                  </pic:nvPicPr>
                  <pic:blipFill>
                    <a:blip r:embed="rId5"/>
                    <a:stretch>
                      <a:fillRect/>
                    </a:stretch>
                  </pic:blipFill>
                  <pic:spPr>
                    <a:xfrm>
                      <a:off x="0" y="0"/>
                      <a:ext cx="5029200" cy="3657600"/>
                    </a:xfrm>
                    <a:prstGeom prst="rect">
                      <a:avLst/>
                    </a:prstGeom>
                  </pic:spPr>
                </pic:pic>
              </a:graphicData>
            </a:graphic>
          </wp:inline>
        </w:drawing>
      </w:r>
    </w:p>
    <w:p w14:paraId="5EED5545" w14:textId="77777777" w:rsidR="001406AB" w:rsidRDefault="001406AB" w:rsidP="00CD58D7">
      <w:pPr>
        <w:spacing w:line="276" w:lineRule="auto"/>
        <w:rPr>
          <w:rFonts w:ascii="Times New Roman" w:eastAsia="Times New Roman" w:hAnsi="Times New Roman" w:cs="Times New Roman"/>
          <w:kern w:val="0"/>
          <w:sz w:val="22"/>
          <w:szCs w:val="22"/>
          <w14:ligatures w14:val="none"/>
        </w:rPr>
      </w:pPr>
    </w:p>
    <w:p w14:paraId="0E9E256A" w14:textId="3E992F7D" w:rsidR="001406AB" w:rsidRDefault="001406AB" w:rsidP="00CD58D7">
      <w:pPr>
        <w:spacing w:line="276" w:lineRule="auto"/>
        <w:rPr>
          <w:rFonts w:ascii="Times New Roman" w:eastAsia="Times New Roman" w:hAnsi="Times New Roman" w:cs="Times New Roman"/>
          <w:b/>
          <w:bCs/>
          <w:kern w:val="0"/>
          <w:sz w:val="22"/>
          <w:szCs w:val="22"/>
          <w14:ligatures w14:val="none"/>
        </w:rPr>
      </w:pPr>
      <w:r w:rsidRPr="001406AB">
        <w:rPr>
          <w:rFonts w:ascii="Times New Roman" w:eastAsia="Times New Roman" w:hAnsi="Times New Roman" w:cs="Times New Roman"/>
          <w:b/>
          <w:bCs/>
          <w:kern w:val="0"/>
          <w:sz w:val="22"/>
          <w:szCs w:val="22"/>
          <w14:ligatures w14:val="none"/>
        </w:rPr>
        <w:t>Control Variables</w:t>
      </w:r>
    </w:p>
    <w:p w14:paraId="0B1C1608" w14:textId="4968EBFD" w:rsidR="00D719DA" w:rsidRDefault="00D719DA" w:rsidP="00CD58D7">
      <w:pPr>
        <w:spacing w:line="276" w:lineRule="auto"/>
        <w:rPr>
          <w:rFonts w:ascii="Times New Roman" w:eastAsia="Times New Roman" w:hAnsi="Times New Roman" w:cs="Times New Roman"/>
          <w:color w:val="000000"/>
          <w:kern w:val="0"/>
          <w14:ligatures w14:val="none"/>
        </w:rPr>
      </w:pPr>
      <w:r w:rsidRPr="00D719DA">
        <w:rPr>
          <w:rFonts w:ascii="Times New Roman" w:eastAsia="Times New Roman" w:hAnsi="Times New Roman" w:cs="Times New Roman"/>
          <w:color w:val="000000"/>
          <w:kern w:val="0"/>
          <w14:ligatures w14:val="none"/>
        </w:rPr>
        <w:t>We include two sets of control variables in the empirical specification. The first set captures developing-country characteristics that may independently influence sectoral productivity dynamics. These include GDP per capita, population, trade openness,</w:t>
      </w:r>
      <w:r w:rsidR="00E83250">
        <w:rPr>
          <w:rFonts w:ascii="Times New Roman" w:eastAsia="Times New Roman" w:hAnsi="Times New Roman" w:cs="Times New Roman"/>
          <w:color w:val="000000"/>
          <w:kern w:val="0"/>
          <w14:ligatures w14:val="none"/>
        </w:rPr>
        <w:t xml:space="preserve"> gross capital formation, and sector employment shares</w:t>
      </w:r>
      <w:r w:rsidRPr="00D719DA">
        <w:rPr>
          <w:rFonts w:ascii="Times New Roman" w:eastAsia="Times New Roman" w:hAnsi="Times New Roman" w:cs="Times New Roman"/>
          <w:color w:val="000000"/>
          <w:kern w:val="0"/>
          <w14:ligatures w14:val="none"/>
        </w:rPr>
        <w:t xml:space="preserve">. GDP per capita serves as a proxy for the level of economic development, while population captures the scale of the domestic economy and labor supply. Trade openness </w:t>
      </w:r>
      <w:r w:rsidR="00E83250">
        <w:rPr>
          <w:rFonts w:ascii="Times New Roman" w:eastAsia="Times New Roman" w:hAnsi="Times New Roman" w:cs="Times New Roman"/>
          <w:color w:val="000000"/>
          <w:kern w:val="0"/>
          <w14:ligatures w14:val="none"/>
        </w:rPr>
        <w:t xml:space="preserve">is measured as merchandise imports and exports as a share of GDP. This </w:t>
      </w:r>
      <w:r w:rsidRPr="00D719DA">
        <w:rPr>
          <w:rFonts w:ascii="Times New Roman" w:eastAsia="Times New Roman" w:hAnsi="Times New Roman" w:cs="Times New Roman"/>
          <w:color w:val="000000"/>
          <w:kern w:val="0"/>
          <w14:ligatures w14:val="none"/>
        </w:rPr>
        <w:t xml:space="preserve">reflects the degree of integration with the global economy, which may affect sectoral allocation and productivity through exposure to international competition and market access. </w:t>
      </w:r>
      <w:r w:rsidR="00E83250" w:rsidRPr="00E83250">
        <w:rPr>
          <w:rFonts w:ascii="Times New Roman" w:eastAsia="Times New Roman" w:hAnsi="Times New Roman" w:cs="Times New Roman"/>
          <w:color w:val="000000"/>
          <w:kern w:val="0"/>
          <w14:ligatures w14:val="none"/>
        </w:rPr>
        <w:t xml:space="preserve">Gross capital </w:t>
      </w:r>
      <w:r w:rsidR="00E83250" w:rsidRPr="00E83250">
        <w:rPr>
          <w:rFonts w:ascii="Times New Roman" w:eastAsia="Times New Roman" w:hAnsi="Times New Roman" w:cs="Times New Roman"/>
          <w:color w:val="000000"/>
          <w:kern w:val="0"/>
          <w14:ligatures w14:val="none"/>
        </w:rPr>
        <w:lastRenderedPageBreak/>
        <w:t>formation captures the level of investment in physical capital within the economy and serves as an indicator of capital accumulation, which is an important determinant of productivity growth.</w:t>
      </w:r>
      <w:r w:rsidR="00E83250">
        <w:rPr>
          <w:rFonts w:ascii="Times New Roman" w:eastAsia="Times New Roman" w:hAnsi="Times New Roman" w:cs="Times New Roman"/>
          <w:color w:val="000000"/>
          <w:kern w:val="0"/>
          <w14:ligatures w14:val="none"/>
        </w:rPr>
        <w:t xml:space="preserve"> </w:t>
      </w:r>
      <w:r w:rsidRPr="00D719DA">
        <w:rPr>
          <w:rFonts w:ascii="Times New Roman" w:eastAsia="Times New Roman" w:hAnsi="Times New Roman" w:cs="Times New Roman"/>
          <w:color w:val="000000"/>
          <w:kern w:val="0"/>
          <w14:ligatures w14:val="none"/>
        </w:rPr>
        <w:t xml:space="preserve">Together, these variables account for key structural factors that could drive changes in </w:t>
      </w:r>
      <w:r w:rsidR="00E83250">
        <w:rPr>
          <w:rFonts w:ascii="Times New Roman" w:eastAsia="Times New Roman" w:hAnsi="Times New Roman" w:cs="Times New Roman"/>
          <w:color w:val="000000"/>
          <w:kern w:val="0"/>
          <w14:ligatures w14:val="none"/>
        </w:rPr>
        <w:t xml:space="preserve">sectoral </w:t>
      </w:r>
      <w:r w:rsidRPr="00D719DA">
        <w:rPr>
          <w:rFonts w:ascii="Times New Roman" w:eastAsia="Times New Roman" w:hAnsi="Times New Roman" w:cs="Times New Roman"/>
          <w:color w:val="000000"/>
          <w:kern w:val="0"/>
          <w14:ligatures w14:val="none"/>
        </w:rPr>
        <w:t>productivity independently of trade agreements.</w:t>
      </w:r>
    </w:p>
    <w:p w14:paraId="002BBC57" w14:textId="18720BCF" w:rsidR="00C70F0D" w:rsidRPr="001406AB" w:rsidRDefault="00814B9B" w:rsidP="00CD58D7">
      <w:pPr>
        <w:spacing w:line="276" w:lineRule="auto"/>
        <w:rPr>
          <w:rFonts w:ascii="Times New Roman" w:eastAsia="Times New Roman" w:hAnsi="Times New Roman" w:cs="Times New Roman"/>
          <w:color w:val="000000"/>
          <w:kern w:val="0"/>
          <w14:ligatures w14:val="none"/>
        </w:rPr>
      </w:pPr>
      <w:r w:rsidRPr="00814B9B">
        <w:rPr>
          <w:rFonts w:ascii="Times New Roman" w:eastAsia="Times New Roman" w:hAnsi="Times New Roman" w:cs="Times New Roman"/>
          <w:color w:val="000000"/>
          <w:kern w:val="0"/>
          <w14:ligatures w14:val="none"/>
        </w:rPr>
        <w:t>The second set of controls accounts for trading-partner characteristics, since economic conditions in developed partner countries may influence productivity outcomes in developing countries through trade, investment, and technology diffusion. To capture these external influences, we construct partner-side controls by averaging characteristics across all developed countries that have a trade agreement with a given developing country in each year</w:t>
      </w:r>
      <w:r>
        <w:rPr>
          <w:rFonts w:ascii="Times New Roman" w:eastAsia="Times New Roman" w:hAnsi="Times New Roman" w:cs="Times New Roman"/>
          <w:color w:val="000000"/>
          <w:kern w:val="0"/>
          <w14:ligatures w14:val="none"/>
        </w:rPr>
        <w:t xml:space="preserve">. </w:t>
      </w:r>
      <w:r w:rsidR="00D719DA" w:rsidRPr="00D719DA">
        <w:rPr>
          <w:rFonts w:ascii="Times New Roman" w:eastAsia="Times New Roman" w:hAnsi="Times New Roman" w:cs="Times New Roman"/>
          <w:color w:val="000000"/>
          <w:kern w:val="0"/>
          <w14:ligatures w14:val="none"/>
        </w:rPr>
        <w:t>For a particular partner characteristic</w:t>
      </w:r>
      <w:r w:rsidR="00D719DA">
        <w:rPr>
          <w:rFonts w:ascii="Times New Roman" w:eastAsia="Times New Roman" w:hAnsi="Times New Roman" w:cs="Times New Roman"/>
          <w:color w:val="000000"/>
          <w:kern w:val="0"/>
          <w14:ligatures w14:val="none"/>
        </w:rPr>
        <w:t xml:space="preserv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kern w:val="0"/>
                <w14:ligatures w14:val="none"/>
              </w:rPr>
              <m:t>X</m:t>
            </m:r>
          </m:e>
          <m:sub>
            <m:r>
              <w:rPr>
                <w:rFonts w:ascii="Cambria Math" w:eastAsia="Times New Roman" w:hAnsi="Cambria Math" w:cs="Times New Roman"/>
                <w:color w:val="000000"/>
                <w:kern w:val="0"/>
                <w14:ligatures w14:val="none"/>
              </w:rPr>
              <m:t>s,t,</m:t>
            </m:r>
          </m:sub>
        </m:sSub>
      </m:oMath>
      <w:r w:rsidR="00C70F0D">
        <w:rPr>
          <w:rFonts w:ascii="Times New Roman" w:eastAsia="Times New Roman" w:hAnsi="Times New Roman" w:cs="Times New Roman"/>
          <w:color w:val="000000"/>
          <w:kern w:val="0"/>
          <w14:ligatures w14:val="none"/>
        </w:rPr>
        <w:t xml:space="preserve"> we compute the </w:t>
      </w:r>
      <w:r>
        <w:rPr>
          <w:rFonts w:ascii="Times New Roman" w:eastAsia="Times New Roman" w:hAnsi="Times New Roman" w:cs="Times New Roman"/>
          <w:color w:val="000000"/>
          <w:kern w:val="0"/>
          <w14:ligatures w14:val="none"/>
        </w:rPr>
        <w:t xml:space="preserve">agreement-partner average as </w:t>
      </w:r>
      <w:r w:rsidR="00C70F0D">
        <w:rPr>
          <w:rFonts w:ascii="Times New Roman" w:eastAsia="Times New Roman" w:hAnsi="Times New Roman" w:cs="Times New Roman"/>
          <w:color w:val="000000"/>
          <w:kern w:val="0"/>
          <w14:ligatures w14:val="non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
        <w:gridCol w:w="8511"/>
        <w:gridCol w:w="496"/>
      </w:tblGrid>
      <w:tr w:rsidR="00C70F0D" w:rsidRPr="00BC255D" w14:paraId="59F0D8BD" w14:textId="77777777">
        <w:tc>
          <w:tcPr>
            <w:tcW w:w="353" w:type="dxa"/>
            <w:vAlign w:val="center"/>
          </w:tcPr>
          <w:p w14:paraId="2BD92973" w14:textId="77777777" w:rsidR="00C70F0D" w:rsidRPr="00BC255D" w:rsidRDefault="00C70F0D" w:rsidP="00CD58D7">
            <w:pPr>
              <w:spacing w:line="276" w:lineRule="auto"/>
              <w:jc w:val="center"/>
              <w:rPr>
                <w:rFonts w:ascii="Times New Roman" w:hAnsi="Times New Roman" w:cs="Times New Roman"/>
                <w:sz w:val="24"/>
                <w:szCs w:val="24"/>
              </w:rPr>
            </w:pPr>
          </w:p>
        </w:tc>
        <w:tc>
          <w:tcPr>
            <w:tcW w:w="8511" w:type="dxa"/>
            <w:vAlign w:val="center"/>
          </w:tcPr>
          <w:p w14:paraId="7BDDAD4C" w14:textId="6A402F80" w:rsidR="00C70F0D" w:rsidRPr="00E07C45" w:rsidRDefault="00000000" w:rsidP="00CD58D7">
            <w:pPr>
              <w:spacing w:line="276" w:lineRule="auto"/>
              <w:rPr>
                <w:rFonts w:ascii="Times New Roman" w:eastAsia="Times New Roman" w:hAnsi="Times New Roman" w:cs="Times New Roman"/>
              </w:rPr>
            </w:pPr>
            <m:oMathPara>
              <m:oMath>
                <m:sSubSup>
                  <m:sSubSupPr>
                    <m:ctrlPr>
                      <w:rPr>
                        <w:rFonts w:ascii="Cambria Math" w:eastAsia="Times New Roman" w:hAnsi="Cambria Math" w:cs="Times New Roman"/>
                        <w:i/>
                        <w:color w:val="000000"/>
                        <w:sz w:val="24"/>
                        <w:szCs w:val="24"/>
                      </w:rPr>
                    </m:ctrlPr>
                  </m:sSubSupPr>
                  <m:e>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rPr>
                          <m:t>X</m:t>
                        </m:r>
                      </m:e>
                    </m:acc>
                  </m:e>
                  <m:sub>
                    <m:r>
                      <w:rPr>
                        <w:rFonts w:ascii="Cambria Math" w:eastAsia="Times New Roman" w:hAnsi="Cambria Math" w:cs="Times New Roman"/>
                        <w:color w:val="000000"/>
                      </w:rPr>
                      <m:t>i,t</m:t>
                    </m:r>
                  </m:sub>
                  <m:sup>
                    <m:r>
                      <w:rPr>
                        <w:rFonts w:ascii="Cambria Math" w:eastAsia="Times New Roman" w:hAnsi="Cambria Math" w:cs="Times New Roman"/>
                        <w:color w:val="000000"/>
                      </w:rPr>
                      <m:t>TA</m:t>
                    </m:r>
                  </m:sup>
                </m:sSubSup>
                <m:r>
                  <w:rPr>
                    <w:rFonts w:ascii="Cambria Math" w:eastAsia="Times New Roman" w:hAnsi="Cambria Math" w:cs="Times New Roman"/>
                    <w:color w:val="000000"/>
                  </w:rPr>
                  <m:t>=</m:t>
                </m:r>
                <m:f>
                  <m:fPr>
                    <m:ctrlPr>
                      <w:rPr>
                        <w:rFonts w:ascii="Cambria Math" w:eastAsia="Times New Roman" w:hAnsi="Cambria Math" w:cs="Times New Roman"/>
                        <w:i/>
                        <w:color w:val="000000"/>
                        <w:sz w:val="24"/>
                        <w:szCs w:val="24"/>
                      </w:rPr>
                    </m:ctrlPr>
                  </m:fPr>
                  <m:num>
                    <m:r>
                      <w:rPr>
                        <w:rFonts w:ascii="Cambria Math" w:eastAsia="Times New Roman" w:hAnsi="Cambria Math" w:cs="Times New Roman"/>
                        <w:color w:val="000000"/>
                      </w:rPr>
                      <m:t>1</m:t>
                    </m:r>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N</m:t>
                        </m:r>
                      </m:e>
                      <m:sub>
                        <m:r>
                          <w:rPr>
                            <w:rFonts w:ascii="Cambria Math" w:eastAsia="Times New Roman" w:hAnsi="Cambria Math" w:cs="Times New Roman"/>
                            <w:color w:val="000000"/>
                            <w:sz w:val="24"/>
                            <w:szCs w:val="24"/>
                          </w:rPr>
                          <m:t>i,t</m:t>
                        </m:r>
                      </m:sub>
                      <m:sup>
                        <m:r>
                          <w:rPr>
                            <w:rFonts w:ascii="Cambria Math" w:eastAsia="Times New Roman" w:hAnsi="Cambria Math" w:cs="Times New Roman"/>
                            <w:color w:val="000000"/>
                            <w:sz w:val="24"/>
                            <w:szCs w:val="24"/>
                          </w:rPr>
                          <m:t>TA</m:t>
                        </m:r>
                      </m:sup>
                    </m:sSubSup>
                  </m:den>
                </m:f>
                <m:nary>
                  <m:naryPr>
                    <m:chr m:val="∑"/>
                    <m:limLoc m:val="undOvr"/>
                    <m:supHide m:val="1"/>
                    <m:ctrlPr>
                      <w:rPr>
                        <w:rFonts w:ascii="Cambria Math" w:eastAsia="Times New Roman" w:hAnsi="Cambria Math" w:cs="Times New Roman"/>
                        <w:i/>
                        <w:color w:val="000000"/>
                        <w:sz w:val="24"/>
                        <w:szCs w:val="24"/>
                      </w:rPr>
                    </m:ctrlPr>
                  </m:naryPr>
                  <m:sub>
                    <m:r>
                      <w:rPr>
                        <w:rFonts w:ascii="Cambria Math" w:eastAsia="Times New Roman" w:hAnsi="Cambria Math" w:cs="Times New Roman"/>
                        <w:color w:val="000000"/>
                      </w:rPr>
                      <m:t>s∈</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TA</m:t>
                        </m:r>
                      </m:e>
                      <m:sub>
                        <m:r>
                          <w:rPr>
                            <w:rFonts w:ascii="Cambria Math" w:eastAsia="Times New Roman" w:hAnsi="Cambria Math" w:cs="Times New Roman"/>
                            <w:color w:val="000000"/>
                          </w:rPr>
                          <m:t>i,t</m:t>
                        </m:r>
                      </m:sub>
                    </m:sSub>
                  </m:sub>
                  <m:sup/>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rPr>
                          <m:t>X</m:t>
                        </m:r>
                      </m:e>
                      <m:sub>
                        <m:r>
                          <w:rPr>
                            <w:rFonts w:ascii="Cambria Math" w:eastAsia="Times New Roman" w:hAnsi="Cambria Math" w:cs="Times New Roman"/>
                            <w:color w:val="000000"/>
                          </w:rPr>
                          <m:t>s,t</m:t>
                        </m:r>
                      </m:sub>
                    </m:sSub>
                  </m:e>
                </m:nary>
                <m:r>
                  <w:rPr>
                    <w:rFonts w:ascii="Cambria Math" w:eastAsia="Cambria Math" w:hAnsi="Cambria Math" w:cs="Times New Roman"/>
                  </w:rPr>
                  <m:t xml:space="preserve"> </m:t>
                </m:r>
              </m:oMath>
            </m:oMathPara>
          </w:p>
          <w:p w14:paraId="41C00A8C" w14:textId="244AB069" w:rsidR="00E07C45" w:rsidRPr="00E07C45" w:rsidRDefault="00E07C45" w:rsidP="00CD58D7">
            <w:pPr>
              <w:spacing w:line="276" w:lineRule="auto"/>
              <w:rPr>
                <w:rFonts w:ascii="Times New Roman" w:eastAsia="Times New Roman" w:hAnsi="Times New Roman" w:cs="Times New Roman"/>
                <w:color w:val="000000"/>
              </w:rPr>
            </w:pPr>
          </w:p>
        </w:tc>
        <w:tc>
          <w:tcPr>
            <w:tcW w:w="496" w:type="dxa"/>
            <w:vAlign w:val="center"/>
          </w:tcPr>
          <w:p w14:paraId="7F617C77" w14:textId="44E37C71" w:rsidR="00C70F0D" w:rsidRPr="00BC255D" w:rsidRDefault="00C70F0D" w:rsidP="00CD58D7">
            <w:pPr>
              <w:spacing w:line="276" w:lineRule="auto"/>
              <w:jc w:val="center"/>
              <w:rPr>
                <w:rFonts w:ascii="Times New Roman" w:hAnsi="Times New Roman" w:cs="Times New Roman"/>
                <w:sz w:val="24"/>
                <w:szCs w:val="24"/>
              </w:rPr>
            </w:pPr>
            <w:r w:rsidRPr="00BC255D">
              <w:rPr>
                <w:rFonts w:ascii="Times New Roman" w:hAnsi="Times New Roman" w:cs="Times New Roman"/>
                <w:sz w:val="24"/>
                <w:szCs w:val="24"/>
              </w:rPr>
              <w:t>(</w:t>
            </w:r>
            <w:r w:rsidR="00336685">
              <w:rPr>
                <w:rFonts w:ascii="Times New Roman" w:hAnsi="Times New Roman" w:cs="Times New Roman"/>
                <w:sz w:val="24"/>
                <w:szCs w:val="24"/>
              </w:rPr>
              <w:t>3</w:t>
            </w:r>
            <w:r w:rsidRPr="00BC255D">
              <w:rPr>
                <w:rFonts w:ascii="Times New Roman" w:hAnsi="Times New Roman" w:cs="Times New Roman"/>
                <w:sz w:val="24"/>
                <w:szCs w:val="24"/>
              </w:rPr>
              <w:t>)</w:t>
            </w:r>
          </w:p>
        </w:tc>
      </w:tr>
    </w:tbl>
    <w:p w14:paraId="2FFB16AA" w14:textId="77777777" w:rsidR="00E164A4" w:rsidRDefault="00E164A4" w:rsidP="00CD58D7">
      <w:pPr>
        <w:spacing w:line="276" w:lineRule="auto"/>
        <w:rPr>
          <w:rFonts w:ascii="Times New Roman" w:eastAsia="Times New Roman" w:hAnsi="Times New Roman" w:cs="Times New Roman"/>
          <w:color w:val="000000"/>
          <w:kern w:val="0"/>
          <w14:ligatures w14:val="none"/>
        </w:rPr>
      </w:pPr>
    </w:p>
    <w:p w14:paraId="2373FEAF" w14:textId="7337B68A" w:rsidR="00C70F0D" w:rsidRPr="002D6ADD" w:rsidRDefault="00C70F0D" w:rsidP="00CD58D7">
      <w:pPr>
        <w:spacing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Where </w:t>
      </w:r>
      <m:oMath>
        <m:sSub>
          <m:sSubPr>
            <m:ctrlPr>
              <w:rPr>
                <w:rFonts w:ascii="Cambria Math" w:eastAsia="Times New Roman" w:hAnsi="Cambria Math" w:cs="Times New Roman"/>
                <w:i/>
                <w:color w:val="000000"/>
                <w:kern w:val="0"/>
                <w:sz w:val="22"/>
                <w:szCs w:val="22"/>
                <w14:ligatures w14:val="none"/>
              </w:rPr>
            </m:ctrlPr>
          </m:sSubPr>
          <m:e>
            <m:r>
              <w:rPr>
                <w:rFonts w:ascii="Cambria Math" w:eastAsia="Times New Roman" w:hAnsi="Cambria Math" w:cs="Times New Roman"/>
                <w:color w:val="000000"/>
              </w:rPr>
              <m:t>TA</m:t>
            </m:r>
          </m:e>
          <m:sub>
            <m:r>
              <w:rPr>
                <w:rFonts w:ascii="Cambria Math" w:eastAsia="Times New Roman" w:hAnsi="Cambria Math" w:cs="Times New Roman"/>
                <w:color w:val="000000"/>
              </w:rPr>
              <m:t>i,t</m:t>
            </m:r>
          </m:sub>
        </m:sSub>
      </m:oMath>
      <w:r>
        <w:rPr>
          <w:rFonts w:ascii="Times New Roman" w:eastAsia="Times New Roman" w:hAnsi="Times New Roman" w:cs="Times New Roman"/>
          <w:color w:val="000000"/>
          <w:kern w:val="0"/>
          <w14:ligatures w14:val="none"/>
        </w:rPr>
        <w:t xml:space="preserve"> denotes the set of developed partners</w:t>
      </w:r>
      <w:r w:rsidR="00642BFB">
        <w:rPr>
          <w:rFonts w:ascii="Times New Roman" w:eastAsia="Times New Roman" w:hAnsi="Times New Roman" w:cs="Times New Roman"/>
          <w:color w:val="000000"/>
          <w:kern w:val="0"/>
          <w14:ligatures w14:val="none"/>
        </w:rPr>
        <w:t xml:space="preserve"> with whom developing country </w:t>
      </w:r>
      <w:proofErr w:type="spellStart"/>
      <w:r w:rsidR="00642BFB">
        <w:rPr>
          <w:rFonts w:ascii="Times New Roman" w:eastAsia="Times New Roman" w:hAnsi="Times New Roman" w:cs="Times New Roman"/>
          <w:i/>
          <w:iCs/>
          <w:color w:val="000000"/>
          <w:kern w:val="0"/>
          <w14:ligatures w14:val="none"/>
        </w:rPr>
        <w:t>i</w:t>
      </w:r>
      <w:proofErr w:type="spellEnd"/>
      <w:r w:rsidR="00642BFB">
        <w:rPr>
          <w:rFonts w:ascii="Times New Roman" w:eastAsia="Times New Roman" w:hAnsi="Times New Roman" w:cs="Times New Roman"/>
          <w:i/>
          <w:iCs/>
          <w:color w:val="000000"/>
          <w:kern w:val="0"/>
          <w14:ligatures w14:val="none"/>
        </w:rPr>
        <w:t xml:space="preserve"> </w:t>
      </w:r>
      <w:r w:rsidR="00642BFB">
        <w:rPr>
          <w:rFonts w:ascii="Times New Roman" w:eastAsia="Times New Roman" w:hAnsi="Times New Roman" w:cs="Times New Roman"/>
          <w:color w:val="000000"/>
          <w:kern w:val="0"/>
          <w14:ligatures w14:val="none"/>
        </w:rPr>
        <w:t>has a trade agreement in year t,</w:t>
      </w:r>
      <w:r w:rsidR="00D719DA">
        <w:rPr>
          <w:rFonts w:ascii="Times New Roman" w:eastAsia="Times New Roman" w:hAnsi="Times New Roman" w:cs="Times New Roman"/>
          <w:color w:val="000000"/>
          <w:kern w:val="0"/>
          <w14:ligatures w14:val="none"/>
        </w:rPr>
        <w:t xml:space="preserve"> and </w:t>
      </w:r>
      <m:oMath>
        <m:sSubSup>
          <m:sSubSupPr>
            <m:ctrlPr>
              <w:rPr>
                <w:rFonts w:ascii="Cambria Math" w:eastAsia="Times New Roman" w:hAnsi="Cambria Math" w:cs="Times New Roman"/>
                <w:i/>
                <w:color w:val="000000"/>
                <w:kern w:val="0"/>
                <w14:ligatures w14:val="none"/>
              </w:rPr>
            </m:ctrlPr>
          </m:sSubSupPr>
          <m:e>
            <m:r>
              <w:rPr>
                <w:rFonts w:ascii="Cambria Math" w:eastAsia="Times New Roman" w:hAnsi="Cambria Math" w:cs="Times New Roman"/>
                <w:color w:val="000000"/>
              </w:rPr>
              <m:t>N</m:t>
            </m:r>
          </m:e>
          <m:sub>
            <m:r>
              <w:rPr>
                <w:rFonts w:ascii="Cambria Math" w:eastAsia="Times New Roman" w:hAnsi="Cambria Math" w:cs="Times New Roman"/>
                <w:color w:val="000000"/>
              </w:rPr>
              <m:t>i,t</m:t>
            </m:r>
          </m:sub>
          <m:sup>
            <m:r>
              <w:rPr>
                <w:rFonts w:ascii="Cambria Math" w:eastAsia="Times New Roman" w:hAnsi="Cambria Math" w:cs="Times New Roman"/>
                <w:color w:val="000000"/>
              </w:rPr>
              <m:t>TA</m:t>
            </m:r>
          </m:sup>
        </m:sSubSup>
      </m:oMath>
      <w:r w:rsidR="00D719DA">
        <w:rPr>
          <w:rFonts w:ascii="Times New Roman" w:eastAsia="Times New Roman" w:hAnsi="Times New Roman" w:cs="Times New Roman"/>
          <w:color w:val="000000"/>
          <w:kern w:val="0"/>
          <w14:ligatures w14:val="none"/>
        </w:rPr>
        <w:t xml:space="preserve"> represents the number of such partners for a developing country </w:t>
      </w:r>
      <w:proofErr w:type="spellStart"/>
      <w:r w:rsidR="00D719DA">
        <w:rPr>
          <w:rFonts w:ascii="Times New Roman" w:eastAsia="Times New Roman" w:hAnsi="Times New Roman" w:cs="Times New Roman"/>
          <w:i/>
          <w:iCs/>
          <w:color w:val="000000"/>
          <w:kern w:val="0"/>
          <w14:ligatures w14:val="none"/>
        </w:rPr>
        <w:t>i</w:t>
      </w:r>
      <w:proofErr w:type="spellEnd"/>
      <w:r w:rsidR="00D719DA">
        <w:rPr>
          <w:rFonts w:ascii="Times New Roman" w:eastAsia="Times New Roman" w:hAnsi="Times New Roman" w:cs="Times New Roman"/>
          <w:i/>
          <w:iCs/>
          <w:color w:val="000000"/>
          <w:kern w:val="0"/>
          <w14:ligatures w14:val="none"/>
        </w:rPr>
        <w:t xml:space="preserve"> </w:t>
      </w:r>
      <w:r w:rsidR="00D719DA">
        <w:rPr>
          <w:rFonts w:ascii="Times New Roman" w:eastAsia="Times New Roman" w:hAnsi="Times New Roman" w:cs="Times New Roman"/>
          <w:color w:val="000000"/>
          <w:kern w:val="0"/>
          <w14:ligatures w14:val="none"/>
        </w:rPr>
        <w:t xml:space="preserve">in year </w:t>
      </w:r>
      <w:r w:rsidR="00D719DA">
        <w:rPr>
          <w:rFonts w:ascii="Times New Roman" w:eastAsia="Times New Roman" w:hAnsi="Times New Roman" w:cs="Times New Roman"/>
          <w:i/>
          <w:iCs/>
          <w:color w:val="000000"/>
          <w:kern w:val="0"/>
          <w14:ligatures w14:val="none"/>
        </w:rPr>
        <w:t>t</w:t>
      </w:r>
      <w:r>
        <w:rPr>
          <w:rFonts w:ascii="Times New Roman" w:eastAsia="Times New Roman" w:hAnsi="Times New Roman" w:cs="Times New Roman"/>
          <w:color w:val="000000"/>
          <w:kern w:val="0"/>
          <w14:ligatures w14:val="none"/>
        </w:rPr>
        <w:t xml:space="preserve">. </w:t>
      </w:r>
      <w:r w:rsidR="00D719DA">
        <w:rPr>
          <w:rFonts w:ascii="Times New Roman" w:eastAsia="Times New Roman" w:hAnsi="Times New Roman" w:cs="Times New Roman"/>
          <w:color w:val="000000"/>
          <w:kern w:val="0"/>
          <w14:ligatures w14:val="none"/>
        </w:rPr>
        <w:t>W</w:t>
      </w:r>
      <w:r w:rsidR="00D719DA" w:rsidRPr="00D719DA">
        <w:rPr>
          <w:rFonts w:ascii="Times New Roman" w:eastAsia="Times New Roman" w:hAnsi="Times New Roman" w:cs="Times New Roman"/>
          <w:color w:val="000000"/>
          <w:kern w:val="0"/>
          <w14:ligatures w14:val="none"/>
        </w:rPr>
        <w:t xml:space="preserve">e compute developed-partner averages for GDP per capita, population, trade openness, </w:t>
      </w:r>
      <w:r w:rsidR="00814B9B">
        <w:rPr>
          <w:rFonts w:ascii="Times New Roman" w:eastAsia="Times New Roman" w:hAnsi="Times New Roman" w:cs="Times New Roman"/>
          <w:color w:val="000000"/>
          <w:kern w:val="0"/>
          <w14:ligatures w14:val="none"/>
        </w:rPr>
        <w:t>and gross capital formation as a share of GDP</w:t>
      </w:r>
      <w:r w:rsidR="00D719DA" w:rsidRPr="00D719DA">
        <w:rPr>
          <w:rFonts w:ascii="Times New Roman" w:eastAsia="Times New Roman" w:hAnsi="Times New Roman" w:cs="Times New Roman"/>
          <w:color w:val="000000"/>
          <w:kern w:val="0"/>
          <w14:ligatures w14:val="none"/>
        </w:rPr>
        <w:t>. These variables capture shifts in the economic size, productive capacity, and global integration of partner economies over time</w:t>
      </w:r>
      <w:r w:rsidR="00E07C45">
        <w:rPr>
          <w:rFonts w:ascii="Times New Roman" w:eastAsia="Times New Roman" w:hAnsi="Times New Roman" w:cs="Times New Roman"/>
          <w:color w:val="000000"/>
          <w:kern w:val="0"/>
          <w14:ligatures w14:val="none"/>
        </w:rPr>
        <w:t>. This</w:t>
      </w:r>
      <w:r w:rsidR="00D719DA" w:rsidRPr="00D719DA">
        <w:rPr>
          <w:rFonts w:ascii="Times New Roman" w:eastAsia="Times New Roman" w:hAnsi="Times New Roman" w:cs="Times New Roman"/>
          <w:color w:val="000000"/>
          <w:kern w:val="0"/>
          <w14:ligatures w14:val="none"/>
        </w:rPr>
        <w:t xml:space="preserve"> ensur</w:t>
      </w:r>
      <w:r w:rsidR="00E07C45">
        <w:rPr>
          <w:rFonts w:ascii="Times New Roman" w:eastAsia="Times New Roman" w:hAnsi="Times New Roman" w:cs="Times New Roman"/>
          <w:color w:val="000000"/>
          <w:kern w:val="0"/>
          <w14:ligatures w14:val="none"/>
        </w:rPr>
        <w:t>es</w:t>
      </w:r>
      <w:r w:rsidR="00D719DA" w:rsidRPr="00D719DA">
        <w:rPr>
          <w:rFonts w:ascii="Times New Roman" w:eastAsia="Times New Roman" w:hAnsi="Times New Roman" w:cs="Times New Roman"/>
          <w:color w:val="000000"/>
          <w:kern w:val="0"/>
          <w14:ligatures w14:val="none"/>
        </w:rPr>
        <w:t xml:space="preserve"> that the estimated effects of trade agreements are not driven by changes in the economic environment of developed trading partners.</w:t>
      </w:r>
    </w:p>
    <w:p w14:paraId="1BEFA156" w14:textId="77777777" w:rsidR="00E164A4" w:rsidRPr="00E07C45" w:rsidRDefault="00E164A4" w:rsidP="00CD58D7">
      <w:pPr>
        <w:spacing w:line="276" w:lineRule="auto"/>
        <w:rPr>
          <w:rFonts w:ascii="Times New Roman" w:eastAsia="Times New Roman" w:hAnsi="Times New Roman" w:cs="Times New Roman"/>
          <w:b/>
          <w:bCs/>
          <w:color w:val="000000"/>
          <w:kern w:val="0"/>
          <w14:ligatures w14:val="none"/>
        </w:rPr>
      </w:pPr>
    </w:p>
    <w:p w14:paraId="3A974A8A" w14:textId="250391C2" w:rsidR="00E164A4" w:rsidRPr="00E07C45" w:rsidRDefault="00E07C45" w:rsidP="00CD58D7">
      <w:pPr>
        <w:spacing w:line="276"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Baseline econometric specification</w:t>
      </w:r>
    </w:p>
    <w:p w14:paraId="568241E6" w14:textId="1C7F50F0" w:rsidR="00E164A4" w:rsidRDefault="00E07C45" w:rsidP="00CD58D7">
      <w:pPr>
        <w:spacing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Our main empirical specification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
        <w:gridCol w:w="8511"/>
        <w:gridCol w:w="496"/>
      </w:tblGrid>
      <w:tr w:rsidR="00E07C45" w:rsidRPr="00BC255D" w14:paraId="3972E54B" w14:textId="77777777">
        <w:tc>
          <w:tcPr>
            <w:tcW w:w="353" w:type="dxa"/>
            <w:vAlign w:val="center"/>
          </w:tcPr>
          <w:p w14:paraId="403DEA39" w14:textId="77777777" w:rsidR="00E07C45" w:rsidRPr="00BC255D" w:rsidRDefault="00E07C45" w:rsidP="00E2222C">
            <w:pPr>
              <w:jc w:val="center"/>
              <w:rPr>
                <w:rFonts w:ascii="Times New Roman" w:hAnsi="Times New Roman" w:cs="Times New Roman"/>
                <w:sz w:val="24"/>
                <w:szCs w:val="24"/>
              </w:rPr>
            </w:pPr>
          </w:p>
        </w:tc>
        <w:tc>
          <w:tcPr>
            <w:tcW w:w="8511" w:type="dxa"/>
            <w:vAlign w:val="center"/>
          </w:tcPr>
          <w:p w14:paraId="224F75AF" w14:textId="733807A2" w:rsidR="00E07C45" w:rsidRPr="00E07C45" w:rsidRDefault="00000000" w:rsidP="00E2222C">
            <w:pPr>
              <w:rPr>
                <w:rFonts w:ascii="Times New Roman" w:eastAsia="Times New Roman" w:hAnsi="Times New Roman" w:cs="Times New Roman"/>
              </w:rPr>
            </w:pPr>
            <m:oMathPara>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i,j,t</m:t>
                    </m:r>
                  </m:sub>
                </m:sSub>
                <m:r>
                  <w:rPr>
                    <w:rFonts w:ascii="Cambria Math" w:eastAsia="Cambria Math"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β</m:t>
                    </m:r>
                  </m:e>
                  <m:sub>
                    <m:r>
                      <w:rPr>
                        <w:rFonts w:ascii="Cambria Math" w:eastAsia="Times New Roman" w:hAnsi="Cambria Math" w:cs="Times New Roman"/>
                      </w:rPr>
                      <m:t>1</m:t>
                    </m:r>
                  </m:sub>
                </m:sSub>
                <m:sSub>
                  <m:sSubPr>
                    <m:ctrlPr>
                      <w:rPr>
                        <w:rFonts w:ascii="Cambria Math" w:eastAsia="Times New Roman" w:hAnsi="Cambria Math" w:cs="Times New Roman"/>
                        <w:i/>
                      </w:rPr>
                    </m:ctrlPr>
                  </m:sSubPr>
                  <m:e>
                    <m:r>
                      <w:rPr>
                        <w:rFonts w:ascii="Cambria Math" w:eastAsia="Times New Roman" w:hAnsi="Cambria Math" w:cs="Times New Roman"/>
                      </w:rPr>
                      <m:t>DeepCount</m:t>
                    </m:r>
                  </m:e>
                  <m:sub>
                    <m:r>
                      <w:rPr>
                        <w:rFonts w:ascii="Cambria Math" w:eastAsia="Times New Roman" w:hAnsi="Cambria Math" w:cs="Times New Roman"/>
                      </w:rPr>
                      <m:t>i,t</m:t>
                    </m:r>
                  </m:sub>
                </m:sSub>
                <m:r>
                  <w:rPr>
                    <w:rFonts w:ascii="Cambria Math" w:eastAsia="Times New Roman" w:hAnsi="Cambria Math" w:cs="Times New Roman"/>
                  </w:rPr>
                  <m:t>+γ</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i,t</m:t>
                    </m:r>
                  </m:sub>
                </m:sSub>
                <m:r>
                  <w:rPr>
                    <w:rFonts w:ascii="Cambria Math" w:eastAsia="Times New Roman" w:hAnsi="Cambria Math" w:cs="Times New Roman"/>
                  </w:rPr>
                  <m:t>+ δ</m:t>
                </m:r>
                <m:sSubSup>
                  <m:sSubSupPr>
                    <m:ctrlPr>
                      <w:rPr>
                        <w:rFonts w:ascii="Cambria Math" w:eastAsia="Times New Roman" w:hAnsi="Cambria Math" w:cs="Times New Roman"/>
                        <w:i/>
                      </w:rPr>
                    </m:ctrlPr>
                  </m:sSubSupPr>
                  <m:e>
                    <m:acc>
                      <m:accPr>
                        <m:chr m:val="̅"/>
                        <m:ctrlPr>
                          <w:rPr>
                            <w:rFonts w:ascii="Cambria Math" w:eastAsia="Times New Roman" w:hAnsi="Cambria Math" w:cs="Times New Roman"/>
                            <w:i/>
                          </w:rPr>
                        </m:ctrlPr>
                      </m:accPr>
                      <m:e>
                        <m:r>
                          <w:rPr>
                            <w:rFonts w:ascii="Cambria Math" w:eastAsia="Times New Roman" w:hAnsi="Cambria Math" w:cs="Times New Roman"/>
                          </w:rPr>
                          <m:t>X</m:t>
                        </m:r>
                      </m:e>
                    </m:acc>
                  </m:e>
                  <m:sub>
                    <m:r>
                      <w:rPr>
                        <w:rFonts w:ascii="Cambria Math" w:eastAsia="Times New Roman" w:hAnsi="Cambria Math" w:cs="Times New Roman"/>
                      </w:rPr>
                      <m:t>i,t</m:t>
                    </m:r>
                  </m:sub>
                  <m:sup>
                    <m:r>
                      <w:rPr>
                        <w:rFonts w:ascii="Cambria Math" w:eastAsia="Times New Roman" w:hAnsi="Cambria Math" w:cs="Times New Roman"/>
                      </w:rPr>
                      <m:t>TA</m:t>
                    </m:r>
                  </m:sup>
                </m:sSub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μ</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λ</m:t>
                    </m:r>
                  </m:e>
                  <m:sub>
                    <m:r>
                      <w:rPr>
                        <w:rFonts w:ascii="Cambria Math" w:eastAsia="Times New Roman" w:hAnsi="Cambria Math" w:cs="Times New Roman"/>
                      </w:rPr>
                      <m:t>t</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ε</m:t>
                    </m:r>
                  </m:e>
                  <m:sub>
                    <m:r>
                      <w:rPr>
                        <w:rFonts w:ascii="Cambria Math" w:eastAsia="Times New Roman" w:hAnsi="Cambria Math" w:cs="Times New Roman"/>
                      </w:rPr>
                      <m:t>i,j,t</m:t>
                    </m:r>
                  </m:sub>
                </m:sSub>
              </m:oMath>
            </m:oMathPara>
          </w:p>
          <w:p w14:paraId="5D628068" w14:textId="77777777" w:rsidR="00E07C45" w:rsidRPr="00E07C45" w:rsidRDefault="00E07C45" w:rsidP="00E2222C">
            <w:pPr>
              <w:rPr>
                <w:rFonts w:ascii="Times New Roman" w:eastAsia="Times New Roman" w:hAnsi="Times New Roman" w:cs="Times New Roman"/>
                <w:color w:val="000000"/>
              </w:rPr>
            </w:pPr>
          </w:p>
        </w:tc>
        <w:tc>
          <w:tcPr>
            <w:tcW w:w="496" w:type="dxa"/>
            <w:vAlign w:val="center"/>
          </w:tcPr>
          <w:p w14:paraId="26E4FAB6" w14:textId="6B693C90" w:rsidR="00E07C45" w:rsidRPr="00BC255D" w:rsidRDefault="00E07C45" w:rsidP="00E2222C">
            <w:pPr>
              <w:jc w:val="center"/>
              <w:rPr>
                <w:rFonts w:ascii="Times New Roman" w:hAnsi="Times New Roman" w:cs="Times New Roman"/>
                <w:sz w:val="24"/>
                <w:szCs w:val="24"/>
              </w:rPr>
            </w:pPr>
            <w:r w:rsidRPr="00BC255D">
              <w:rPr>
                <w:rFonts w:ascii="Times New Roman" w:hAnsi="Times New Roman" w:cs="Times New Roman"/>
                <w:sz w:val="24"/>
                <w:szCs w:val="24"/>
              </w:rPr>
              <w:t>(</w:t>
            </w:r>
            <w:r w:rsidR="00336685">
              <w:rPr>
                <w:rFonts w:ascii="Times New Roman" w:hAnsi="Times New Roman" w:cs="Times New Roman"/>
                <w:sz w:val="24"/>
                <w:szCs w:val="24"/>
              </w:rPr>
              <w:t>4</w:t>
            </w:r>
            <w:r w:rsidRPr="00BC255D">
              <w:rPr>
                <w:rFonts w:ascii="Times New Roman" w:hAnsi="Times New Roman" w:cs="Times New Roman"/>
                <w:sz w:val="24"/>
                <w:szCs w:val="24"/>
              </w:rPr>
              <w:t>)</w:t>
            </w:r>
          </w:p>
        </w:tc>
      </w:tr>
    </w:tbl>
    <w:p w14:paraId="550242C2" w14:textId="77777777" w:rsidR="008D7A39" w:rsidRDefault="008D7A39" w:rsidP="00E2222C">
      <w:pPr>
        <w:spacing w:line="240" w:lineRule="auto"/>
        <w:rPr>
          <w:rFonts w:ascii="Times New Roman" w:eastAsia="Times New Roman" w:hAnsi="Times New Roman" w:cs="Times New Roman"/>
          <w:color w:val="000000"/>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
        <w:gridCol w:w="8511"/>
        <w:gridCol w:w="496"/>
      </w:tblGrid>
      <w:tr w:rsidR="00336685" w:rsidRPr="00BC255D" w14:paraId="48ADC602" w14:textId="77777777" w:rsidTr="008B38FD">
        <w:tc>
          <w:tcPr>
            <w:tcW w:w="353" w:type="dxa"/>
            <w:vAlign w:val="center"/>
          </w:tcPr>
          <w:p w14:paraId="21B99619" w14:textId="77777777" w:rsidR="00336685" w:rsidRPr="00BC255D" w:rsidRDefault="00336685" w:rsidP="00E2222C">
            <w:pPr>
              <w:jc w:val="center"/>
              <w:rPr>
                <w:rFonts w:ascii="Times New Roman" w:hAnsi="Times New Roman" w:cs="Times New Roman"/>
                <w:sz w:val="24"/>
                <w:szCs w:val="24"/>
              </w:rPr>
            </w:pPr>
          </w:p>
        </w:tc>
        <w:tc>
          <w:tcPr>
            <w:tcW w:w="8511" w:type="dxa"/>
            <w:vAlign w:val="center"/>
          </w:tcPr>
          <w:p w14:paraId="67BFF653" w14:textId="7589D509" w:rsidR="00336685" w:rsidRPr="00E07C45" w:rsidRDefault="00000000" w:rsidP="00E2222C">
            <w:pPr>
              <w:rPr>
                <w:rFonts w:ascii="Times New Roman" w:eastAsia="Times New Roman" w:hAnsi="Times New Roman" w:cs="Times New Roman"/>
              </w:rPr>
            </w:pPr>
            <m:oMathPara>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i,j,t</m:t>
                    </m:r>
                  </m:sub>
                </m:sSub>
                <m:r>
                  <w:rPr>
                    <w:rFonts w:ascii="Cambria Math" w:eastAsia="Cambria Math" w:hAnsi="Cambria Math" w:cs="Times New Roman"/>
                  </w:rPr>
                  <m:t xml:space="preserve">= </m:t>
                </m:r>
                <m:sSub>
                  <m:sSubPr>
                    <m:ctrlPr>
                      <w:rPr>
                        <w:rFonts w:ascii="Cambria Math" w:eastAsia="Times New Roman" w:hAnsi="Cambria Math" w:cs="Times New Roman"/>
                        <w:i/>
                      </w:rPr>
                    </m:ctrlPr>
                  </m:sSubPr>
                  <m:e>
                    <m:r>
                      <w:rPr>
                        <w:rFonts w:ascii="Cambria Math" w:eastAsia="Times New Roman" w:hAnsi="Cambria Math" w:cs="Times New Roman"/>
                      </w:rPr>
                      <m:t>β</m:t>
                    </m:r>
                  </m:e>
                  <m:sub>
                    <m:r>
                      <w:rPr>
                        <w:rFonts w:ascii="Cambria Math" w:eastAsia="Times New Roman" w:hAnsi="Cambria Math" w:cs="Times New Roman"/>
                      </w:rPr>
                      <m:t>2</m:t>
                    </m:r>
                  </m:sub>
                </m:sSub>
                <m:sSub>
                  <m:sSubPr>
                    <m:ctrlPr>
                      <w:rPr>
                        <w:rFonts w:ascii="Cambria Math" w:eastAsia="Times New Roman" w:hAnsi="Cambria Math" w:cs="Times New Roman"/>
                        <w:i/>
                      </w:rPr>
                    </m:ctrlPr>
                  </m:sSubPr>
                  <m:e>
                    <m:r>
                      <w:rPr>
                        <w:rFonts w:ascii="Cambria Math" w:eastAsia="Times New Roman" w:hAnsi="Cambria Math" w:cs="Times New Roman"/>
                      </w:rPr>
                      <m:t>ShallowCount</m:t>
                    </m:r>
                  </m:e>
                  <m:sub>
                    <m:r>
                      <w:rPr>
                        <w:rFonts w:ascii="Cambria Math" w:eastAsia="Times New Roman" w:hAnsi="Cambria Math" w:cs="Times New Roman"/>
                      </w:rPr>
                      <m:t>i,t</m:t>
                    </m:r>
                  </m:sub>
                </m:sSub>
                <m:r>
                  <w:rPr>
                    <w:rFonts w:ascii="Cambria Math" w:eastAsia="Times New Roman" w:hAnsi="Cambria Math" w:cs="Times New Roman"/>
                  </w:rPr>
                  <m:t>+ γ</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i,t</m:t>
                    </m:r>
                  </m:sub>
                </m:sSub>
                <m:r>
                  <w:rPr>
                    <w:rFonts w:ascii="Cambria Math" w:eastAsia="Times New Roman" w:hAnsi="Cambria Math" w:cs="Times New Roman"/>
                  </w:rPr>
                  <m:t>+ δ</m:t>
                </m:r>
                <m:sSubSup>
                  <m:sSubSupPr>
                    <m:ctrlPr>
                      <w:rPr>
                        <w:rFonts w:ascii="Cambria Math" w:eastAsia="Times New Roman" w:hAnsi="Cambria Math" w:cs="Times New Roman"/>
                        <w:i/>
                      </w:rPr>
                    </m:ctrlPr>
                  </m:sSubSupPr>
                  <m:e>
                    <m:acc>
                      <m:accPr>
                        <m:chr m:val="̅"/>
                        <m:ctrlPr>
                          <w:rPr>
                            <w:rFonts w:ascii="Cambria Math" w:eastAsia="Times New Roman" w:hAnsi="Cambria Math" w:cs="Times New Roman"/>
                            <w:i/>
                          </w:rPr>
                        </m:ctrlPr>
                      </m:accPr>
                      <m:e>
                        <m:r>
                          <w:rPr>
                            <w:rFonts w:ascii="Cambria Math" w:eastAsia="Times New Roman" w:hAnsi="Cambria Math" w:cs="Times New Roman"/>
                          </w:rPr>
                          <m:t>X</m:t>
                        </m:r>
                      </m:e>
                    </m:acc>
                  </m:e>
                  <m:sub>
                    <m:r>
                      <w:rPr>
                        <w:rFonts w:ascii="Cambria Math" w:eastAsia="Times New Roman" w:hAnsi="Cambria Math" w:cs="Times New Roman"/>
                      </w:rPr>
                      <m:t>i,t</m:t>
                    </m:r>
                  </m:sub>
                  <m:sup>
                    <m:r>
                      <w:rPr>
                        <w:rFonts w:ascii="Cambria Math" w:eastAsia="Times New Roman" w:hAnsi="Cambria Math" w:cs="Times New Roman"/>
                      </w:rPr>
                      <m:t>TA</m:t>
                    </m:r>
                  </m:sup>
                </m:sSub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μ</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λ</m:t>
                    </m:r>
                  </m:e>
                  <m:sub>
                    <m:r>
                      <w:rPr>
                        <w:rFonts w:ascii="Cambria Math" w:eastAsia="Times New Roman" w:hAnsi="Cambria Math" w:cs="Times New Roman"/>
                      </w:rPr>
                      <m:t>t</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ε</m:t>
                    </m:r>
                  </m:e>
                  <m:sub>
                    <m:r>
                      <w:rPr>
                        <w:rFonts w:ascii="Cambria Math" w:eastAsia="Times New Roman" w:hAnsi="Cambria Math" w:cs="Times New Roman"/>
                      </w:rPr>
                      <m:t>i,j,t</m:t>
                    </m:r>
                  </m:sub>
                </m:sSub>
              </m:oMath>
            </m:oMathPara>
          </w:p>
          <w:p w14:paraId="4A59C5AA" w14:textId="77777777" w:rsidR="00336685" w:rsidRPr="00E07C45" w:rsidRDefault="00336685" w:rsidP="00E2222C">
            <w:pPr>
              <w:rPr>
                <w:rFonts w:ascii="Times New Roman" w:eastAsia="Times New Roman" w:hAnsi="Times New Roman" w:cs="Times New Roman"/>
                <w:color w:val="000000"/>
              </w:rPr>
            </w:pPr>
          </w:p>
        </w:tc>
        <w:tc>
          <w:tcPr>
            <w:tcW w:w="496" w:type="dxa"/>
            <w:vAlign w:val="center"/>
          </w:tcPr>
          <w:p w14:paraId="7100D9BB" w14:textId="4869364B" w:rsidR="00336685" w:rsidRPr="00BC255D" w:rsidRDefault="00336685" w:rsidP="00E2222C">
            <w:pPr>
              <w:jc w:val="center"/>
              <w:rPr>
                <w:rFonts w:ascii="Times New Roman" w:hAnsi="Times New Roman" w:cs="Times New Roman"/>
                <w:sz w:val="24"/>
                <w:szCs w:val="24"/>
              </w:rPr>
            </w:pPr>
            <w:r w:rsidRPr="00BC255D">
              <w:rPr>
                <w:rFonts w:ascii="Times New Roman" w:hAnsi="Times New Roman" w:cs="Times New Roman"/>
                <w:sz w:val="24"/>
                <w:szCs w:val="24"/>
              </w:rPr>
              <w:t>(</w:t>
            </w:r>
            <w:r w:rsidR="00D9726E">
              <w:rPr>
                <w:rFonts w:ascii="Times New Roman" w:hAnsi="Times New Roman" w:cs="Times New Roman"/>
                <w:sz w:val="24"/>
                <w:szCs w:val="24"/>
              </w:rPr>
              <w:t>5</w:t>
            </w:r>
            <w:r w:rsidRPr="00BC255D">
              <w:rPr>
                <w:rFonts w:ascii="Times New Roman" w:hAnsi="Times New Roman" w:cs="Times New Roman"/>
                <w:sz w:val="24"/>
                <w:szCs w:val="24"/>
              </w:rPr>
              <w:t>)</w:t>
            </w:r>
          </w:p>
        </w:tc>
      </w:tr>
    </w:tbl>
    <w:p w14:paraId="166E54D8" w14:textId="77777777" w:rsidR="00336685" w:rsidRDefault="00336685" w:rsidP="00CD58D7">
      <w:pPr>
        <w:spacing w:line="276" w:lineRule="auto"/>
        <w:rPr>
          <w:rFonts w:ascii="Times New Roman" w:eastAsia="Times New Roman" w:hAnsi="Times New Roman" w:cs="Times New Roman"/>
          <w:color w:val="000000"/>
          <w:kern w:val="0"/>
          <w14:ligatures w14:val="none"/>
        </w:rPr>
      </w:pPr>
    </w:p>
    <w:p w14:paraId="25E21AE6" w14:textId="451BCC5C" w:rsidR="00393C10" w:rsidRDefault="008D7A39" w:rsidP="00CD58D7">
      <w:pPr>
        <w:spacing w:line="276"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color w:val="000000"/>
          <w:kern w:val="0"/>
          <w14:ligatures w14:val="none"/>
        </w:rPr>
        <w:t xml:space="preserve">Where: </w:t>
      </w:r>
      <m:oMath>
        <m:sSub>
          <m:sSubPr>
            <m:ctrlPr>
              <w:rPr>
                <w:rFonts w:ascii="Cambria Math" w:eastAsia="Times New Roman" w:hAnsi="Cambria Math" w:cs="Times New Roman"/>
                <w:i/>
                <w:color w:val="000000"/>
                <w:kern w:val="0"/>
                <w14:ligatures w14:val="none"/>
              </w:rPr>
            </m:ctrlPr>
          </m:sSubPr>
          <m:e>
            <m:r>
              <w:rPr>
                <w:rFonts w:ascii="Cambria Math" w:eastAsia="Times New Roman" w:hAnsi="Cambria Math" w:cs="Times New Roman"/>
                <w:color w:val="000000"/>
              </w:rPr>
              <m:t>Y</m:t>
            </m:r>
          </m:e>
          <m:sub>
            <m:r>
              <w:rPr>
                <w:rFonts w:ascii="Cambria Math" w:eastAsia="Times New Roman" w:hAnsi="Cambria Math" w:cs="Times New Roman"/>
                <w:color w:val="000000"/>
              </w:rPr>
              <m:t>i,j,t</m:t>
            </m:r>
          </m:sub>
        </m:sSub>
      </m:oMath>
      <w:r>
        <w:rPr>
          <w:rFonts w:ascii="Times New Roman" w:eastAsia="Times New Roman" w:hAnsi="Times New Roman" w:cs="Times New Roman"/>
          <w:color w:val="000000"/>
          <w:kern w:val="0"/>
          <w14:ligatures w14:val="none"/>
        </w:rPr>
        <w:t xml:space="preserve"> denotes a vector of the sector</w:t>
      </w:r>
      <w:r w:rsidR="00B22D04">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level productivity in developing country </w:t>
      </w:r>
      <w:proofErr w:type="spellStart"/>
      <w:r>
        <w:rPr>
          <w:rFonts w:ascii="Times New Roman" w:eastAsia="Times New Roman" w:hAnsi="Times New Roman" w:cs="Times New Roman"/>
          <w:i/>
          <w:iCs/>
          <w:color w:val="000000"/>
          <w:kern w:val="0"/>
          <w14:ligatures w14:val="none"/>
        </w:rPr>
        <w:t>i</w:t>
      </w:r>
      <w:proofErr w:type="spellEnd"/>
      <w:r>
        <w:rPr>
          <w:rFonts w:ascii="Times New Roman" w:eastAsia="Times New Roman" w:hAnsi="Times New Roman" w:cs="Times New Roman"/>
          <w:i/>
          <w:iCs/>
          <w:color w:val="000000"/>
          <w:kern w:val="0"/>
          <w14:ligatures w14:val="none"/>
        </w:rPr>
        <w:t xml:space="preserve"> </w:t>
      </w:r>
      <w:r>
        <w:rPr>
          <w:rFonts w:ascii="Times New Roman" w:eastAsia="Times New Roman" w:hAnsi="Times New Roman" w:cs="Times New Roman"/>
          <w:color w:val="000000"/>
          <w:kern w:val="0"/>
          <w14:ligatures w14:val="none"/>
        </w:rPr>
        <w:t xml:space="preserve">in year </w:t>
      </w:r>
      <w:r>
        <w:rPr>
          <w:rFonts w:ascii="Times New Roman" w:eastAsia="Times New Roman" w:hAnsi="Times New Roman" w:cs="Times New Roman"/>
          <w:i/>
          <w:iCs/>
          <w:color w:val="000000"/>
          <w:kern w:val="0"/>
          <w14:ligatures w14:val="none"/>
        </w:rPr>
        <w:t xml:space="preserve">t. </w:t>
      </w:r>
      <w:r>
        <w:rPr>
          <w:rFonts w:ascii="Times New Roman" w:eastAsia="Times New Roman" w:hAnsi="Times New Roman" w:cs="Times New Roman"/>
          <w:color w:val="000000"/>
          <w:kern w:val="0"/>
          <w14:ligatures w14:val="none"/>
        </w:rPr>
        <w:t>The developing-country level controls are denoted by vector</w:t>
      </w:r>
      <w:r>
        <w:rPr>
          <w:rFonts w:ascii="Times New Roman" w:eastAsia="Times New Roman" w:hAnsi="Times New Roman" w:cs="Times New Roman"/>
          <w:i/>
          <w:iCs/>
          <w:color w:val="000000"/>
          <w:kern w:val="0"/>
          <w14:ligatures w14:val="none"/>
        </w:rPr>
        <w:t xml:space="preserve">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rPr>
              <m:t>Z</m:t>
            </m:r>
          </m:e>
          <m:sub>
            <m:r>
              <w:rPr>
                <w:rFonts w:ascii="Cambria Math" w:eastAsia="Times New Roman" w:hAnsi="Cambria Math" w:cs="Times New Roman"/>
              </w:rPr>
              <m:t>i,t</m:t>
            </m:r>
          </m:sub>
        </m:sSub>
      </m:oMath>
      <w:r>
        <w:rPr>
          <w:rFonts w:ascii="Times New Roman" w:eastAsia="Times New Roman" w:hAnsi="Times New Roman" w:cs="Times New Roman"/>
          <w:i/>
          <w:kern w:val="0"/>
          <w:sz w:val="22"/>
          <w:szCs w:val="22"/>
          <w14:ligatures w14:val="none"/>
        </w:rPr>
        <w:t xml:space="preserve">, </w:t>
      </w:r>
      <w:r>
        <w:rPr>
          <w:rFonts w:ascii="Times New Roman" w:eastAsia="Times New Roman" w:hAnsi="Times New Roman" w:cs="Times New Roman"/>
          <w:iCs/>
          <w:kern w:val="0"/>
          <w:sz w:val="22"/>
          <w:szCs w:val="22"/>
          <w14:ligatures w14:val="none"/>
        </w:rPr>
        <w:t xml:space="preserve">while </w:t>
      </w:r>
      <m:oMath>
        <m:sSubSup>
          <m:sSubSupPr>
            <m:ctrlPr>
              <w:rPr>
                <w:rFonts w:ascii="Cambria Math" w:eastAsia="Times New Roman" w:hAnsi="Cambria Math" w:cs="Times New Roman"/>
                <w:i/>
                <w:kern w:val="0"/>
                <w:sz w:val="22"/>
                <w:szCs w:val="22"/>
                <w14:ligatures w14:val="none"/>
              </w:rPr>
            </m:ctrlPr>
          </m:sSubSupPr>
          <m:e>
            <m:acc>
              <m:accPr>
                <m:chr m:val="̅"/>
                <m:ctrlPr>
                  <w:rPr>
                    <w:rFonts w:ascii="Cambria Math" w:eastAsia="Times New Roman" w:hAnsi="Cambria Math" w:cs="Times New Roman"/>
                    <w:i/>
                    <w:kern w:val="0"/>
                    <w:sz w:val="22"/>
                    <w:szCs w:val="22"/>
                    <w14:ligatures w14:val="none"/>
                  </w:rPr>
                </m:ctrlPr>
              </m:accPr>
              <m:e>
                <m:r>
                  <w:rPr>
                    <w:rFonts w:ascii="Cambria Math" w:eastAsia="Times New Roman" w:hAnsi="Cambria Math" w:cs="Times New Roman"/>
                  </w:rPr>
                  <m:t>X</m:t>
                </m:r>
              </m:e>
            </m:acc>
          </m:e>
          <m:sub>
            <m:r>
              <w:rPr>
                <w:rFonts w:ascii="Cambria Math" w:eastAsia="Times New Roman" w:hAnsi="Cambria Math" w:cs="Times New Roman"/>
              </w:rPr>
              <m:t>i,t</m:t>
            </m:r>
          </m:sub>
          <m:sup>
            <m:r>
              <w:rPr>
                <w:rFonts w:ascii="Cambria Math" w:eastAsia="Times New Roman" w:hAnsi="Cambria Math" w:cs="Times New Roman"/>
              </w:rPr>
              <m:t>TA</m:t>
            </m:r>
          </m:sup>
        </m:sSubSup>
      </m:oMath>
      <w:r w:rsidR="00814B9B">
        <w:rPr>
          <w:rFonts w:ascii="Times New Roman" w:eastAsia="Times New Roman" w:hAnsi="Times New Roman" w:cs="Times New Roman"/>
          <w:kern w:val="0"/>
          <w:sz w:val="22"/>
          <w:szCs w:val="22"/>
          <w14:ligatures w14:val="none"/>
        </w:rPr>
        <w:t>captures the average characteristics of developed agreement partners</w:t>
      </w:r>
      <w:r>
        <w:rPr>
          <w:rFonts w:ascii="Times New Roman" w:eastAsia="Times New Roman" w:hAnsi="Times New Roman" w:cs="Times New Roman"/>
          <w:kern w:val="0"/>
          <w:sz w:val="22"/>
          <w:szCs w:val="22"/>
          <w14:ligatures w14:val="none"/>
        </w:rPr>
        <w:t>. Developing</w:t>
      </w:r>
      <w:r w:rsidR="00B22D04">
        <w:rPr>
          <w:rFonts w:ascii="Times New Roman" w:eastAsia="Times New Roman" w:hAnsi="Times New Roman" w:cs="Times New Roman"/>
          <w:kern w:val="0"/>
          <w:sz w:val="22"/>
          <w:szCs w:val="22"/>
          <w14:ligatures w14:val="none"/>
        </w:rPr>
        <w:t>-</w:t>
      </w:r>
      <w:r>
        <w:rPr>
          <w:rFonts w:ascii="Times New Roman" w:eastAsia="Times New Roman" w:hAnsi="Times New Roman" w:cs="Times New Roman"/>
          <w:kern w:val="0"/>
          <w:sz w:val="22"/>
          <w:szCs w:val="22"/>
          <w14:ligatures w14:val="none"/>
        </w:rPr>
        <w:t>country</w:t>
      </w:r>
      <w:r w:rsidR="0033031E">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 xml:space="preserve">fixed effects are denoted by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rPr>
              <m:t>μ</m:t>
            </m:r>
          </m:e>
          <m:sub>
            <m:r>
              <w:rPr>
                <w:rFonts w:ascii="Cambria Math" w:eastAsia="Times New Roman" w:hAnsi="Cambria Math" w:cs="Times New Roman"/>
              </w:rPr>
              <m:t>i</m:t>
            </m:r>
          </m:sub>
        </m:sSub>
      </m:oMath>
      <w:r>
        <w:rPr>
          <w:rFonts w:ascii="Times New Roman" w:eastAsia="Times New Roman" w:hAnsi="Times New Roman" w:cs="Times New Roman"/>
          <w:kern w:val="0"/>
          <w:sz w:val="22"/>
          <w:szCs w:val="22"/>
          <w14:ligatures w14:val="none"/>
        </w:rPr>
        <w:t xml:space="preserve">, year fixed effects are </w:t>
      </w:r>
      <w:r w:rsidR="00C10C1C">
        <w:rPr>
          <w:rFonts w:ascii="Times New Roman" w:eastAsia="Times New Roman" w:hAnsi="Times New Roman" w:cs="Times New Roman"/>
          <w:kern w:val="0"/>
          <w:sz w:val="22"/>
          <w:szCs w:val="22"/>
          <w14:ligatures w14:val="none"/>
        </w:rPr>
        <w:t xml:space="preserve">denoted by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rPr>
              <m:t>λ</m:t>
            </m:r>
          </m:e>
          <m:sub>
            <m:r>
              <w:rPr>
                <w:rFonts w:ascii="Cambria Math" w:eastAsia="Times New Roman" w:hAnsi="Cambria Math" w:cs="Times New Roman"/>
              </w:rPr>
              <m:t>t</m:t>
            </m:r>
          </m:sub>
        </m:sSub>
      </m:oMath>
      <w:r w:rsidR="00C10C1C">
        <w:rPr>
          <w:rFonts w:ascii="Times New Roman" w:eastAsia="Times New Roman" w:hAnsi="Times New Roman" w:cs="Times New Roman"/>
          <w:kern w:val="0"/>
          <w:sz w:val="22"/>
          <w:szCs w:val="22"/>
          <w14:ligatures w14:val="none"/>
        </w:rPr>
        <w:t xml:space="preserve">, and </w:t>
      </w:r>
      <m:oMath>
        <m:sSub>
          <m:sSubPr>
            <m:ctrlPr>
              <w:rPr>
                <w:rFonts w:ascii="Cambria Math" w:eastAsia="Times New Roman" w:hAnsi="Cambria Math" w:cs="Times New Roman"/>
                <w:i/>
                <w:kern w:val="0"/>
                <w:sz w:val="22"/>
                <w:szCs w:val="22"/>
                <w14:ligatures w14:val="none"/>
              </w:rPr>
            </m:ctrlPr>
          </m:sSubPr>
          <m:e>
            <m:r>
              <w:rPr>
                <w:rFonts w:ascii="Cambria Math" w:eastAsia="Times New Roman" w:hAnsi="Cambria Math" w:cs="Times New Roman"/>
              </w:rPr>
              <m:t>ε</m:t>
            </m:r>
          </m:e>
          <m:sub>
            <m:r>
              <w:rPr>
                <w:rFonts w:ascii="Cambria Math" w:eastAsia="Times New Roman" w:hAnsi="Cambria Math" w:cs="Times New Roman"/>
              </w:rPr>
              <m:t>i,t</m:t>
            </m:r>
          </m:sub>
        </m:sSub>
      </m:oMath>
      <w:r w:rsidR="00C10C1C">
        <w:rPr>
          <w:rFonts w:ascii="Times New Roman" w:eastAsia="Times New Roman" w:hAnsi="Times New Roman" w:cs="Times New Roman"/>
          <w:kern w:val="0"/>
          <w:sz w:val="22"/>
          <w:szCs w:val="22"/>
          <w14:ligatures w14:val="none"/>
        </w:rPr>
        <w:t xml:space="preserve"> is the idiosyncratic error term.</w:t>
      </w:r>
      <w:r w:rsidR="009C61D4">
        <w:rPr>
          <w:rFonts w:ascii="Times New Roman" w:eastAsia="Times New Roman" w:hAnsi="Times New Roman" w:cs="Times New Roman"/>
          <w:kern w:val="0"/>
          <w:sz w:val="22"/>
          <w:szCs w:val="22"/>
          <w14:ligatures w14:val="none"/>
        </w:rPr>
        <w:t xml:space="preserve"> Country fixed effects absorb any country-specific time-invariant heterogeneity</w:t>
      </w:r>
      <w:r w:rsidR="00474F56">
        <w:rPr>
          <w:rFonts w:ascii="Times New Roman" w:eastAsia="Times New Roman" w:hAnsi="Times New Roman" w:cs="Times New Roman"/>
          <w:kern w:val="0"/>
          <w:sz w:val="22"/>
          <w:szCs w:val="22"/>
          <w14:ligatures w14:val="none"/>
        </w:rPr>
        <w:t>,</w:t>
      </w:r>
      <w:r w:rsidR="009C61D4">
        <w:rPr>
          <w:rFonts w:ascii="Times New Roman" w:eastAsia="Times New Roman" w:hAnsi="Times New Roman" w:cs="Times New Roman"/>
          <w:kern w:val="0"/>
          <w:sz w:val="22"/>
          <w:szCs w:val="22"/>
          <w14:ligatures w14:val="none"/>
        </w:rPr>
        <w:t xml:space="preserve"> while the </w:t>
      </w:r>
      <w:r w:rsidR="00474F56">
        <w:rPr>
          <w:rFonts w:ascii="Times New Roman" w:eastAsia="Times New Roman" w:hAnsi="Times New Roman" w:cs="Times New Roman"/>
          <w:kern w:val="0"/>
          <w:sz w:val="22"/>
          <w:szCs w:val="22"/>
          <w14:ligatures w14:val="none"/>
        </w:rPr>
        <w:t xml:space="preserve">year fixed effects control for global shocks </w:t>
      </w:r>
      <w:r w:rsidR="00474F56">
        <w:rPr>
          <w:rFonts w:ascii="Times New Roman" w:eastAsia="Times New Roman" w:hAnsi="Times New Roman" w:cs="Times New Roman"/>
          <w:kern w:val="0"/>
          <w:sz w:val="22"/>
          <w:szCs w:val="22"/>
          <w14:ligatures w14:val="none"/>
        </w:rPr>
        <w:lastRenderedPageBreak/>
        <w:t>affecting all countries simultaneously.</w:t>
      </w:r>
      <w:r w:rsidR="00393C10">
        <w:rPr>
          <w:rFonts w:ascii="Times New Roman" w:eastAsia="Times New Roman" w:hAnsi="Times New Roman" w:cs="Times New Roman"/>
          <w:kern w:val="0"/>
          <w:sz w:val="22"/>
          <w:szCs w:val="22"/>
          <w14:ligatures w14:val="none"/>
        </w:rPr>
        <w:t xml:space="preserve"> Our identification in this case relies on within-country variations over time in exposure to trade agreements, conditioned on the country and year fixed effects. </w:t>
      </w:r>
    </w:p>
    <w:p w14:paraId="386828FD" w14:textId="77777777" w:rsidR="002E6380" w:rsidRDefault="002E6380" w:rsidP="00CD58D7">
      <w:pPr>
        <w:tabs>
          <w:tab w:val="left" w:pos="2945"/>
        </w:tabs>
        <w:spacing w:line="276" w:lineRule="auto"/>
        <w:rPr>
          <w:rFonts w:ascii="Times New Roman" w:eastAsia="Times New Roman" w:hAnsi="Times New Roman" w:cs="Times New Roman"/>
          <w:iCs/>
          <w:color w:val="000000"/>
          <w:kern w:val="0"/>
          <w14:ligatures w14:val="none"/>
        </w:rPr>
      </w:pPr>
    </w:p>
    <w:p w14:paraId="09DF38D3" w14:textId="513C296C" w:rsidR="002E6380" w:rsidRPr="00174E71" w:rsidRDefault="002E6380" w:rsidP="00CD58D7">
      <w:pPr>
        <w:tabs>
          <w:tab w:val="left" w:pos="2945"/>
        </w:tabs>
        <w:spacing w:line="276" w:lineRule="auto"/>
        <w:rPr>
          <w:rFonts w:ascii="Times New Roman" w:eastAsia="Times New Roman" w:hAnsi="Times New Roman" w:cs="Times New Roman"/>
          <w:b/>
          <w:bCs/>
          <w:color w:val="000000"/>
          <w:kern w:val="0"/>
          <w14:ligatures w14:val="none"/>
        </w:rPr>
      </w:pPr>
      <w:r w:rsidRPr="00174E71">
        <w:rPr>
          <w:rFonts w:ascii="Times New Roman" w:eastAsia="Times New Roman" w:hAnsi="Times New Roman" w:cs="Times New Roman"/>
          <w:b/>
          <w:bCs/>
          <w:iCs/>
          <w:color w:val="000000"/>
          <w:kern w:val="0"/>
          <w14:ligatures w14:val="none"/>
        </w:rPr>
        <w:t xml:space="preserve">Event </w:t>
      </w:r>
      <w:r w:rsidR="00174E71" w:rsidRPr="00174E71">
        <w:rPr>
          <w:rFonts w:ascii="Times New Roman" w:eastAsia="Times New Roman" w:hAnsi="Times New Roman" w:cs="Times New Roman"/>
          <w:b/>
          <w:bCs/>
          <w:iCs/>
          <w:color w:val="000000"/>
          <w:kern w:val="0"/>
          <w14:ligatures w14:val="none"/>
        </w:rPr>
        <w:t>study</w:t>
      </w:r>
    </w:p>
    <w:p w14:paraId="7D0FFA24" w14:textId="03B062F3" w:rsidR="004C1EB2" w:rsidRDefault="00610D3A" w:rsidP="00CD58D7">
      <w:pPr>
        <w:tabs>
          <w:tab w:val="left" w:pos="2945"/>
        </w:tabs>
        <w:spacing w:line="276" w:lineRule="auto"/>
        <w:rPr>
          <w:rFonts w:ascii="Times New Roman" w:eastAsia="Times New Roman" w:hAnsi="Times New Roman" w:cs="Times New Roman"/>
          <w:color w:val="000000"/>
          <w:kern w:val="0"/>
          <w14:ligatures w14:val="none"/>
        </w:rPr>
      </w:pPr>
      <w:r w:rsidRPr="00610D3A">
        <w:rPr>
          <w:rFonts w:ascii="Times New Roman" w:eastAsia="Times New Roman" w:hAnsi="Times New Roman" w:cs="Times New Roman"/>
          <w:color w:val="000000"/>
          <w:kern w:val="0"/>
          <w14:ligatures w14:val="none"/>
        </w:rPr>
        <w:t>To complement the baseline analysis, we implement a</w:t>
      </w:r>
      <w:r w:rsidR="003D2F65">
        <w:rPr>
          <w:rFonts w:ascii="Times New Roman" w:eastAsia="Times New Roman" w:hAnsi="Times New Roman" w:cs="Times New Roman"/>
          <w:color w:val="000000"/>
          <w:kern w:val="0"/>
          <w14:ligatures w14:val="none"/>
        </w:rPr>
        <w:t xml:space="preserve"> panel </w:t>
      </w:r>
      <w:r w:rsidRPr="00610D3A">
        <w:rPr>
          <w:rFonts w:ascii="Times New Roman" w:eastAsia="Times New Roman" w:hAnsi="Times New Roman" w:cs="Times New Roman"/>
          <w:color w:val="000000"/>
          <w:kern w:val="0"/>
          <w14:ligatures w14:val="none"/>
        </w:rPr>
        <w:t>event-study design centered on the first deep trade agreement</w:t>
      </w:r>
      <w:r>
        <w:rPr>
          <w:rFonts w:ascii="Times New Roman" w:eastAsia="Times New Roman" w:hAnsi="Times New Roman" w:cs="Times New Roman"/>
          <w:b/>
          <w:bCs/>
          <w:color w:val="000000"/>
          <w:kern w:val="0"/>
          <w14:ligatures w14:val="none"/>
        </w:rPr>
        <w:t xml:space="preserve"> </w:t>
      </w:r>
      <w:r w:rsidRPr="00610D3A">
        <w:rPr>
          <w:rFonts w:ascii="Times New Roman" w:eastAsia="Times New Roman" w:hAnsi="Times New Roman" w:cs="Times New Roman"/>
          <w:color w:val="000000"/>
          <w:kern w:val="0"/>
          <w14:ligatures w14:val="none"/>
        </w:rPr>
        <w:t xml:space="preserve">signed by each developing country. </w:t>
      </w:r>
      <w:r w:rsidR="004C1EB2">
        <w:rPr>
          <w:rFonts w:ascii="Times New Roman" w:eastAsia="Times New Roman" w:hAnsi="Times New Roman" w:cs="Times New Roman"/>
          <w:color w:val="000000"/>
          <w:kern w:val="0"/>
          <w14:ligatures w14:val="none"/>
        </w:rPr>
        <w:t xml:space="preserve">Panel event-study models are widely used to evaluate the impact of policy interventions occurring at different points in time across observational units. These models extend the standard two-way fixed effects difference in differences framework by incorporating leads and lags of the treatment event. This allows for examining both the pre-treatment </w:t>
      </w:r>
      <w:r w:rsidR="005B1507">
        <w:rPr>
          <w:rFonts w:ascii="Times New Roman" w:eastAsia="Times New Roman" w:hAnsi="Times New Roman" w:cs="Times New Roman"/>
          <w:color w:val="000000"/>
          <w:kern w:val="0"/>
          <w14:ligatures w14:val="none"/>
        </w:rPr>
        <w:t xml:space="preserve">dynamics and the evolution of treatment effects over time </w:t>
      </w:r>
      <w:r w:rsidR="005B1507">
        <w:rPr>
          <w:rFonts w:ascii="Times New Roman" w:eastAsia="Times New Roman" w:hAnsi="Times New Roman" w:cs="Times New Roman"/>
          <w:color w:val="000000"/>
          <w:kern w:val="0"/>
          <w14:ligatures w14:val="none"/>
        </w:rPr>
        <w:fldChar w:fldCharType="begin"/>
      </w:r>
      <w:r w:rsidR="005B1507">
        <w:rPr>
          <w:rFonts w:ascii="Times New Roman" w:eastAsia="Times New Roman" w:hAnsi="Times New Roman" w:cs="Times New Roman"/>
          <w:color w:val="000000"/>
          <w:kern w:val="0"/>
          <w14:ligatures w14:val="none"/>
        </w:rPr>
        <w:instrText xml:space="preserve"> ADDIN ZOTERO_ITEM CSL_CITATION {"citationID":"Tqc1Z9ij","properties":{"unsorted":false,"formattedCitation":"(Clarke &amp; Tapia-Schythe, 2021)","plainCitation":"(Clarke &amp; Tapia-Schythe, 2021)","noteIndex":0},"citationItems":[{"id":615,"uris":["http://zotero.org/users/local/FU1BXf8o/items/LEWE9U3R"],"itemData":{"id":615,"type":"article-journal","abstract":"Many studies estimate the impact of exposure to some quasiexperimental policy or event using a panel event study design. These models, as a generalized extension of “difference-in-differences” designs or two-way fixed-effects models, allow for dynamic leads and lags to the event of interest to be estimated, while also controlling for fixed factors (often) by area and time. In this article, we discuss the setup of the panel event study design in a range of situations and lay out several practical considerations for its estimation. We describe a command, eventdd, that allows for simple estimation, inference, and visualization of event study models in a range of circumstances. We then provide several examples to illustrate eventdd’s use and flexibility, as well as its interaction with various native Stata commands, and other relevant community-contributed commands such as reghdfe and boottest.","container-title":"The Stata Journal: Promoting communications on statistics and Stata","DOI":"10.1177/1536867X211063144","ISSN":"1536-867X, 1536-8734","issue":"4","journalAbbreviation":"The Stata Journal: Promoting communications on statistics and Stata","language":"en","page":"853-884","source":"DOI.org (Crossref)","title":"Implementing the panel event study","volume":"21","author":[{"family":"Clarke","given":"Damian"},{"family":"Tapia-Schythe","given":"Kathya"}],"issued":{"date-parts":[["2021",12]]}}}],"schema":"https://github.com/citation-style-language/schema/raw/master/csl-citation.json"} </w:instrText>
      </w:r>
      <w:r w:rsidR="005B1507">
        <w:rPr>
          <w:rFonts w:ascii="Times New Roman" w:eastAsia="Times New Roman" w:hAnsi="Times New Roman" w:cs="Times New Roman"/>
          <w:color w:val="000000"/>
          <w:kern w:val="0"/>
          <w14:ligatures w14:val="none"/>
        </w:rPr>
        <w:fldChar w:fldCharType="separate"/>
      </w:r>
      <w:r w:rsidR="005B1507">
        <w:rPr>
          <w:rFonts w:ascii="Times New Roman" w:eastAsia="Times New Roman" w:hAnsi="Times New Roman" w:cs="Times New Roman"/>
          <w:noProof/>
          <w:color w:val="000000"/>
          <w:kern w:val="0"/>
          <w14:ligatures w14:val="none"/>
        </w:rPr>
        <w:t>(Clarke &amp; Tapia-Schythe, 2021)</w:t>
      </w:r>
      <w:r w:rsidR="005B1507">
        <w:rPr>
          <w:rFonts w:ascii="Times New Roman" w:eastAsia="Times New Roman" w:hAnsi="Times New Roman" w:cs="Times New Roman"/>
          <w:color w:val="000000"/>
          <w:kern w:val="0"/>
          <w14:ligatures w14:val="none"/>
        </w:rPr>
        <w:fldChar w:fldCharType="end"/>
      </w:r>
      <w:r w:rsidR="005B1507">
        <w:rPr>
          <w:rFonts w:ascii="Times New Roman" w:eastAsia="Times New Roman" w:hAnsi="Times New Roman" w:cs="Times New Roman"/>
          <w:color w:val="000000"/>
          <w:kern w:val="0"/>
          <w14:ligatures w14:val="none"/>
        </w:rPr>
        <w:t xml:space="preserve">. </w:t>
      </w:r>
    </w:p>
    <w:p w14:paraId="46A0021C" w14:textId="0EB5458B" w:rsidR="00335B54" w:rsidRPr="005468CF" w:rsidRDefault="005B1507" w:rsidP="00CD58D7">
      <w:pPr>
        <w:tabs>
          <w:tab w:val="left" w:pos="2945"/>
        </w:tabs>
        <w:spacing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 this framework, the adoption of a deep trade agreement represents the policy event</w:t>
      </w:r>
      <w:r w:rsidR="00335B54">
        <w:rPr>
          <w:rFonts w:ascii="Times New Roman" w:eastAsia="Times New Roman" w:hAnsi="Times New Roman" w:cs="Times New Roman"/>
          <w:color w:val="000000"/>
          <w:kern w:val="0"/>
          <w14:ligatures w14:val="none"/>
        </w:rPr>
        <w:t xml:space="preserve">. We concentrate on deep trade agreements because they </w:t>
      </w:r>
      <w:r w:rsidR="00335B54" w:rsidRPr="00610D3A">
        <w:rPr>
          <w:rFonts w:ascii="Times New Roman" w:eastAsia="Times New Roman" w:hAnsi="Times New Roman" w:cs="Times New Roman"/>
          <w:color w:val="000000"/>
          <w:kern w:val="0"/>
          <w14:ligatures w14:val="none"/>
        </w:rPr>
        <w:t>represent discrete policy interventions that substantially alter trade costs and institutional commitments between partner countries. Their implementation dates are typically well defined, making it possible to identify a credible treatment event. Moreover, the mechanisms through which productivity respond</w:t>
      </w:r>
      <w:r w:rsidR="00335B54">
        <w:rPr>
          <w:rFonts w:ascii="Times New Roman" w:eastAsia="Times New Roman" w:hAnsi="Times New Roman" w:cs="Times New Roman"/>
          <w:color w:val="000000"/>
          <w:kern w:val="0"/>
          <w14:ligatures w14:val="none"/>
        </w:rPr>
        <w:t xml:space="preserve">s, </w:t>
      </w:r>
      <w:r w:rsidR="00335B54" w:rsidRPr="00610D3A">
        <w:rPr>
          <w:rFonts w:ascii="Times New Roman" w:eastAsia="Times New Roman" w:hAnsi="Times New Roman" w:cs="Times New Roman"/>
          <w:color w:val="000000"/>
          <w:kern w:val="0"/>
          <w14:ligatures w14:val="none"/>
        </w:rPr>
        <w:t>such as increased competition, firm entry and exit, and technology diffusion</w:t>
      </w:r>
      <w:r w:rsidR="00335B54">
        <w:rPr>
          <w:rFonts w:ascii="Times New Roman" w:eastAsia="Times New Roman" w:hAnsi="Times New Roman" w:cs="Times New Roman"/>
          <w:color w:val="000000"/>
          <w:kern w:val="0"/>
          <w14:ligatures w14:val="none"/>
        </w:rPr>
        <w:t xml:space="preserve">, </w:t>
      </w:r>
      <w:r w:rsidR="00335B54" w:rsidRPr="00610D3A">
        <w:rPr>
          <w:rFonts w:ascii="Times New Roman" w:eastAsia="Times New Roman" w:hAnsi="Times New Roman" w:cs="Times New Roman"/>
          <w:color w:val="000000"/>
          <w:kern w:val="0"/>
          <w14:ligatures w14:val="none"/>
        </w:rPr>
        <w:t>are expected to unfold gradually following deeper economic integration</w:t>
      </w:r>
      <w:r w:rsidR="00335B54">
        <w:rPr>
          <w:rFonts w:ascii="Times New Roman" w:eastAsia="Times New Roman" w:hAnsi="Times New Roman" w:cs="Times New Roman"/>
          <w:color w:val="000000"/>
          <w:kern w:val="0"/>
          <w14:ligatures w14:val="none"/>
        </w:rPr>
        <w:t xml:space="preserve"> </w:t>
      </w:r>
      <w:r w:rsidR="00335B54">
        <w:rPr>
          <w:color w:val="000000"/>
        </w:rPr>
        <w:fldChar w:fldCharType="begin"/>
      </w:r>
      <w:r w:rsidR="00335B54">
        <w:rPr>
          <w:color w:val="000000"/>
        </w:rPr>
        <w:instrText xml:space="preserve"> ADDIN ZOTERO_ITEM CSL_CITATION {"citationID":"JkJ3yUWO","properties":{"unsorted":false,"formattedCitation":"(Bustos, 2011; Melitz, 2003)","plainCitation":"(Bustos, 2011; Melitz, 2003)","noteIndex":0},"citationItems":[{"id":613,"uris":["http://zotero.org/users/local/FU1BXf8o/items/DW8IT3WN"],"itemData":{"id":613,"type":"article-journal","container-title":"American economic review","issue":"1","page":"304–340","publisher":"American Economic Association","source":"Google Scholar","title":"Trade liberalization, exports, and technology upgrading: Evidence on the impact of MERCOSUR on Argentinian firms","title-short":"Trade liberalization, exports, and technology upgrading","volume":"101","author":[{"family":"Bustos","given":"Paula"}],"issued":{"date-parts":[["2011"]]}}},{"id":611,"uris":["http://zotero.org/users/local/FU1BXf8o/items/7PIMXM4W"],"itemData":{"id":611,"type":"article-journal","container-title":"Econometrica","DOI":"10.1111/1468-0262.00467","ISSN":"0012-9682, 1468-0262","issue":"6","journalAbbreviation":"Econometrica","language":"en","license":"http://doi.wiley.com/10.1002/tdm_license_1.1","page":"1695-1725","source":"DOI.org (Crossref)","title":"The Impact of Trade on Intra-Industry Reallocations and Aggregate Industry Productivity","volume":"71","author":[{"family":"Melitz","given":"Marc J."}],"issued":{"date-parts":[["2003",11]]}}}],"schema":"https://github.com/citation-style-language/schema/raw/master/csl-citation.json"} </w:instrText>
      </w:r>
      <w:r w:rsidR="00335B54">
        <w:rPr>
          <w:color w:val="000000"/>
        </w:rPr>
        <w:fldChar w:fldCharType="separate"/>
      </w:r>
      <w:r w:rsidR="00335B54">
        <w:rPr>
          <w:noProof/>
          <w:color w:val="000000"/>
        </w:rPr>
        <w:t>(Bustos, 2011; Melitz, 2003)</w:t>
      </w:r>
      <w:r w:rsidR="00335B54">
        <w:rPr>
          <w:color w:val="000000"/>
        </w:rPr>
        <w:fldChar w:fldCharType="end"/>
      </w:r>
      <w:r w:rsidR="00335B54">
        <w:rPr>
          <w:color w:val="000000"/>
        </w:rPr>
        <w:t xml:space="preserve">. </w:t>
      </w:r>
      <w:r w:rsidR="00335B54" w:rsidRPr="005468CF">
        <w:rPr>
          <w:rFonts w:ascii="Times New Roman" w:hAnsi="Times New Roman" w:cs="Times New Roman"/>
          <w:color w:val="000000"/>
        </w:rPr>
        <w:t>In contrast, shallow and non-reciprocal agreements often involve partial coverage, gradual phase-ins, or unilateral preferences, which blur the distinction between pre- and post-treatment periods and complicate dynamic interpretation.</w:t>
      </w:r>
    </w:p>
    <w:p w14:paraId="4F0413B8" w14:textId="1A7E9F48" w:rsidR="00335B54" w:rsidRPr="005468CF" w:rsidRDefault="00335B54" w:rsidP="00CD58D7">
      <w:pPr>
        <w:tabs>
          <w:tab w:val="left" w:pos="2945"/>
        </w:tabs>
        <w:spacing w:line="276" w:lineRule="auto"/>
        <w:rPr>
          <w:rFonts w:ascii="Times New Roman" w:eastAsia="Times New Roman" w:hAnsi="Times New Roman" w:cs="Times New Roman"/>
          <w:color w:val="000000"/>
          <w:kern w:val="0"/>
          <w14:ligatures w14:val="none"/>
        </w:rPr>
      </w:pPr>
      <w:r>
        <w:rPr>
          <w:rFonts w:ascii="Times New Roman" w:hAnsi="Times New Roman" w:cs="Times New Roman"/>
          <w:color w:val="000000"/>
        </w:rPr>
        <w:t xml:space="preserve">Because deep trade agreements are adopted at different times across countries, it creates a staggered adoption scenario. Such staggered adoption allows identification </w:t>
      </w:r>
      <w:r w:rsidR="00764B13">
        <w:rPr>
          <w:rFonts w:ascii="Times New Roman" w:hAnsi="Times New Roman" w:cs="Times New Roman"/>
          <w:color w:val="000000"/>
        </w:rPr>
        <w:t xml:space="preserve">to rely on comparisons between countries that have already entered into a deep trade agreement and those that have not yet adopted it, as well as within-country variation before and after the event occurs. </w:t>
      </w:r>
    </w:p>
    <w:p w14:paraId="4D522506" w14:textId="3A608C47" w:rsidR="005468CF" w:rsidRDefault="005468CF" w:rsidP="00CD58D7">
      <w:pPr>
        <w:pStyle w:val="NormalWeb"/>
        <w:spacing w:line="276" w:lineRule="auto"/>
        <w:rPr>
          <w:color w:val="000000"/>
        </w:rPr>
      </w:pPr>
      <w:r>
        <w:rPr>
          <w:color w:val="000000"/>
        </w:rPr>
        <w:t xml:space="preserve">Let </w:t>
      </w:r>
      <m:oMath>
        <m:sSubSup>
          <m:sSubSupPr>
            <m:ctrlPr>
              <w:rPr>
                <w:rFonts w:ascii="Cambria Math" w:hAnsi="Cambria Math"/>
                <w:i/>
                <w:color w:val="000000"/>
              </w:rPr>
            </m:ctrlPr>
          </m:sSubSupPr>
          <m:e>
            <m:r>
              <w:rPr>
                <w:rFonts w:ascii="Cambria Math" w:hAnsi="Cambria Math"/>
                <w:color w:val="000000"/>
              </w:rPr>
              <m:t>T</m:t>
            </m:r>
          </m:e>
          <m:sub>
            <m:r>
              <w:rPr>
                <w:rFonts w:ascii="Cambria Math" w:hAnsi="Cambria Math"/>
                <w:color w:val="000000"/>
              </w:rPr>
              <m:t>i</m:t>
            </m:r>
          </m:sub>
          <m:sup>
            <m:r>
              <w:rPr>
                <w:rFonts w:ascii="Cambria Math" w:hAnsi="Cambria Math"/>
                <w:color w:val="000000"/>
              </w:rPr>
              <m:t>*</m:t>
            </m:r>
          </m:sup>
        </m:sSubSup>
      </m:oMath>
      <w:r>
        <w:rPr>
          <w:color w:val="000000"/>
        </w:rPr>
        <w:t xml:space="preserve"> denote the first year in which a developing country </w:t>
      </w:r>
      <w:proofErr w:type="spellStart"/>
      <w:r>
        <w:rPr>
          <w:i/>
          <w:iCs/>
          <w:color w:val="000000"/>
        </w:rPr>
        <w:t>i</w:t>
      </w:r>
      <w:proofErr w:type="spellEnd"/>
      <w:r>
        <w:rPr>
          <w:i/>
          <w:iCs/>
          <w:color w:val="000000"/>
        </w:rPr>
        <w:t xml:space="preserve"> </w:t>
      </w:r>
      <w:r w:rsidRPr="005468CF">
        <w:rPr>
          <w:color w:val="000000"/>
        </w:rPr>
        <w:t>enters into a deep</w:t>
      </w:r>
      <w:r>
        <w:rPr>
          <w:i/>
          <w:iCs/>
          <w:color w:val="000000"/>
        </w:rPr>
        <w:t xml:space="preserve"> </w:t>
      </w:r>
      <w:r>
        <w:rPr>
          <w:color w:val="000000"/>
        </w:rPr>
        <w:t>trade agreement with at least one developed partner. We define the event time relative to this first agreement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
        <w:gridCol w:w="8511"/>
        <w:gridCol w:w="496"/>
      </w:tblGrid>
      <w:tr w:rsidR="000A4DE9" w:rsidRPr="00BC255D" w14:paraId="20296083" w14:textId="77777777" w:rsidTr="008B38FD">
        <w:tc>
          <w:tcPr>
            <w:tcW w:w="353" w:type="dxa"/>
            <w:vAlign w:val="center"/>
          </w:tcPr>
          <w:p w14:paraId="57495B24" w14:textId="77777777" w:rsidR="000A4DE9" w:rsidRPr="00BC255D" w:rsidRDefault="000A4DE9" w:rsidP="00CD58D7">
            <w:pPr>
              <w:spacing w:line="276" w:lineRule="auto"/>
              <w:jc w:val="center"/>
              <w:rPr>
                <w:rFonts w:ascii="Times New Roman" w:hAnsi="Times New Roman" w:cs="Times New Roman"/>
                <w:sz w:val="24"/>
                <w:szCs w:val="24"/>
              </w:rPr>
            </w:pPr>
          </w:p>
        </w:tc>
        <w:tc>
          <w:tcPr>
            <w:tcW w:w="8511" w:type="dxa"/>
            <w:vAlign w:val="center"/>
          </w:tcPr>
          <w:p w14:paraId="2F38B9CE" w14:textId="77777777" w:rsidR="000A4DE9" w:rsidRPr="005468CF" w:rsidRDefault="00000000" w:rsidP="00CD58D7">
            <w:pPr>
              <w:pStyle w:val="NormalWeb"/>
              <w:spacing w:line="276" w:lineRule="auto"/>
              <w:rPr>
                <w:color w:val="000000"/>
              </w:rPr>
            </w:pPr>
            <m:oMathPara>
              <m:oMath>
                <m:sSub>
                  <m:sSubPr>
                    <m:ctrlPr>
                      <w:rPr>
                        <w:rFonts w:ascii="Cambria Math" w:hAnsi="Cambria Math"/>
                        <w:i/>
                        <w:color w:val="000000"/>
                      </w:rPr>
                    </m:ctrlPr>
                  </m:sSubPr>
                  <m:e>
                    <m:r>
                      <w:rPr>
                        <w:rFonts w:ascii="Cambria Math" w:hAnsi="Cambria Math"/>
                        <w:color w:val="000000"/>
                      </w:rPr>
                      <m:t>EventTime</m:t>
                    </m:r>
                  </m:e>
                  <m:sub>
                    <m:r>
                      <w:rPr>
                        <w:rFonts w:ascii="Cambria Math" w:hAnsi="Cambria Math"/>
                        <w:color w:val="000000"/>
                      </w:rPr>
                      <m:t>i,t</m:t>
                    </m:r>
                  </m:sub>
                </m:sSub>
                <m:r>
                  <w:rPr>
                    <w:rFonts w:ascii="Cambria Math" w:hAnsi="Cambria Math"/>
                    <w:color w:val="000000"/>
                  </w:rPr>
                  <m:t>=t-</m:t>
                </m:r>
                <m:sSubSup>
                  <m:sSubSupPr>
                    <m:ctrlPr>
                      <w:rPr>
                        <w:rFonts w:ascii="Cambria Math" w:hAnsi="Cambria Math"/>
                        <w:i/>
                        <w:color w:val="000000"/>
                      </w:rPr>
                    </m:ctrlPr>
                  </m:sSubSupPr>
                  <m:e>
                    <m:r>
                      <w:rPr>
                        <w:rFonts w:ascii="Cambria Math" w:hAnsi="Cambria Math"/>
                        <w:color w:val="000000"/>
                      </w:rPr>
                      <m:t>T</m:t>
                    </m:r>
                  </m:e>
                  <m:sub>
                    <m:r>
                      <w:rPr>
                        <w:rFonts w:ascii="Cambria Math" w:hAnsi="Cambria Math"/>
                        <w:color w:val="000000"/>
                      </w:rPr>
                      <m:t>i</m:t>
                    </m:r>
                  </m:sub>
                  <m:sup>
                    <m:r>
                      <w:rPr>
                        <w:rFonts w:ascii="Cambria Math" w:hAnsi="Cambria Math"/>
                        <w:color w:val="000000"/>
                      </w:rPr>
                      <m:t>*</m:t>
                    </m:r>
                  </m:sup>
                </m:sSubSup>
              </m:oMath>
            </m:oMathPara>
          </w:p>
          <w:p w14:paraId="3D16932C" w14:textId="77777777" w:rsidR="000A4DE9" w:rsidRPr="00E07C45" w:rsidRDefault="000A4DE9" w:rsidP="00CD58D7">
            <w:pPr>
              <w:spacing w:line="276" w:lineRule="auto"/>
              <w:rPr>
                <w:rFonts w:ascii="Times New Roman" w:eastAsia="Times New Roman" w:hAnsi="Times New Roman" w:cs="Times New Roman"/>
                <w:color w:val="000000"/>
              </w:rPr>
            </w:pPr>
          </w:p>
        </w:tc>
        <w:tc>
          <w:tcPr>
            <w:tcW w:w="496" w:type="dxa"/>
            <w:vAlign w:val="center"/>
          </w:tcPr>
          <w:p w14:paraId="2618CAD0" w14:textId="77777777" w:rsidR="000A4DE9" w:rsidRPr="00BC255D" w:rsidRDefault="000A4DE9" w:rsidP="00CD58D7">
            <w:pPr>
              <w:spacing w:line="276" w:lineRule="auto"/>
              <w:jc w:val="center"/>
              <w:rPr>
                <w:rFonts w:ascii="Times New Roman" w:hAnsi="Times New Roman" w:cs="Times New Roman"/>
                <w:sz w:val="24"/>
                <w:szCs w:val="24"/>
              </w:rPr>
            </w:pPr>
            <w:r w:rsidRPr="00BC255D">
              <w:rPr>
                <w:rFonts w:ascii="Times New Roman" w:hAnsi="Times New Roman" w:cs="Times New Roman"/>
                <w:sz w:val="24"/>
                <w:szCs w:val="24"/>
              </w:rPr>
              <w:t>(</w:t>
            </w:r>
            <w:r>
              <w:rPr>
                <w:rFonts w:ascii="Times New Roman" w:hAnsi="Times New Roman" w:cs="Times New Roman"/>
                <w:sz w:val="24"/>
                <w:szCs w:val="24"/>
              </w:rPr>
              <w:t>6</w:t>
            </w:r>
            <w:r w:rsidRPr="00BC255D">
              <w:rPr>
                <w:rFonts w:ascii="Times New Roman" w:hAnsi="Times New Roman" w:cs="Times New Roman"/>
                <w:sz w:val="24"/>
                <w:szCs w:val="24"/>
              </w:rPr>
              <w:t>)</w:t>
            </w:r>
          </w:p>
        </w:tc>
      </w:tr>
    </w:tbl>
    <w:p w14:paraId="47A86571" w14:textId="06B1486E" w:rsidR="005468CF" w:rsidRDefault="005468CF" w:rsidP="00CD58D7">
      <w:pPr>
        <w:pStyle w:val="NormalWeb"/>
        <w:spacing w:line="276" w:lineRule="auto"/>
        <w:rPr>
          <w:color w:val="000000"/>
        </w:rPr>
      </w:pPr>
      <w:r>
        <w:rPr>
          <w:color w:val="000000"/>
        </w:rPr>
        <w:t xml:space="preserve">where negative values correspond to years prior to the </w:t>
      </w:r>
      <w:r w:rsidR="001742A3">
        <w:rPr>
          <w:color w:val="000000"/>
        </w:rPr>
        <w:t xml:space="preserve">agreement, and positive values correspond to years following its implementation. </w:t>
      </w:r>
      <w:r w:rsidR="0042346F">
        <w:rPr>
          <w:color w:val="000000"/>
        </w:rPr>
        <w:t>Using the event-time structure, we estimate the following specification: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
        <w:gridCol w:w="8511"/>
        <w:gridCol w:w="496"/>
      </w:tblGrid>
      <w:tr w:rsidR="0042346F" w:rsidRPr="00BC255D" w14:paraId="6C2F5BA6" w14:textId="77777777" w:rsidTr="008B38FD">
        <w:tc>
          <w:tcPr>
            <w:tcW w:w="353" w:type="dxa"/>
            <w:vAlign w:val="center"/>
          </w:tcPr>
          <w:p w14:paraId="4BD4A3E2" w14:textId="77777777" w:rsidR="0042346F" w:rsidRPr="00BC255D" w:rsidRDefault="0042346F" w:rsidP="00CD58D7">
            <w:pPr>
              <w:spacing w:line="276" w:lineRule="auto"/>
              <w:jc w:val="center"/>
              <w:rPr>
                <w:rFonts w:ascii="Times New Roman" w:hAnsi="Times New Roman" w:cs="Times New Roman"/>
                <w:sz w:val="24"/>
                <w:szCs w:val="24"/>
              </w:rPr>
            </w:pPr>
          </w:p>
        </w:tc>
        <w:tc>
          <w:tcPr>
            <w:tcW w:w="8511" w:type="dxa"/>
            <w:vAlign w:val="center"/>
          </w:tcPr>
          <w:p w14:paraId="379FE80C" w14:textId="19C0E913" w:rsidR="0042346F" w:rsidRPr="00E07C45" w:rsidRDefault="00000000" w:rsidP="00CD58D7">
            <w:pPr>
              <w:spacing w:line="276" w:lineRule="auto"/>
              <w:rPr>
                <w:rFonts w:ascii="Times New Roman" w:eastAsia="Times New Roman" w:hAnsi="Times New Roman" w:cs="Times New Roman"/>
              </w:rPr>
            </w:pPr>
            <m:oMathPara>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i,j,t</m:t>
                    </m:r>
                  </m:sub>
                </m:sSub>
                <m:r>
                  <w:rPr>
                    <w:rFonts w:ascii="Cambria Math" w:eastAsia="Cambria Math" w:hAnsi="Cambria Math" w:cs="Times New Roman"/>
                  </w:rPr>
                  <m:t xml:space="preserve">= </m:t>
                </m:r>
                <m:nary>
                  <m:naryPr>
                    <m:chr m:val="∑"/>
                    <m:limLoc m:val="undOvr"/>
                    <m:supHide m:val="1"/>
                    <m:ctrlPr>
                      <w:rPr>
                        <w:rFonts w:ascii="Cambria Math" w:eastAsia="Times New Roman" w:hAnsi="Cambria Math" w:cs="Times New Roman"/>
                        <w:i/>
                      </w:rPr>
                    </m:ctrlPr>
                  </m:naryPr>
                  <m:sub>
                    <m:r>
                      <w:rPr>
                        <w:rFonts w:ascii="Cambria Math" w:eastAsia="Times New Roman" w:hAnsi="Cambria Math" w:cs="Times New Roman"/>
                      </w:rPr>
                      <m:t>τ≠-1</m:t>
                    </m:r>
                  </m:sub>
                  <m:sup/>
                  <m:e>
                    <m:sSub>
                      <m:sSubPr>
                        <m:ctrlPr>
                          <w:rPr>
                            <w:rFonts w:ascii="Cambria Math" w:eastAsia="Times New Roman" w:hAnsi="Cambria Math" w:cs="Times New Roman"/>
                            <w:i/>
                          </w:rPr>
                        </m:ctrlPr>
                      </m:sSubPr>
                      <m:e>
                        <m:r>
                          <w:rPr>
                            <w:rFonts w:ascii="Cambria Math" w:eastAsia="Times New Roman" w:hAnsi="Cambria Math" w:cs="Times New Roman"/>
                          </w:rPr>
                          <m:t>θ</m:t>
                        </m:r>
                      </m:e>
                      <m:sub>
                        <m:r>
                          <w:rPr>
                            <w:rFonts w:ascii="Cambria Math" w:eastAsia="Times New Roman" w:hAnsi="Cambria Math" w:cs="Times New Roman"/>
                          </w:rPr>
                          <m:t>τ</m:t>
                        </m:r>
                      </m:sub>
                    </m:sSub>
                    <m:r>
                      <w:rPr>
                        <w:rFonts w:ascii="Cambria Math" w:eastAsia="Times New Roman" w:hAnsi="Cambria Math" w:cs="Times New Roman"/>
                      </w:rPr>
                      <m:t>1(</m:t>
                    </m:r>
                    <m:sSub>
                      <m:sSubPr>
                        <m:ctrlPr>
                          <w:rPr>
                            <w:rFonts w:ascii="Cambria Math" w:eastAsia="Times New Roman" w:hAnsi="Cambria Math" w:cs="Times New Roman"/>
                            <w:i/>
                          </w:rPr>
                        </m:ctrlPr>
                      </m:sSubPr>
                      <m:e>
                        <m:r>
                          <w:rPr>
                            <w:rFonts w:ascii="Cambria Math" w:eastAsia="Times New Roman" w:hAnsi="Cambria Math" w:cs="Times New Roman"/>
                          </w:rPr>
                          <m:t>EventTime</m:t>
                        </m:r>
                      </m:e>
                      <m:sub>
                        <m:r>
                          <w:rPr>
                            <w:rFonts w:ascii="Cambria Math" w:eastAsia="Times New Roman" w:hAnsi="Cambria Math" w:cs="Times New Roman"/>
                          </w:rPr>
                          <m:t>i,t</m:t>
                        </m:r>
                      </m:sub>
                    </m:sSub>
                    <m:r>
                      <w:rPr>
                        <w:rFonts w:ascii="Cambria Math" w:eastAsia="Times New Roman" w:hAnsi="Cambria Math" w:cs="Times New Roman"/>
                      </w:rPr>
                      <m:t>=τ)</m:t>
                    </m:r>
                  </m:e>
                </m:nary>
                <m:r>
                  <w:rPr>
                    <w:rFonts w:ascii="Cambria Math" w:eastAsia="Times New Roman" w:hAnsi="Cambria Math" w:cs="Times New Roman"/>
                  </w:rPr>
                  <m:t>+  γ</m:t>
                </m:r>
                <m:sSub>
                  <m:sSubPr>
                    <m:ctrlPr>
                      <w:rPr>
                        <w:rFonts w:ascii="Cambria Math" w:eastAsia="Times New Roman" w:hAnsi="Cambria Math" w:cs="Times New Roman"/>
                        <w:i/>
                      </w:rPr>
                    </m:ctrlPr>
                  </m:sSubPr>
                  <m:e>
                    <m:r>
                      <w:rPr>
                        <w:rFonts w:ascii="Cambria Math" w:eastAsia="Times New Roman" w:hAnsi="Cambria Math" w:cs="Times New Roman"/>
                      </w:rPr>
                      <m:t>Z</m:t>
                    </m:r>
                  </m:e>
                  <m:sub>
                    <m:r>
                      <w:rPr>
                        <w:rFonts w:ascii="Cambria Math" w:eastAsia="Times New Roman" w:hAnsi="Cambria Math" w:cs="Times New Roman"/>
                      </w:rPr>
                      <m:t>i,t</m:t>
                    </m:r>
                  </m:sub>
                </m:sSub>
                <m:r>
                  <w:rPr>
                    <w:rFonts w:ascii="Cambria Math" w:eastAsia="Times New Roman" w:hAnsi="Cambria Math" w:cs="Times New Roman"/>
                  </w:rPr>
                  <m:t>+ δ</m:t>
                </m:r>
                <m:sSubSup>
                  <m:sSubSupPr>
                    <m:ctrlPr>
                      <w:rPr>
                        <w:rFonts w:ascii="Cambria Math" w:eastAsia="Times New Roman" w:hAnsi="Cambria Math" w:cs="Times New Roman"/>
                        <w:i/>
                      </w:rPr>
                    </m:ctrlPr>
                  </m:sSubSupPr>
                  <m:e>
                    <m:acc>
                      <m:accPr>
                        <m:chr m:val="̅"/>
                        <m:ctrlPr>
                          <w:rPr>
                            <w:rFonts w:ascii="Cambria Math" w:eastAsia="Times New Roman" w:hAnsi="Cambria Math" w:cs="Times New Roman"/>
                            <w:i/>
                          </w:rPr>
                        </m:ctrlPr>
                      </m:accPr>
                      <m:e>
                        <m:r>
                          <w:rPr>
                            <w:rFonts w:ascii="Cambria Math" w:eastAsia="Times New Roman" w:hAnsi="Cambria Math" w:cs="Times New Roman"/>
                          </w:rPr>
                          <m:t>X</m:t>
                        </m:r>
                      </m:e>
                    </m:acc>
                  </m:e>
                  <m:sub>
                    <m:r>
                      <w:rPr>
                        <w:rFonts w:ascii="Cambria Math" w:eastAsia="Times New Roman" w:hAnsi="Cambria Math" w:cs="Times New Roman"/>
                      </w:rPr>
                      <m:t>i,t</m:t>
                    </m:r>
                  </m:sub>
                  <m:sup>
                    <m:r>
                      <w:rPr>
                        <w:rFonts w:ascii="Cambria Math" w:eastAsia="Times New Roman" w:hAnsi="Cambria Math" w:cs="Times New Roman"/>
                      </w:rPr>
                      <m:t>TA</m:t>
                    </m:r>
                  </m:sup>
                </m:sSub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μ</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λ</m:t>
                    </m:r>
                  </m:e>
                  <m:sub>
                    <m:r>
                      <w:rPr>
                        <w:rFonts w:ascii="Cambria Math" w:eastAsia="Times New Roman" w:hAnsi="Cambria Math" w:cs="Times New Roman"/>
                      </w:rPr>
                      <m:t>t</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ε</m:t>
                    </m:r>
                  </m:e>
                  <m:sub>
                    <m:r>
                      <w:rPr>
                        <w:rFonts w:ascii="Cambria Math" w:eastAsia="Times New Roman" w:hAnsi="Cambria Math" w:cs="Times New Roman"/>
                      </w:rPr>
                      <m:t>i,j,t</m:t>
                    </m:r>
                  </m:sub>
                </m:sSub>
              </m:oMath>
            </m:oMathPara>
          </w:p>
          <w:p w14:paraId="0C95F120" w14:textId="77777777" w:rsidR="0042346F" w:rsidRPr="00E07C45" w:rsidRDefault="0042346F" w:rsidP="00CD58D7">
            <w:pPr>
              <w:spacing w:line="276" w:lineRule="auto"/>
              <w:rPr>
                <w:rFonts w:ascii="Times New Roman" w:eastAsia="Times New Roman" w:hAnsi="Times New Roman" w:cs="Times New Roman"/>
                <w:color w:val="000000"/>
              </w:rPr>
            </w:pPr>
          </w:p>
        </w:tc>
        <w:tc>
          <w:tcPr>
            <w:tcW w:w="496" w:type="dxa"/>
            <w:vAlign w:val="center"/>
          </w:tcPr>
          <w:p w14:paraId="6F500727" w14:textId="083C1360" w:rsidR="0042346F" w:rsidRPr="00BC255D" w:rsidRDefault="0042346F" w:rsidP="00CD58D7">
            <w:pPr>
              <w:spacing w:line="276" w:lineRule="auto"/>
              <w:jc w:val="center"/>
              <w:rPr>
                <w:rFonts w:ascii="Times New Roman" w:hAnsi="Times New Roman" w:cs="Times New Roman"/>
                <w:sz w:val="24"/>
                <w:szCs w:val="24"/>
              </w:rPr>
            </w:pPr>
            <w:r w:rsidRPr="00BC255D">
              <w:rPr>
                <w:rFonts w:ascii="Times New Roman" w:hAnsi="Times New Roman" w:cs="Times New Roman"/>
                <w:sz w:val="24"/>
                <w:szCs w:val="24"/>
              </w:rPr>
              <w:t>(</w:t>
            </w:r>
            <w:r w:rsidR="000A4DE9">
              <w:rPr>
                <w:rFonts w:ascii="Times New Roman" w:hAnsi="Times New Roman" w:cs="Times New Roman"/>
                <w:sz w:val="24"/>
                <w:szCs w:val="24"/>
              </w:rPr>
              <w:t>7</w:t>
            </w:r>
            <w:r w:rsidRPr="00BC255D">
              <w:rPr>
                <w:rFonts w:ascii="Times New Roman" w:hAnsi="Times New Roman" w:cs="Times New Roman"/>
                <w:sz w:val="24"/>
                <w:szCs w:val="24"/>
              </w:rPr>
              <w:t>)</w:t>
            </w:r>
          </w:p>
        </w:tc>
      </w:tr>
    </w:tbl>
    <w:p w14:paraId="3B365939" w14:textId="794B015D" w:rsidR="00736722" w:rsidRDefault="00BA3226" w:rsidP="00CD58D7">
      <w:pPr>
        <w:pStyle w:val="NormalWeb"/>
        <w:spacing w:line="276" w:lineRule="auto"/>
        <w:rPr>
          <w:sz w:val="22"/>
          <w:szCs w:val="22"/>
        </w:rPr>
      </w:pPr>
      <w:r>
        <w:rPr>
          <w:color w:val="000000"/>
        </w:rPr>
        <w:t xml:space="preserve">where the period immediately preceding the agreement entry </w:t>
      </w:r>
      <m:oMath>
        <m:r>
          <w:rPr>
            <w:rFonts w:ascii="Cambria Math" w:hAnsi="Cambria Math"/>
            <w:color w:val="000000"/>
          </w:rPr>
          <m:t>(τ=-1)</m:t>
        </m:r>
      </m:oMath>
      <w:r>
        <w:rPr>
          <w:color w:val="000000"/>
        </w:rPr>
        <w:t xml:space="preserve"> serves as the reference category. The coefficients </w:t>
      </w:r>
      <m:oMath>
        <m:sSub>
          <m:sSubPr>
            <m:ctrlPr>
              <w:rPr>
                <w:rFonts w:ascii="Cambria Math" w:hAnsi="Cambria Math"/>
                <w:i/>
                <w:sz w:val="22"/>
                <w:szCs w:val="22"/>
              </w:rPr>
            </m:ctrlPr>
          </m:sSubPr>
          <m:e>
            <m:r>
              <w:rPr>
                <w:rFonts w:ascii="Cambria Math" w:hAnsi="Cambria Math"/>
              </w:rPr>
              <m:t>θ</m:t>
            </m:r>
          </m:e>
          <m:sub>
            <m:r>
              <w:rPr>
                <w:rFonts w:ascii="Cambria Math" w:hAnsi="Cambria Math"/>
              </w:rPr>
              <m:t>τ</m:t>
            </m:r>
          </m:sub>
        </m:sSub>
      </m:oMath>
      <w:r>
        <w:rPr>
          <w:sz w:val="22"/>
          <w:szCs w:val="22"/>
        </w:rPr>
        <w:t xml:space="preserve">  </w:t>
      </w:r>
      <w:r w:rsidR="0092043D">
        <w:rPr>
          <w:sz w:val="22"/>
          <w:szCs w:val="22"/>
        </w:rPr>
        <w:t>measure the difference in sectoral productivity between treated and untreated countries relative to the baseline period.</w:t>
      </w:r>
      <w:r w:rsidR="00736722">
        <w:rPr>
          <w:sz w:val="22"/>
          <w:szCs w:val="22"/>
        </w:rPr>
        <w:t xml:space="preserve"> In the panel event-study design, the coefficients on the lead terms (pre-treatment periods) allow for a direct test of the parallel </w:t>
      </w:r>
      <w:proofErr w:type="gramStart"/>
      <w:r w:rsidR="00736722">
        <w:rPr>
          <w:sz w:val="22"/>
          <w:szCs w:val="22"/>
        </w:rPr>
        <w:t>trends</w:t>
      </w:r>
      <w:proofErr w:type="gramEnd"/>
      <w:r w:rsidR="00736722">
        <w:rPr>
          <w:sz w:val="22"/>
          <w:szCs w:val="22"/>
        </w:rPr>
        <w:t xml:space="preserve"> assumption, which requires that treated and control countries exhibit similar sectoral productivity dynamics prior to treatment</w:t>
      </w:r>
      <w:r w:rsidR="00CE714D">
        <w:rPr>
          <w:sz w:val="22"/>
          <w:szCs w:val="22"/>
        </w:rPr>
        <w:t>. The lag coefficients capture the dynamic effects of deep trade agreements on sectoral productivity after implementation. These estimates reveal whether the effects of trade liberalization emerge immediately, increase gradually over time, or dissipate after the policy change. Such dynamic responses are relevant in the context of trade agreements because sectoral productivity effects may arise through gradual mechanisms such as technology diffusion, resource reallocation, and firm-level adjustments.</w:t>
      </w:r>
      <w:r w:rsidR="006F3F3C">
        <w:rPr>
          <w:sz w:val="22"/>
          <w:szCs w:val="22"/>
        </w:rPr>
        <w:t xml:space="preserve"> In this specification, we include the number of shallow trade agreements as part of the covariates to control for any effects that may arise from these agreements during or after the adoption of deep trade agreements.</w:t>
      </w:r>
    </w:p>
    <w:p w14:paraId="231A41CB" w14:textId="77777777" w:rsidR="00736722" w:rsidRDefault="00736722" w:rsidP="00CD58D7">
      <w:pPr>
        <w:pStyle w:val="NormalWeb"/>
        <w:spacing w:line="276" w:lineRule="auto"/>
        <w:rPr>
          <w:sz w:val="22"/>
          <w:szCs w:val="22"/>
        </w:rPr>
      </w:pPr>
    </w:p>
    <w:p w14:paraId="00224F6D" w14:textId="0EDF1A9D" w:rsidR="0042346F" w:rsidRPr="005468CF" w:rsidRDefault="0042346F" w:rsidP="00CD58D7">
      <w:pPr>
        <w:pStyle w:val="NormalWeb"/>
        <w:spacing w:line="276" w:lineRule="auto"/>
        <w:rPr>
          <w:color w:val="000000"/>
        </w:rPr>
      </w:pPr>
    </w:p>
    <w:p w14:paraId="17DEFB7E" w14:textId="77777777" w:rsidR="00E164A4" w:rsidRPr="002D6ADD" w:rsidRDefault="00E164A4" w:rsidP="00CD58D7">
      <w:pPr>
        <w:spacing w:line="276" w:lineRule="auto"/>
        <w:rPr>
          <w:rFonts w:ascii="Times New Roman" w:eastAsia="Times New Roman" w:hAnsi="Times New Roman" w:cs="Times New Roman"/>
          <w:color w:val="000000"/>
          <w:kern w:val="0"/>
          <w14:ligatures w14:val="none"/>
        </w:rPr>
      </w:pPr>
    </w:p>
    <w:p w14:paraId="4BB5D2E4" w14:textId="77777777" w:rsidR="00E164A4" w:rsidRPr="002D6ADD" w:rsidRDefault="00E164A4" w:rsidP="00CD58D7">
      <w:pPr>
        <w:spacing w:line="276" w:lineRule="auto"/>
        <w:rPr>
          <w:rFonts w:ascii="Times New Roman" w:eastAsia="Times New Roman" w:hAnsi="Times New Roman" w:cs="Times New Roman"/>
          <w:color w:val="000000"/>
          <w:kern w:val="0"/>
          <w14:ligatures w14:val="none"/>
        </w:rPr>
      </w:pPr>
    </w:p>
    <w:p w14:paraId="520EE2C0" w14:textId="77777777" w:rsidR="00E164A4" w:rsidRPr="002D6ADD" w:rsidRDefault="00E164A4" w:rsidP="00CD58D7">
      <w:pPr>
        <w:spacing w:line="276" w:lineRule="auto"/>
        <w:rPr>
          <w:rFonts w:ascii="Times New Roman" w:eastAsia="Times New Roman" w:hAnsi="Times New Roman" w:cs="Times New Roman"/>
          <w:color w:val="000000"/>
          <w:kern w:val="0"/>
          <w14:ligatures w14:val="none"/>
        </w:rPr>
      </w:pPr>
    </w:p>
    <w:p w14:paraId="0EEA3730" w14:textId="77777777" w:rsidR="001E62FB" w:rsidRPr="002D6ADD" w:rsidRDefault="001E62FB" w:rsidP="00CD58D7">
      <w:pPr>
        <w:spacing w:line="276" w:lineRule="auto"/>
        <w:rPr>
          <w:rFonts w:ascii="Times New Roman" w:eastAsia="Times New Roman" w:hAnsi="Times New Roman" w:cs="Times New Roman"/>
          <w:b/>
          <w:bCs/>
          <w:color w:val="000000"/>
          <w:kern w:val="0"/>
          <w14:ligatures w14:val="none"/>
        </w:rPr>
      </w:pPr>
    </w:p>
    <w:p w14:paraId="0DADF219" w14:textId="77777777" w:rsidR="001E62FB" w:rsidRPr="002D6ADD" w:rsidRDefault="001E62FB" w:rsidP="00CD58D7">
      <w:pPr>
        <w:spacing w:line="276" w:lineRule="auto"/>
        <w:rPr>
          <w:rFonts w:ascii="Times New Roman" w:hAnsi="Times New Roman" w:cs="Times New Roman"/>
        </w:rPr>
      </w:pPr>
    </w:p>
    <w:sectPr w:rsidR="001E62FB" w:rsidRPr="002D6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FB"/>
    <w:rsid w:val="00025E72"/>
    <w:rsid w:val="00051EB0"/>
    <w:rsid w:val="00094F9E"/>
    <w:rsid w:val="000A4DE9"/>
    <w:rsid w:val="000F6CCE"/>
    <w:rsid w:val="00131895"/>
    <w:rsid w:val="00132043"/>
    <w:rsid w:val="001406AB"/>
    <w:rsid w:val="001571FA"/>
    <w:rsid w:val="001577A4"/>
    <w:rsid w:val="001742A3"/>
    <w:rsid w:val="00174E71"/>
    <w:rsid w:val="001B5812"/>
    <w:rsid w:val="001C3932"/>
    <w:rsid w:val="001E62FB"/>
    <w:rsid w:val="002235DE"/>
    <w:rsid w:val="00277950"/>
    <w:rsid w:val="002B5B23"/>
    <w:rsid w:val="002D6ADD"/>
    <w:rsid w:val="002E6380"/>
    <w:rsid w:val="002F4E2C"/>
    <w:rsid w:val="0033031E"/>
    <w:rsid w:val="00332079"/>
    <w:rsid w:val="00335B54"/>
    <w:rsid w:val="00336685"/>
    <w:rsid w:val="00347BC0"/>
    <w:rsid w:val="00350C36"/>
    <w:rsid w:val="003775EE"/>
    <w:rsid w:val="00390C91"/>
    <w:rsid w:val="00393C10"/>
    <w:rsid w:val="003D2F65"/>
    <w:rsid w:val="003E19BC"/>
    <w:rsid w:val="0042346F"/>
    <w:rsid w:val="00433376"/>
    <w:rsid w:val="004363DD"/>
    <w:rsid w:val="00474F56"/>
    <w:rsid w:val="00492BC2"/>
    <w:rsid w:val="004A6FC9"/>
    <w:rsid w:val="004C1EB2"/>
    <w:rsid w:val="004D4CE1"/>
    <w:rsid w:val="005468CF"/>
    <w:rsid w:val="00556083"/>
    <w:rsid w:val="00574AAE"/>
    <w:rsid w:val="00587C24"/>
    <w:rsid w:val="005B1507"/>
    <w:rsid w:val="005B1B6C"/>
    <w:rsid w:val="00610D3A"/>
    <w:rsid w:val="00642BFB"/>
    <w:rsid w:val="00654490"/>
    <w:rsid w:val="006A0F11"/>
    <w:rsid w:val="006A2257"/>
    <w:rsid w:val="006D1DAD"/>
    <w:rsid w:val="006D1FCD"/>
    <w:rsid w:val="006D4AD8"/>
    <w:rsid w:val="006F0023"/>
    <w:rsid w:val="006F3F3C"/>
    <w:rsid w:val="00736722"/>
    <w:rsid w:val="007429BF"/>
    <w:rsid w:val="00760089"/>
    <w:rsid w:val="00764B13"/>
    <w:rsid w:val="007873F6"/>
    <w:rsid w:val="00814B9B"/>
    <w:rsid w:val="00823ACA"/>
    <w:rsid w:val="0084738E"/>
    <w:rsid w:val="00877E96"/>
    <w:rsid w:val="008C18D4"/>
    <w:rsid w:val="008D7A39"/>
    <w:rsid w:val="0092043D"/>
    <w:rsid w:val="00941ABD"/>
    <w:rsid w:val="00955B47"/>
    <w:rsid w:val="00964622"/>
    <w:rsid w:val="009C61D4"/>
    <w:rsid w:val="009D6B93"/>
    <w:rsid w:val="00A13079"/>
    <w:rsid w:val="00A53399"/>
    <w:rsid w:val="00A5397E"/>
    <w:rsid w:val="00A977CF"/>
    <w:rsid w:val="00B221DB"/>
    <w:rsid w:val="00B22D04"/>
    <w:rsid w:val="00B25052"/>
    <w:rsid w:val="00B34907"/>
    <w:rsid w:val="00B7420B"/>
    <w:rsid w:val="00BA3226"/>
    <w:rsid w:val="00BA52C5"/>
    <w:rsid w:val="00C00010"/>
    <w:rsid w:val="00C10C1C"/>
    <w:rsid w:val="00C244BD"/>
    <w:rsid w:val="00C70F0D"/>
    <w:rsid w:val="00CA6E70"/>
    <w:rsid w:val="00CD58D7"/>
    <w:rsid w:val="00CD5C1F"/>
    <w:rsid w:val="00CE3C65"/>
    <w:rsid w:val="00CE714D"/>
    <w:rsid w:val="00D719DA"/>
    <w:rsid w:val="00D9726E"/>
    <w:rsid w:val="00DB3B59"/>
    <w:rsid w:val="00E07C45"/>
    <w:rsid w:val="00E164A4"/>
    <w:rsid w:val="00E2222C"/>
    <w:rsid w:val="00E47758"/>
    <w:rsid w:val="00E62A8C"/>
    <w:rsid w:val="00E674E2"/>
    <w:rsid w:val="00E82165"/>
    <w:rsid w:val="00E83250"/>
    <w:rsid w:val="00EA0127"/>
    <w:rsid w:val="00EA272F"/>
    <w:rsid w:val="00ED40FD"/>
    <w:rsid w:val="00F33B03"/>
    <w:rsid w:val="00FF5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7992"/>
  <w15:chartTrackingRefBased/>
  <w15:docId w15:val="{976BBD0A-FA9C-7943-AEC0-B84EBE8B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2FB"/>
    <w:rPr>
      <w:rFonts w:eastAsiaTheme="majorEastAsia" w:cstheme="majorBidi"/>
      <w:color w:val="272727" w:themeColor="text1" w:themeTint="D8"/>
    </w:rPr>
  </w:style>
  <w:style w:type="paragraph" w:styleId="Title">
    <w:name w:val="Title"/>
    <w:basedOn w:val="Normal"/>
    <w:next w:val="Normal"/>
    <w:link w:val="TitleChar"/>
    <w:uiPriority w:val="10"/>
    <w:qFormat/>
    <w:rsid w:val="001E6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2FB"/>
    <w:pPr>
      <w:spacing w:before="160"/>
      <w:jc w:val="center"/>
    </w:pPr>
    <w:rPr>
      <w:i/>
      <w:iCs/>
      <w:color w:val="404040" w:themeColor="text1" w:themeTint="BF"/>
    </w:rPr>
  </w:style>
  <w:style w:type="character" w:customStyle="1" w:styleId="QuoteChar">
    <w:name w:val="Quote Char"/>
    <w:basedOn w:val="DefaultParagraphFont"/>
    <w:link w:val="Quote"/>
    <w:uiPriority w:val="29"/>
    <w:rsid w:val="001E62FB"/>
    <w:rPr>
      <w:i/>
      <w:iCs/>
      <w:color w:val="404040" w:themeColor="text1" w:themeTint="BF"/>
    </w:rPr>
  </w:style>
  <w:style w:type="paragraph" w:styleId="ListParagraph">
    <w:name w:val="List Paragraph"/>
    <w:basedOn w:val="Normal"/>
    <w:uiPriority w:val="34"/>
    <w:qFormat/>
    <w:rsid w:val="001E62FB"/>
    <w:pPr>
      <w:ind w:left="720"/>
      <w:contextualSpacing/>
    </w:pPr>
  </w:style>
  <w:style w:type="character" w:styleId="IntenseEmphasis">
    <w:name w:val="Intense Emphasis"/>
    <w:basedOn w:val="DefaultParagraphFont"/>
    <w:uiPriority w:val="21"/>
    <w:qFormat/>
    <w:rsid w:val="001E62FB"/>
    <w:rPr>
      <w:i/>
      <w:iCs/>
      <w:color w:val="0F4761" w:themeColor="accent1" w:themeShade="BF"/>
    </w:rPr>
  </w:style>
  <w:style w:type="paragraph" w:styleId="IntenseQuote">
    <w:name w:val="Intense Quote"/>
    <w:basedOn w:val="Normal"/>
    <w:next w:val="Normal"/>
    <w:link w:val="IntenseQuoteChar"/>
    <w:uiPriority w:val="30"/>
    <w:qFormat/>
    <w:rsid w:val="001E6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2FB"/>
    <w:rPr>
      <w:i/>
      <w:iCs/>
      <w:color w:val="0F4761" w:themeColor="accent1" w:themeShade="BF"/>
    </w:rPr>
  </w:style>
  <w:style w:type="character" w:styleId="IntenseReference">
    <w:name w:val="Intense Reference"/>
    <w:basedOn w:val="DefaultParagraphFont"/>
    <w:uiPriority w:val="32"/>
    <w:qFormat/>
    <w:rsid w:val="001E62FB"/>
    <w:rPr>
      <w:b/>
      <w:bCs/>
      <w:smallCaps/>
      <w:color w:val="0F4761" w:themeColor="accent1" w:themeShade="BF"/>
      <w:spacing w:val="5"/>
    </w:rPr>
  </w:style>
  <w:style w:type="paragraph" w:styleId="NormalWeb">
    <w:name w:val="Normal (Web)"/>
    <w:basedOn w:val="Normal"/>
    <w:uiPriority w:val="99"/>
    <w:unhideWhenUsed/>
    <w:rsid w:val="00E164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164A4"/>
  </w:style>
  <w:style w:type="character" w:styleId="Emphasis">
    <w:name w:val="Emphasis"/>
    <w:basedOn w:val="DefaultParagraphFont"/>
    <w:uiPriority w:val="20"/>
    <w:qFormat/>
    <w:rsid w:val="00E164A4"/>
    <w:rPr>
      <w:i/>
      <w:iCs/>
    </w:rPr>
  </w:style>
  <w:style w:type="character" w:customStyle="1" w:styleId="whitespace-normal">
    <w:name w:val="whitespace-normal"/>
    <w:basedOn w:val="DefaultParagraphFont"/>
    <w:rsid w:val="00E164A4"/>
  </w:style>
  <w:style w:type="character" w:styleId="Strong">
    <w:name w:val="Strong"/>
    <w:basedOn w:val="DefaultParagraphFont"/>
    <w:uiPriority w:val="22"/>
    <w:qFormat/>
    <w:rsid w:val="00E164A4"/>
    <w:rPr>
      <w:b/>
      <w:bCs/>
    </w:rPr>
  </w:style>
  <w:style w:type="character" w:styleId="PlaceholderText">
    <w:name w:val="Placeholder Text"/>
    <w:basedOn w:val="DefaultParagraphFont"/>
    <w:uiPriority w:val="99"/>
    <w:semiHidden/>
    <w:rsid w:val="00A5397E"/>
    <w:rPr>
      <w:color w:val="666666"/>
    </w:rPr>
  </w:style>
  <w:style w:type="table" w:styleId="TableGrid">
    <w:name w:val="Table Grid"/>
    <w:basedOn w:val="TableNormal"/>
    <w:uiPriority w:val="59"/>
    <w:rsid w:val="00A5397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1635862">
      <w:bodyDiv w:val="1"/>
      <w:marLeft w:val="0"/>
      <w:marRight w:val="0"/>
      <w:marTop w:val="0"/>
      <w:marBottom w:val="0"/>
      <w:divBdr>
        <w:top w:val="none" w:sz="0" w:space="0" w:color="auto"/>
        <w:left w:val="none" w:sz="0" w:space="0" w:color="auto"/>
        <w:bottom w:val="none" w:sz="0" w:space="0" w:color="auto"/>
        <w:right w:val="none" w:sz="0" w:space="0" w:color="auto"/>
      </w:divBdr>
    </w:div>
    <w:div w:id="236014191">
      <w:bodyDiv w:val="1"/>
      <w:marLeft w:val="0"/>
      <w:marRight w:val="0"/>
      <w:marTop w:val="0"/>
      <w:marBottom w:val="0"/>
      <w:divBdr>
        <w:top w:val="none" w:sz="0" w:space="0" w:color="auto"/>
        <w:left w:val="none" w:sz="0" w:space="0" w:color="auto"/>
        <w:bottom w:val="none" w:sz="0" w:space="0" w:color="auto"/>
        <w:right w:val="none" w:sz="0" w:space="0" w:color="auto"/>
      </w:divBdr>
    </w:div>
    <w:div w:id="565803700">
      <w:bodyDiv w:val="1"/>
      <w:marLeft w:val="0"/>
      <w:marRight w:val="0"/>
      <w:marTop w:val="0"/>
      <w:marBottom w:val="0"/>
      <w:divBdr>
        <w:top w:val="none" w:sz="0" w:space="0" w:color="auto"/>
        <w:left w:val="none" w:sz="0" w:space="0" w:color="auto"/>
        <w:bottom w:val="none" w:sz="0" w:space="0" w:color="auto"/>
        <w:right w:val="none" w:sz="0" w:space="0" w:color="auto"/>
      </w:divBdr>
    </w:div>
    <w:div w:id="629746745">
      <w:bodyDiv w:val="1"/>
      <w:marLeft w:val="0"/>
      <w:marRight w:val="0"/>
      <w:marTop w:val="0"/>
      <w:marBottom w:val="0"/>
      <w:divBdr>
        <w:top w:val="none" w:sz="0" w:space="0" w:color="auto"/>
        <w:left w:val="none" w:sz="0" w:space="0" w:color="auto"/>
        <w:bottom w:val="none" w:sz="0" w:space="0" w:color="auto"/>
        <w:right w:val="none" w:sz="0" w:space="0" w:color="auto"/>
      </w:divBdr>
    </w:div>
    <w:div w:id="682827784">
      <w:bodyDiv w:val="1"/>
      <w:marLeft w:val="0"/>
      <w:marRight w:val="0"/>
      <w:marTop w:val="0"/>
      <w:marBottom w:val="0"/>
      <w:divBdr>
        <w:top w:val="none" w:sz="0" w:space="0" w:color="auto"/>
        <w:left w:val="none" w:sz="0" w:space="0" w:color="auto"/>
        <w:bottom w:val="none" w:sz="0" w:space="0" w:color="auto"/>
        <w:right w:val="none" w:sz="0" w:space="0" w:color="auto"/>
      </w:divBdr>
    </w:div>
    <w:div w:id="746072741">
      <w:bodyDiv w:val="1"/>
      <w:marLeft w:val="0"/>
      <w:marRight w:val="0"/>
      <w:marTop w:val="0"/>
      <w:marBottom w:val="0"/>
      <w:divBdr>
        <w:top w:val="none" w:sz="0" w:space="0" w:color="auto"/>
        <w:left w:val="none" w:sz="0" w:space="0" w:color="auto"/>
        <w:bottom w:val="none" w:sz="0" w:space="0" w:color="auto"/>
        <w:right w:val="none" w:sz="0" w:space="0" w:color="auto"/>
      </w:divBdr>
    </w:div>
    <w:div w:id="827287631">
      <w:bodyDiv w:val="1"/>
      <w:marLeft w:val="0"/>
      <w:marRight w:val="0"/>
      <w:marTop w:val="0"/>
      <w:marBottom w:val="0"/>
      <w:divBdr>
        <w:top w:val="none" w:sz="0" w:space="0" w:color="auto"/>
        <w:left w:val="none" w:sz="0" w:space="0" w:color="auto"/>
        <w:bottom w:val="none" w:sz="0" w:space="0" w:color="auto"/>
        <w:right w:val="none" w:sz="0" w:space="0" w:color="auto"/>
      </w:divBdr>
    </w:div>
    <w:div w:id="1205943000">
      <w:bodyDiv w:val="1"/>
      <w:marLeft w:val="0"/>
      <w:marRight w:val="0"/>
      <w:marTop w:val="0"/>
      <w:marBottom w:val="0"/>
      <w:divBdr>
        <w:top w:val="none" w:sz="0" w:space="0" w:color="auto"/>
        <w:left w:val="none" w:sz="0" w:space="0" w:color="auto"/>
        <w:bottom w:val="none" w:sz="0" w:space="0" w:color="auto"/>
        <w:right w:val="none" w:sz="0" w:space="0" w:color="auto"/>
      </w:divBdr>
    </w:div>
    <w:div w:id="1240287145">
      <w:bodyDiv w:val="1"/>
      <w:marLeft w:val="0"/>
      <w:marRight w:val="0"/>
      <w:marTop w:val="0"/>
      <w:marBottom w:val="0"/>
      <w:divBdr>
        <w:top w:val="none" w:sz="0" w:space="0" w:color="auto"/>
        <w:left w:val="none" w:sz="0" w:space="0" w:color="auto"/>
        <w:bottom w:val="none" w:sz="0" w:space="0" w:color="auto"/>
        <w:right w:val="none" w:sz="0" w:space="0" w:color="auto"/>
      </w:divBdr>
    </w:div>
    <w:div w:id="1517186160">
      <w:bodyDiv w:val="1"/>
      <w:marLeft w:val="0"/>
      <w:marRight w:val="0"/>
      <w:marTop w:val="0"/>
      <w:marBottom w:val="0"/>
      <w:divBdr>
        <w:top w:val="none" w:sz="0" w:space="0" w:color="auto"/>
        <w:left w:val="none" w:sz="0" w:space="0" w:color="auto"/>
        <w:bottom w:val="none" w:sz="0" w:space="0" w:color="auto"/>
        <w:right w:val="none" w:sz="0" w:space="0" w:color="auto"/>
      </w:divBdr>
    </w:div>
    <w:div w:id="1524855639">
      <w:bodyDiv w:val="1"/>
      <w:marLeft w:val="0"/>
      <w:marRight w:val="0"/>
      <w:marTop w:val="0"/>
      <w:marBottom w:val="0"/>
      <w:divBdr>
        <w:top w:val="none" w:sz="0" w:space="0" w:color="auto"/>
        <w:left w:val="none" w:sz="0" w:space="0" w:color="auto"/>
        <w:bottom w:val="none" w:sz="0" w:space="0" w:color="auto"/>
        <w:right w:val="none" w:sz="0" w:space="0" w:color="auto"/>
      </w:divBdr>
    </w:div>
    <w:div w:id="173647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1063</TotalTime>
  <Pages>8</Pages>
  <Words>6271</Words>
  <Characters>35746</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Allor</dc:creator>
  <cp:keywords/>
  <dc:description/>
  <cp:lastModifiedBy>Precious Allor</cp:lastModifiedBy>
  <cp:revision>15</cp:revision>
  <dcterms:created xsi:type="dcterms:W3CDTF">2026-02-16T22:22:00Z</dcterms:created>
  <dcterms:modified xsi:type="dcterms:W3CDTF">2026-07-18T06:31:00Z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zotero-version="8.0.2-beta.5+c35d7f21e"&gt;&lt;session id="0tprfGf0"/&gt;&lt;style id="http://www.zotero.org/styles/apa"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