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B5669" w14:textId="77777777" w:rsidR="00824237" w:rsidRPr="004260C8" w:rsidRDefault="00824237" w:rsidP="00824237">
      <w:pPr>
        <w:spacing w:line="480" w:lineRule="auto"/>
      </w:pPr>
    </w:p>
    <w:p w14:paraId="00DEAC20" w14:textId="77777777" w:rsidR="00824237" w:rsidRPr="004260C8" w:rsidRDefault="00824237" w:rsidP="00824237">
      <w:pPr>
        <w:pStyle w:val="ListParagraph"/>
        <w:numPr>
          <w:ilvl w:val="0"/>
          <w:numId w:val="1"/>
        </w:numPr>
        <w:spacing w:line="480" w:lineRule="auto"/>
        <w:rPr>
          <w:b/>
          <w:bCs/>
        </w:rPr>
      </w:pPr>
      <w:r w:rsidRPr="004260C8">
        <w:rPr>
          <w:b/>
          <w:bCs/>
        </w:rPr>
        <w:t>METHODOLOGY</w:t>
      </w:r>
    </w:p>
    <w:p w14:paraId="797E0104" w14:textId="307603E0" w:rsidR="00824237" w:rsidRPr="004260C8" w:rsidRDefault="00824237" w:rsidP="00824237">
      <w:pPr>
        <w:spacing w:line="480" w:lineRule="auto"/>
      </w:pPr>
      <w:r>
        <w:tab/>
      </w:r>
      <w:r w:rsidRPr="00824237">
        <w:t xml:space="preserve">A concern in modeling the correlation between political participation and remittances is that individuals who receive remittances are not randomly selected. In that regard, the political effect of remittance could in part be driven by unobserved cofounders that could be systematically associated with selection into the </w:t>
      </w:r>
      <w:r w:rsidRPr="00824237">
        <w:rPr>
          <w:rStyle w:val="normaltextrun"/>
          <w:color w:val="000000" w:themeColor="text1"/>
        </w:rPr>
        <w:t>remittance-receiving category and with subsequent political engagement (</w:t>
      </w:r>
      <w:proofErr w:type="spellStart"/>
      <w:r w:rsidRPr="00824237">
        <w:fldChar w:fldCharType="begin"/>
      </w:r>
      <w:r w:rsidRPr="00824237">
        <w:instrText xml:space="preserve"> ADDIN ZOTERO_ITEM CSL_CITATION {"citationID":"dioOuABC","properties":{"formattedCitation":"(Ebeke &amp; Yogo, 2013)","plainCitation":"(Ebeke &amp; Yogo, 2013)","dontUpdate":true,"noteIndex":0},"citationItems":[{"id":961,"uris":["http://zotero.org/users/5790551/items/2ZVTID7Y"],"uri":["http://zotero.org/users/5790551/items/2ZVTID7Y"],"itemData":{"id":961,"type":"article-journal","container-title":"African Development Bank Group Working Paper","journalAbbreviation":"African Development Bank Group Working Paper","page":"1-43","title":"Remittances and the voter turnout in sub-Saharan Africa: Evidence from macro and micro level data","volume":"185","author":[{"family":"Ebeke","given":"Christian"},{"family":"Yogo","given":"Thierry"}],"issued":{"date-parts":[["2013"]]}}}],"schema":"https://github.com/citation-style-language/schema/raw/master/csl-citation.json"} </w:instrText>
      </w:r>
      <w:r w:rsidRPr="00824237">
        <w:fldChar w:fldCharType="separate"/>
      </w:r>
      <w:r w:rsidRPr="00824237">
        <w:t>Ebeke</w:t>
      </w:r>
      <w:proofErr w:type="spellEnd"/>
      <w:r w:rsidRPr="00824237">
        <w:t xml:space="preserve"> &amp; </w:t>
      </w:r>
      <w:proofErr w:type="spellStart"/>
      <w:r w:rsidRPr="00824237">
        <w:t>Yogo</w:t>
      </w:r>
      <w:proofErr w:type="spellEnd"/>
      <w:r w:rsidRPr="00824237">
        <w:t xml:space="preserve"> 2013)</w:t>
      </w:r>
      <w:r w:rsidRPr="00824237">
        <w:fldChar w:fldCharType="end"/>
      </w:r>
      <w:r w:rsidRPr="00824237">
        <w:t>. When endogeneity problems exist, Ordinary Least Squares (OLS) regression normally produces biased and inconsistent estimates (</w:t>
      </w:r>
      <w:proofErr w:type="spellStart"/>
      <w:r w:rsidRPr="00824237">
        <w:t>Tsiboe</w:t>
      </w:r>
      <w:proofErr w:type="spellEnd"/>
      <w:r w:rsidRPr="00824237">
        <w:t xml:space="preserve"> et al 2021; </w:t>
      </w:r>
      <w:proofErr w:type="spellStart"/>
      <w:r w:rsidRPr="00824237">
        <w:t>Ebeke</w:t>
      </w:r>
      <w:proofErr w:type="spellEnd"/>
      <w:r w:rsidRPr="00824237">
        <w:t xml:space="preserve"> &amp; </w:t>
      </w:r>
      <w:proofErr w:type="spellStart"/>
      <w:r w:rsidRPr="00824237">
        <w:t>Yogo</w:t>
      </w:r>
      <w:proofErr w:type="spellEnd"/>
      <w:r w:rsidRPr="00824237">
        <w:t xml:space="preserve"> 2013</w:t>
      </w:r>
      <w:r w:rsidRPr="004260C8">
        <w:t xml:space="preserve">). Matching has become a popular and effective statistical technique for reducing selection bias in the social sciences research </w:t>
      </w:r>
      <w:r w:rsidRPr="004260C8">
        <w:rPr>
          <w:highlight w:val="green"/>
        </w:rPr>
        <w:t xml:space="preserve">(Abadie &amp; </w:t>
      </w:r>
      <w:proofErr w:type="spellStart"/>
      <w:r w:rsidRPr="004260C8">
        <w:rPr>
          <w:highlight w:val="green"/>
        </w:rPr>
        <w:t>Imbens</w:t>
      </w:r>
      <w:proofErr w:type="spellEnd"/>
      <w:r w:rsidRPr="004260C8">
        <w:rPr>
          <w:highlight w:val="green"/>
        </w:rPr>
        <w:t xml:space="preserve">, 2006; </w:t>
      </w:r>
      <w:proofErr w:type="spellStart"/>
      <w:r w:rsidRPr="004260C8">
        <w:rPr>
          <w:highlight w:val="green"/>
        </w:rPr>
        <w:t>Dehejia</w:t>
      </w:r>
      <w:proofErr w:type="spellEnd"/>
      <w:r w:rsidRPr="004260C8">
        <w:rPr>
          <w:highlight w:val="green"/>
        </w:rPr>
        <w:t xml:space="preserve"> &amp; Wahba, 1999; </w:t>
      </w:r>
      <w:proofErr w:type="spellStart"/>
      <w:r w:rsidRPr="004260C8">
        <w:rPr>
          <w:highlight w:val="green"/>
        </w:rPr>
        <w:t>Sekhon</w:t>
      </w:r>
      <w:proofErr w:type="spellEnd"/>
      <w:r w:rsidRPr="004260C8">
        <w:rPr>
          <w:highlight w:val="green"/>
        </w:rPr>
        <w:t xml:space="preserve">, 2004; Imai, 2005; </w:t>
      </w:r>
      <w:proofErr w:type="spellStart"/>
      <w:r w:rsidRPr="004260C8">
        <w:rPr>
          <w:color w:val="222222"/>
          <w:highlight w:val="green"/>
          <w:shd w:val="clear" w:color="auto" w:fill="FFFFFF"/>
        </w:rPr>
        <w:t>Tsiboe</w:t>
      </w:r>
      <w:proofErr w:type="spellEnd"/>
      <w:r w:rsidRPr="004260C8">
        <w:rPr>
          <w:color w:val="222222"/>
          <w:highlight w:val="green"/>
          <w:shd w:val="clear" w:color="auto" w:fill="FFFFFF"/>
        </w:rPr>
        <w:t xml:space="preserve">, </w:t>
      </w:r>
      <w:proofErr w:type="spellStart"/>
      <w:r w:rsidRPr="004260C8">
        <w:rPr>
          <w:color w:val="222222"/>
          <w:highlight w:val="green"/>
          <w:shd w:val="clear" w:color="auto" w:fill="FFFFFF"/>
        </w:rPr>
        <w:t>Egyir</w:t>
      </w:r>
      <w:proofErr w:type="spellEnd"/>
      <w:r w:rsidRPr="004260C8">
        <w:rPr>
          <w:color w:val="222222"/>
          <w:highlight w:val="green"/>
          <w:shd w:val="clear" w:color="auto" w:fill="FFFFFF"/>
        </w:rPr>
        <w:t xml:space="preserve"> &amp; Anaman, 2021)</w:t>
      </w:r>
      <w:r w:rsidRPr="004260C8">
        <w:rPr>
          <w:color w:val="222222"/>
          <w:shd w:val="clear" w:color="auto" w:fill="FFFFFF"/>
        </w:rPr>
        <w:t xml:space="preserve">. </w:t>
      </w:r>
      <w:r>
        <w:rPr>
          <w:color w:val="222222"/>
          <w:shd w:val="clear" w:color="auto" w:fill="FFFFFF"/>
        </w:rPr>
        <w:tab/>
      </w:r>
      <w:r w:rsidRPr="004260C8">
        <w:rPr>
          <w:color w:val="222222"/>
          <w:shd w:val="clear" w:color="auto" w:fill="FFFFFF"/>
        </w:rPr>
        <w:t>These techniques are useful in observational studies where treatment is non-random. In a nonrandomized study</w:t>
      </w:r>
      <w:r w:rsidRPr="004260C8">
        <w:rPr>
          <w:rStyle w:val="normaltextrun"/>
          <w:color w:val="000000" w:themeColor="text1"/>
        </w:rPr>
        <w:t xml:space="preserve">, it can be hard to compare treatment and control groups as they may both differ significantly based on observables. Matching provides a way to compare the outcomes of the treatment with those of matched non-treatment units based on similarities in covariates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{"citationID":"aXnuny86","properties":{"formattedCitation":"(Rosenbaum, 2005)","plainCitation":"(Rosenbaum, 2005)","noteIndex":0},"citationItems":[{"id":1043,"uris":["http://zotero.org/users/6173611/items/JB4UVHWJ"],"uri":["http://zotero.org/users/6173611/items/JB4UVHWJ"],"itemData":{"id":1043,"type":"article-journal","container-title":"Encyclopedia of statistics in behavioral science","note":"publisher: Citeseer","source":"Google Scholar","title":"Observational study","author":[{"family":"Rosenbaum","given":"Paul R."}],"issued":{"date-parts":[["2005"]]}}}],"schema":"https://github.com/citation-style-language/schema/raw/master/csl-citation.json"} </w:instrText>
      </w:r>
      <w:r w:rsidRPr="004260C8">
        <w:rPr>
          <w:rStyle w:val="normaltextrun"/>
          <w:color w:val="000000" w:themeColor="text1"/>
        </w:rPr>
        <w:fldChar w:fldCharType="separate"/>
      </w:r>
      <w:r w:rsidRPr="004260C8">
        <w:t>(Rosenbaum, 2005)</w:t>
      </w:r>
      <w:r w:rsidRPr="004260C8">
        <w:rPr>
          <w:rStyle w:val="normaltextrun"/>
          <w:color w:val="000000" w:themeColor="text1"/>
        </w:rPr>
        <w:fldChar w:fldCharType="end"/>
      </w:r>
      <w:r w:rsidRPr="004260C8">
        <w:rPr>
          <w:rStyle w:val="normaltextrun"/>
          <w:color w:val="000000" w:themeColor="text1"/>
        </w:rPr>
        <w:t>. This provides a treatment and matched non-treatment group that is sufficiently similar such that any confounder effects are eliminated. By achieving balance on the covariates, matching will prove useful in purging the inconsistency and biasness caused by the potential endogeneity problem by separating the effect of remittances from other factors shaping respondents’ electoral and non-electoral behaviors. An advantage of matching is that they do not require the investigator to make a heroic functional form for the outcome, as such, model dependence is greatly reduced (</w:t>
      </w:r>
      <w:r w:rsidRPr="004260C8">
        <w:t xml:space="preserve">King &amp; Nielsen 2019; </w:t>
      </w:r>
      <w:proofErr w:type="spellStart"/>
      <w:r w:rsidRPr="004260C8">
        <w:t>Tsiboe</w:t>
      </w:r>
      <w:proofErr w:type="spellEnd"/>
      <w:r w:rsidRPr="004260C8">
        <w:t xml:space="preserve"> et al. 2021). </w:t>
      </w:r>
    </w:p>
    <w:p w14:paraId="71F9FBE6" w14:textId="77777777" w:rsidR="00824237" w:rsidRPr="004260C8" w:rsidRDefault="00824237" w:rsidP="00824237">
      <w:pPr>
        <w:spacing w:line="480" w:lineRule="auto"/>
        <w:rPr>
          <w:rStyle w:val="normaltextrun"/>
          <w:color w:val="000000" w:themeColor="text1"/>
        </w:rPr>
      </w:pPr>
      <w:r w:rsidRPr="004260C8">
        <w:lastRenderedPageBreak/>
        <w:tab/>
      </w:r>
      <w:r w:rsidRPr="004260C8">
        <w:rPr>
          <w:rStyle w:val="normaltextrun"/>
          <w:color w:val="000000" w:themeColor="text1"/>
        </w:rPr>
        <w:t xml:space="preserve">Different matching techniques have been proposed in the causal inference literature. The more common one is the propensity score procedure proposed by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{"citationID":"8TihOnar","properties":{"formattedCitation":"(Rosenbaum &amp; Rubin, 1983)","plainCitation":"(Rosenbaum &amp; Rubin, 1983)","dontUpdate":true,"noteIndex":0},"citationItems":[{"id":1050,"uris":["http://zotero.org/users/6173611/items/VISMGZ2U"],"uri":["http://zotero.org/users/6173611/items/VISMGZ2U"],"itemData":{"id":1050,"type":"article-journal","container-title":"Biometrika","issue":"1","note":"publisher: Oxford University Press","page":"41–55","source":"Google Scholar","title":"The central role of the propensity score in observational studies for causal effects","volume":"70","author":[{"family":"Rosenbaum","given":"Paul R."},{"family":"Rubin","given":"Donald B."}],"issued":{"date-parts":[["1983"]]}}}],"schema":"https://github.com/citation-style-language/schema/raw/master/csl-citation.json"} </w:instrText>
      </w:r>
      <w:r w:rsidRPr="004260C8">
        <w:rPr>
          <w:rStyle w:val="normaltextrun"/>
          <w:color w:val="000000" w:themeColor="text1"/>
        </w:rPr>
        <w:fldChar w:fldCharType="separate"/>
      </w:r>
      <w:r w:rsidRPr="004260C8">
        <w:t>Rosenbaum &amp; Rubin (1983)</w:t>
      </w:r>
      <w:r w:rsidRPr="004260C8">
        <w:rPr>
          <w:rStyle w:val="normaltextrun"/>
          <w:color w:val="000000" w:themeColor="text1"/>
        </w:rPr>
        <w:fldChar w:fldCharType="end"/>
      </w:r>
      <w:r w:rsidRPr="004260C8">
        <w:rPr>
          <w:rStyle w:val="normaltextrun"/>
          <w:color w:val="000000" w:themeColor="text1"/>
        </w:rPr>
        <w:t xml:space="preserve">. They argue that correctly specified propensity score models will asymptotically remove the bias due to confounders. The procedure involves matching treatment units to control observations using the propensity score difference as a distance measure. A  few papers in the remittances literature such as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{"citationID":"MEpu1PlB","properties":{"formattedCitation":"(Esquivel &amp; Pineda, 2007)","plainCitation":"(Esquivel &amp; Pineda, 2007)","dontUpdate":true,"noteIndex":0},"citationItems":[{"id":1072,"uris":["http://zotero.org/users/6173611/items/MSA7E4L6"],"uri":["http://zotero.org/users/6173611/items/MSA7E4L6"],"itemData":{"id":1072,"type":"article-journal","abstract":"Autorías: Gerardo Esquivel, Alejandra Huerta Pineda.\nLocalización: Integración &amp; comercio. Nº. 27, 2007.\nArtículo de Revista en Dialnet.","container-title":"Integración &amp; comercio","ISSN":"1026-0463","issue":"27","language":"es","note":"publisher: Instituto para la Integración de América Latina y el Caribe (INTAL)\nsection: Integración &amp; comercio","page":"47-74","source":"dialnet-unirioja-es.translate.goog","title":"Las remesas y la pobreza en México: un enfoque de pareo de puntuación de la propensión","title-short":"Las remesas y la pobreza en México","URL":"http://dialnet.unirioja.es/servlet/articulo?codigo=2538966&amp;_x_tr_sl=es&amp;_x_tr_tl=en&amp;_x_tr_hl=en&amp;_x_tr_pto=nui,sc","author":[{"family":"Esquivel","given":"Gerardo"},{"family":"Pineda","given":"Alejandra Huerta"}],"accessed":{"date-parts":[["2021",10,3]]},"issued":{"date-parts":[["2007"]]}}}],"schema":"https://github.com/citation-style-language/schema/raw/master/csl-citation.json"} </w:instrText>
      </w:r>
      <w:r w:rsidRPr="004260C8">
        <w:rPr>
          <w:rStyle w:val="normaltextrun"/>
          <w:color w:val="000000" w:themeColor="text1"/>
        </w:rPr>
        <w:fldChar w:fldCharType="separate"/>
      </w:r>
      <w:r w:rsidRPr="004260C8">
        <w:t>Esquivel &amp; Pineda (2007)</w:t>
      </w:r>
      <w:r w:rsidRPr="004260C8">
        <w:rPr>
          <w:rStyle w:val="normaltextrun"/>
          <w:color w:val="000000" w:themeColor="text1"/>
        </w:rPr>
        <w:fldChar w:fldCharType="end"/>
      </w:r>
      <w:r w:rsidRPr="004260C8">
        <w:rPr>
          <w:rStyle w:val="normaltextrun"/>
          <w:color w:val="000000" w:themeColor="text1"/>
        </w:rPr>
        <w:t xml:space="preserve">,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{"citationID":"nGtRRN3B","properties":{"formattedCitation":"(Cox-Edwards &amp; Rodr\\uc0\\u237{}guez-Oreggia, 2009)","plainCitation":"(Cox-Edwards &amp; Rodríguez-Oreggia, 2009)","dontUpdate":true,"noteIndex":0},"citationItems":[{"id":1070,"uris":["http://zotero.org/users/6173611/items/5KBTLU6Y"],"uri":["http://zotero.org/users/6173611/items/5KBTLU6Y"],"itemData":{"id":1070,"type":"article-journal","container-title":"World Development","issue":"5","note":"publisher: Elsevier","page":"1004–1014","source":"Google Scholar","title":"Remittances and labor force participation in Mexico: an analysis using propensity score matching","title-short":"Remittances and labor force participation in Mexico","volume":"37","author":[{"family":"Cox-Edwards","given":"Alejandra"},{"family":"Rodríguez-Oreggia","given":"Eduardo"}],"issued":{"date-parts":[["2009"]]}}}],"schema":"https://github.com/citation-style-language/schema/raw/master/csl-citation.json"} </w:instrText>
      </w:r>
      <w:r w:rsidRPr="004260C8">
        <w:rPr>
          <w:rStyle w:val="normaltextrun"/>
          <w:color w:val="000000" w:themeColor="text1"/>
        </w:rPr>
        <w:fldChar w:fldCharType="separate"/>
      </w:r>
      <w:r w:rsidRPr="004260C8">
        <w:t>Cox-Edwards &amp; Rodríguez-</w:t>
      </w:r>
      <w:proofErr w:type="spellStart"/>
      <w:r w:rsidRPr="004260C8">
        <w:t>Oreggia</w:t>
      </w:r>
      <w:proofErr w:type="spellEnd"/>
      <w:r w:rsidRPr="004260C8">
        <w:t xml:space="preserve"> (2009)</w:t>
      </w:r>
      <w:r w:rsidRPr="004260C8">
        <w:rPr>
          <w:rStyle w:val="normaltextrun"/>
          <w:color w:val="000000" w:themeColor="text1"/>
        </w:rPr>
        <w:fldChar w:fldCharType="end"/>
      </w:r>
      <w:r w:rsidRPr="004260C8">
        <w:rPr>
          <w:rStyle w:val="normaltextrun"/>
          <w:color w:val="000000" w:themeColor="text1"/>
        </w:rPr>
        <w:t xml:space="preserve">, and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{"citationID":"anWf9xTL","properties":{"formattedCitation":"(Ebeke &amp; Yogo, 2013)","plainCitation":"(Ebeke &amp; Yogo, 2013)","dontUpdate":true,"noteIndex":0},"citationItems":[{"id":1074,"uris":["http://zotero.org/users/6173611/items/X5SE6JGT"],"uri":["http://zotero.org/users/6173611/items/X5SE6JGT"],"itemData":{"id":1074,"type":"article-journal","container-title":"African Development Bank Group Working Paper","page":"1–43","source":"Google Scholar","title":"Remittances and the voter turnout in sub-Saharan Africa: Evidence from macro and micro level data","title-short":"Remittances and the voter turnout in sub-Saharan Africa","volume":"185","author":[{"family":"Ebeke","given":"Christian"},{"family":"Yogo","given":"Thierry"}],"issued":{"date-parts":[["2013"]]}}}],"schema":"https://github.com/citation-style-language/schema/raw/master/csl-citation.json"} </w:instrText>
      </w:r>
      <w:r w:rsidRPr="004260C8">
        <w:rPr>
          <w:rStyle w:val="normaltextrun"/>
          <w:color w:val="000000" w:themeColor="text1"/>
        </w:rPr>
        <w:fldChar w:fldCharType="separate"/>
      </w:r>
      <w:proofErr w:type="spellStart"/>
      <w:r w:rsidRPr="004260C8">
        <w:t>Ebeke</w:t>
      </w:r>
      <w:proofErr w:type="spellEnd"/>
      <w:r w:rsidRPr="004260C8">
        <w:t xml:space="preserve"> &amp; </w:t>
      </w:r>
      <w:proofErr w:type="spellStart"/>
      <w:r w:rsidRPr="004260C8">
        <w:t>Yogo</w:t>
      </w:r>
      <w:proofErr w:type="spellEnd"/>
      <w:r w:rsidRPr="004260C8">
        <w:t xml:space="preserve"> (2013)</w:t>
      </w:r>
      <w:r w:rsidRPr="004260C8">
        <w:rPr>
          <w:rStyle w:val="normaltextrun"/>
          <w:color w:val="000000" w:themeColor="text1"/>
        </w:rPr>
        <w:fldChar w:fldCharType="end"/>
      </w:r>
      <w:r w:rsidRPr="004260C8">
        <w:rPr>
          <w:rStyle w:val="normaltextrun"/>
          <w:color w:val="000000" w:themeColor="text1"/>
        </w:rPr>
        <w:t xml:space="preserve"> have utilized propensity score matching techniques. Despite the popularity of propensity score matching, the procedure is fraught with fundamental problems. </w:t>
      </w:r>
      <w:r w:rsidRPr="004260C8">
        <w:rPr>
          <w:rStyle w:val="normaltextrun"/>
          <w:color w:val="000000" w:themeColor="text1"/>
        </w:rPr>
        <w:tab/>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{"citationID":"YOsCyPt3","properties":{"formattedCitation":"(King &amp; Nielsen, 2019)","plainCitation":"(King &amp; Nielsen, 2019)","noteIndex":0},"citationItems":[{"id":1105,"uris":["http://zotero.org/users/6173611/items/W2FZULRM"],"uri":["http://zotero.org/users/6173611/items/W2FZULRM"],"itemData":{"id":1105,"type":"article-journal","container-title":"Political Analysis","issue":"4","note":"publisher: Cambridge University Press","page":"435–454","source":"Google Scholar","title":"Why propensity scores should not be used for matching","volume":"27","author":[{"family":"King","given":"Gary"},{"family":"Nielsen","given":"Richard"}],"issued":{"date-parts":[["2019"]]}}}],"schema":"https://github.com/citation-style-language/schema/raw/master/csl-citation.json"} </w:instrText>
      </w:r>
      <w:r w:rsidRPr="004260C8">
        <w:rPr>
          <w:rStyle w:val="normaltextrun"/>
          <w:color w:val="000000" w:themeColor="text1"/>
        </w:rPr>
        <w:fldChar w:fldCharType="separate"/>
      </w:r>
      <w:r w:rsidRPr="004260C8">
        <w:t>King &amp; Nielsen (2019)</w:t>
      </w:r>
      <w:r w:rsidRPr="004260C8">
        <w:rPr>
          <w:rStyle w:val="normaltextrun"/>
          <w:color w:val="000000" w:themeColor="text1"/>
        </w:rPr>
        <w:fldChar w:fldCharType="end"/>
      </w:r>
      <w:r w:rsidRPr="004260C8">
        <w:rPr>
          <w:rStyle w:val="normaltextrun"/>
          <w:color w:val="000000" w:themeColor="text1"/>
        </w:rPr>
        <w:t xml:space="preserve">  argue that propensity scores should not be used for matching. This is because the procedure attempts to approximate a completely randomized experiment rather than approximating a fully blocked random experiment which is more efficient. As a result, the propensity score matching technique is more likely to increase imbalance, model dependence, inefficiency, and bias in the estimation of treatment effects.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{"citationID":"ewDmjG9S","properties":{"formattedCitation":"(Drake, 1993)","plainCitation":"(Drake, 1993)","dontUpdate":true,"noteIndex":0},"citationItems":[{"id":1058,"uris":["http://zotero.org/users/6173611/items/6C9BFUNY"],"uri":["http://zotero.org/users/6173611/items/6C9BFUNY"],"itemData":{"id":1058,"type":"article-journal","abstract":"A comparison was carried out between the propensity score and prognostic models in estimating treatment effects from observational studies. One issue investigated was the effect of estimating the propensity score on estimators of treatment effect. It was found that estimating the propensity score introduced no additional bias. A second question addressed comparisons of the propensity score and prognostic approach when a confounder is omitted. The results indicate that biases due to omitted covariates are large and of the same magnitude. Third, misspecifications of the propensity score were compared to misspecified response models. Here it was found that estimators obtained from incorrect response models had much larger biases than estimators from incorrectly estimated propensity scores. In all cases there were two types of models, one involving a continuous and one a binary response. Least squares estimators for the continuous response were compared to stratified mean differences between treatment groups. For the binary response maximum likelihood estimators of the odds ratio were compared to Mantel-Haenszel estimators. In both cases the strata were based on the quintiles of the true and estimated propensity scores.","container-title":"Biometrics","DOI":"10.2307/2532266","ISSN":"0006-341X","issue":"4","note":"publisher: [Wiley, International Biometric Society]","page":"1231-1236","source":"JSTOR","title":"Effects of Misspecification of the Propensity Score on Estimators of Treatment Effect","URL":"https://www.jstor.org/stable/2532266","volume":"49","author":[{"family":"Drake","given":"Christiana"}],"accessed":{"date-parts":[["2021",10,2]]},"issued":{"date-parts":[["1993"]]}}}],"schema":"https://github.com/citation-style-language/schema/raw/master/csl-citation.json"} </w:instrText>
      </w:r>
      <w:r w:rsidRPr="004260C8">
        <w:rPr>
          <w:rStyle w:val="normaltextrun"/>
          <w:color w:val="000000" w:themeColor="text1"/>
        </w:rPr>
        <w:fldChar w:fldCharType="separate"/>
      </w:r>
      <w:r w:rsidRPr="004260C8">
        <w:t>Drake (1993)</w:t>
      </w:r>
      <w:r w:rsidRPr="004260C8">
        <w:rPr>
          <w:rStyle w:val="normaltextrun"/>
          <w:color w:val="000000" w:themeColor="text1"/>
        </w:rPr>
        <w:fldChar w:fldCharType="end"/>
      </w:r>
      <w:r w:rsidRPr="004260C8">
        <w:rPr>
          <w:rStyle w:val="normaltextrun"/>
          <w:color w:val="000000" w:themeColor="text1"/>
        </w:rPr>
        <w:t xml:space="preserve">  also argues that a mis-specified propensity score model produces bias estimates.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{"citationID":"UaD12ufL","properties":{"formattedCitation":"(Heckman et al., 1998)","plainCitation":"(Heckman et al., 1998)","dontUpdate":true,"noteIndex":0},"citationItems":[{"id":1076,"uris":["http://zotero.org/users/6173611/items/LSTUCS8K"],"uri":["http://zotero.org/users/6173611/items/LSTUCS8K"],"itemData":{"id":1076,"type":"article-journal","abstract":"This paper develops the method of matching as an econometric evaluation estimator. A rigorous distribution theory for kernel-based matching is presented. The method of matching is extended to more general conditions than the ones assumed in the statistical literature on the topic. We focus on the method of propensity score matching and show that it is not necessarily better, in the sense of reducing the variance of the resulting estimator, to use the propensity score method even if propensity score is known. We extend the statistical literature on the propensity score by considering the case when it is estimated both parametrically and nonparametrically. We examine the benefits of separability and exclusion restrictions in improving the efficiency of the estimator. Our methods also apply to the econometric selection bias estimator.","container-title":"The Review of Economic Studies","DOI":"10.1111/1467-937X.00044","ISSN":"0034-6527","issue":"2","journalAbbreviation":"The Review of Economic Studies","page":"261-294","source":"Silverchair","title":"Matching As An Econometric Evaluation Estimator","URL":"https://doi.org/10.1111/1467-937X.00044","volume":"65","author":[{"family":"Heckman","given":"James J."},{"family":"Ichimura","given":"Hidehiko"},{"family":"Todd","given":"Petra"}],"accessed":{"date-parts":[["2021",10,6]]},"issued":{"date-parts":[["1998",4,1]]}}}],"schema":"https://github.com/citation-style-language/schema/raw/master/csl-citation.json"} </w:instrText>
      </w:r>
      <w:r w:rsidRPr="004260C8">
        <w:rPr>
          <w:rStyle w:val="normaltextrun"/>
          <w:color w:val="000000" w:themeColor="text1"/>
        </w:rPr>
        <w:fldChar w:fldCharType="separate"/>
      </w:r>
      <w:r w:rsidRPr="004260C8">
        <w:t>Heckman et al. (1998)</w:t>
      </w:r>
      <w:r w:rsidRPr="004260C8">
        <w:rPr>
          <w:rStyle w:val="normaltextrun"/>
          <w:color w:val="000000" w:themeColor="text1"/>
        </w:rPr>
        <w:fldChar w:fldCharType="end"/>
      </w:r>
      <w:r w:rsidRPr="004260C8">
        <w:rPr>
          <w:rStyle w:val="normaltextrun"/>
          <w:color w:val="000000" w:themeColor="text1"/>
        </w:rPr>
        <w:t xml:space="preserve"> show that even when the right propensity scores are known, they still do not do a good job of reducing the variance of the estimator. </w:t>
      </w:r>
    </w:p>
    <w:p w14:paraId="1E419F44" w14:textId="77777777" w:rsidR="00824237" w:rsidRPr="004260C8" w:rsidRDefault="00824237" w:rsidP="00824237">
      <w:pPr>
        <w:spacing w:line="480" w:lineRule="auto"/>
        <w:rPr>
          <w:rStyle w:val="normaltextrun"/>
          <w:color w:val="000000" w:themeColor="text1"/>
        </w:rPr>
      </w:pPr>
      <w:r w:rsidRPr="004260C8">
        <w:rPr>
          <w:rStyle w:val="normaltextrun"/>
          <w:color w:val="000000" w:themeColor="text1"/>
        </w:rPr>
        <w:tab/>
        <w:t xml:space="preserve">Traditionally, propensity score matching relies on manual optimization by iteratively matching observables and rechecking balance. This manual process often leads to suboptimal solutions (King et al., 2017). To avert this problem, we utilize genetic matching, which is unique amongst the new matching methods in balancing covariates. </w:t>
      </w:r>
    </w:p>
    <w:p w14:paraId="5687BF28" w14:textId="77777777" w:rsidR="00824237" w:rsidRPr="004260C8" w:rsidRDefault="00824237" w:rsidP="00824237">
      <w:pPr>
        <w:spacing w:line="480" w:lineRule="auto"/>
        <w:jc w:val="both"/>
        <w:rPr>
          <w:highlight w:val="yellow"/>
        </w:rPr>
      </w:pPr>
    </w:p>
    <w:p w14:paraId="30BD3800" w14:textId="3A7F83F0" w:rsidR="00824237" w:rsidRDefault="00824237" w:rsidP="00824237">
      <w:pPr>
        <w:spacing w:line="480" w:lineRule="auto"/>
        <w:jc w:val="both"/>
        <w:rPr>
          <w:color w:val="222222"/>
          <w:shd w:val="clear" w:color="auto" w:fill="FFFFFF"/>
        </w:rPr>
      </w:pPr>
    </w:p>
    <w:p w14:paraId="48F566AD" w14:textId="77777777" w:rsidR="00824237" w:rsidRPr="004260C8" w:rsidRDefault="00824237" w:rsidP="00824237">
      <w:pPr>
        <w:spacing w:line="480" w:lineRule="auto"/>
        <w:jc w:val="both"/>
        <w:rPr>
          <w:color w:val="222222"/>
          <w:shd w:val="clear" w:color="auto" w:fill="FFFFFF"/>
        </w:rPr>
      </w:pPr>
    </w:p>
    <w:p w14:paraId="661A2300" w14:textId="77777777" w:rsidR="00824237" w:rsidRPr="004260C8" w:rsidRDefault="00824237" w:rsidP="00824237">
      <w:pPr>
        <w:pStyle w:val="ListParagraph"/>
        <w:numPr>
          <w:ilvl w:val="1"/>
          <w:numId w:val="1"/>
        </w:numPr>
        <w:spacing w:line="480" w:lineRule="auto"/>
        <w:jc w:val="both"/>
        <w:rPr>
          <w:b/>
          <w:bCs/>
          <w:color w:val="222222"/>
          <w:shd w:val="clear" w:color="auto" w:fill="FFFFFF"/>
        </w:rPr>
      </w:pPr>
      <w:r w:rsidRPr="004260C8">
        <w:rPr>
          <w:b/>
          <w:bCs/>
          <w:color w:val="222222"/>
          <w:shd w:val="clear" w:color="auto" w:fill="FFFFFF"/>
        </w:rPr>
        <w:lastRenderedPageBreak/>
        <w:t>Why Genetic Matching in this Study?</w:t>
      </w:r>
    </w:p>
    <w:p w14:paraId="13BDB063" w14:textId="77777777" w:rsidR="00824237" w:rsidRPr="004260C8" w:rsidRDefault="00824237" w:rsidP="00824237">
      <w:pPr>
        <w:spacing w:line="480" w:lineRule="auto"/>
        <w:jc w:val="both"/>
        <w:rPr>
          <w:rStyle w:val="normaltextrun"/>
          <w:color w:val="222222"/>
          <w:shd w:val="clear" w:color="auto" w:fill="FFFFFF"/>
        </w:rPr>
      </w:pPr>
      <w:r w:rsidRPr="004260C8">
        <w:rPr>
          <w:color w:val="222222"/>
          <w:shd w:val="clear" w:color="auto" w:fill="FFFFFF"/>
        </w:rPr>
        <w:tab/>
        <w:t xml:space="preserve">Genetic matching was first introduced by </w:t>
      </w:r>
      <w:r w:rsidRPr="004260C8">
        <w:rPr>
          <w:color w:val="222222"/>
          <w:highlight w:val="green"/>
          <w:shd w:val="clear" w:color="auto" w:fill="FFFFFF"/>
        </w:rPr>
        <w:t>Hollard (1992)</w:t>
      </w:r>
      <w:r w:rsidRPr="004260C8">
        <w:rPr>
          <w:color w:val="222222"/>
          <w:shd w:val="clear" w:color="auto" w:fill="FFFFFF"/>
        </w:rPr>
        <w:t xml:space="preserve"> </w:t>
      </w:r>
      <w:r w:rsidRPr="004260C8">
        <w:rPr>
          <w:rStyle w:val="normaltextrun"/>
          <w:color w:val="000000" w:themeColor="text1"/>
        </w:rPr>
        <w:t xml:space="preserve">and advanced by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{"citationID":"rBMpzIGA","properties":{"formattedCitation":"(Diamond &amp; Sekhon, 2013)","plainCitation":"(Diamond &amp; Sekhon, 2013)","dontUpdate":true,"noteIndex":0},"citationItems":[{"id":1060,"uris":["http://zotero.org/users/6173611/items/AJSQ4H8R"],"uri":["http://zotero.org/users/6173611/items/AJSQ4H8R"],"itemData":{"id":1060,"type":"article-journal","abstract":"This paper presents genetic matching, a method of multivariate matching that uses an evolutionary search algorithm to determine the weight each covariate is given. Both propensity score matching and matching based on Mahalanobis distance are limiting cases of this method. The algorithm makes transparent certain issues that all matching methods must confront. We present simulation studies that show that the algorithm improves covariate balance and that it may reduce bias if the selection on observables assumption holds. We then present a reanalysis of a number of data sets in the LaLonde (1986) controversy.","container-title":"The Review of Economics and Statistics","DOI":"10.1162/REST_a_00318","ISSN":"0034-6535","issue":"3","journalAbbreviation":"The Review of Economics and Statistics","page":"932-945","source":"Silverchair","title":"Genetic Matching for Estimating Causal Effects: A General Multivariate Matching Method for Achieving Balance in Observational Studies","title-short":"Genetic Matching for Estimating Causal Effects","URL":"https://doi.org/10.1162/REST_a_00318","volume":"95","author":[{"family":"Diamond","given":"Alexis"},{"family":"Sekhon","given":"Jasjeet S."}],"accessed":{"date-parts":[["2021",10,2]]},"issued":{"date-parts":[["2013",7,1]]}}}],"schema":"https://github.com/citation-style-language/schema/raw/master/csl-citation.json"} </w:instrText>
      </w:r>
      <w:r w:rsidRPr="004260C8">
        <w:rPr>
          <w:rStyle w:val="normaltextrun"/>
          <w:color w:val="000000" w:themeColor="text1"/>
        </w:rPr>
        <w:fldChar w:fldCharType="separate"/>
      </w:r>
      <w:r w:rsidRPr="004260C8">
        <w:t xml:space="preserve">Diamond &amp; </w:t>
      </w:r>
      <w:proofErr w:type="spellStart"/>
      <w:r w:rsidRPr="004260C8">
        <w:t>Sekhon</w:t>
      </w:r>
      <w:proofErr w:type="spellEnd"/>
      <w:r w:rsidRPr="004260C8">
        <w:t xml:space="preserve"> (2013)</w:t>
      </w:r>
      <w:r w:rsidRPr="004260C8">
        <w:rPr>
          <w:rStyle w:val="normaltextrun"/>
          <w:color w:val="000000" w:themeColor="text1"/>
        </w:rPr>
        <w:fldChar w:fldCharType="end"/>
      </w:r>
      <w:r w:rsidRPr="004260C8">
        <w:rPr>
          <w:rStyle w:val="normaltextrun"/>
          <w:color w:val="000000" w:themeColor="text1"/>
        </w:rPr>
        <w:t xml:space="preserve">.  This technique is a more efficient way of achieving covariate balance compared to the procedure suggested by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{"citationID":"MsQKoDdI","properties":{"formattedCitation":"(Rosenbaum &amp; Rubin, 1984)","plainCitation":"(Rosenbaum &amp; Rubin, 1984)","dontUpdate":true,"noteIndex":0},"citationItems":[{"id":1063,"uris":["http://zotero.org/users/6173611/items/ZJC8IVF3"],"uri":["http://zotero.org/users/6173611/items/ZJC8IVF3"],"itemData":{"id":1063,"type":"article-journal","abstract":"The propensity score is the conditional probability of assignment to a particular treatment given a vector of observed covariates. Previous theoretical arguments have shown that subclassification on the propensity score will balance all observed covariates. Subclassification on an estimated propensity score is illustrated, using observational data on treatments for coronary artery disease. Five subclasses defined by the estimated propensity score are constructed that balance 74 covariates, and thereby provide estimates of treatment effects using direct adjustment. These subclasses are applied within sub-populations, and model-based adjustments are then used to provide estimates of treatment effects within these sub-populations. Two appendixes address theoretical issues related to the application: the effectiveness of subclassification on the propensity score in removing bias, and balancing properties of propensity scores with incomplete data.","container-title":"Journal of the American Statistical Association","DOI":"10.1080/01621459.1984.10478078","ISSN":"0162-1459","issue":"387","note":"publisher: Taylor &amp; Francis\n_eprint: https://www.tandfonline.com/doi/pdf/10.1080/01621459.1984.10478078","page":"516-524","source":"Taylor and Francis+NEJM","title":"Reducing Bias in Observational Studies Using Subclassification on the Propensity Score","URL":"https://www.tandfonline.com/doi/abs/10.1080/01621459.1984.10478078","volume":"79","author":[{"family":"Rosenbaum","given":"Paul R."},{"family":"Rubin","given":"Donald B."}],"accessed":{"date-parts":[["2021",10,2]]},"issued":{"date-parts":[["1984",9,1]]}}}],"schema":"https://github.com/citation-style-language/schema/raw/master/csl-citation.json"} </w:instrText>
      </w:r>
      <w:r w:rsidRPr="004260C8">
        <w:rPr>
          <w:rStyle w:val="normaltextrun"/>
          <w:color w:val="000000" w:themeColor="text1"/>
        </w:rPr>
        <w:fldChar w:fldCharType="separate"/>
      </w:r>
      <w:r w:rsidRPr="004260C8">
        <w:t>Rosenbaum &amp; Rubin (1984)</w:t>
      </w:r>
      <w:r w:rsidRPr="004260C8">
        <w:rPr>
          <w:rStyle w:val="normaltextrun"/>
          <w:color w:val="000000" w:themeColor="text1"/>
        </w:rPr>
        <w:fldChar w:fldCharType="end"/>
      </w:r>
      <w:r w:rsidRPr="004260C8">
        <w:rPr>
          <w:rStyle w:val="normaltextrun"/>
          <w:color w:val="000000" w:themeColor="text1"/>
        </w:rPr>
        <w:t xml:space="preserve"> which involves iterative estimation of propensity scores to achieve balance. The procedure is a generalization of propensity score and the </w:t>
      </w:r>
      <w:proofErr w:type="spellStart"/>
      <w:r w:rsidRPr="004260C8">
        <w:rPr>
          <w:rStyle w:val="normaltextrun"/>
          <w:color w:val="000000" w:themeColor="text1"/>
        </w:rPr>
        <w:t>Mahalanobis</w:t>
      </w:r>
      <w:proofErr w:type="spellEnd"/>
      <w:r w:rsidRPr="004260C8">
        <w:rPr>
          <w:rStyle w:val="normaltextrun"/>
          <w:color w:val="000000" w:themeColor="text1"/>
        </w:rPr>
        <w:t xml:space="preserve"> distance matching techniques that makes use of a search algorithm developed by Mebane and </w:t>
      </w:r>
      <w:proofErr w:type="spellStart"/>
      <w:r w:rsidRPr="004260C8">
        <w:rPr>
          <w:rStyle w:val="normaltextrun"/>
          <w:color w:val="000000" w:themeColor="text1"/>
        </w:rPr>
        <w:t>Sekhon</w:t>
      </w:r>
      <w:proofErr w:type="spellEnd"/>
      <w:r w:rsidRPr="004260C8">
        <w:rPr>
          <w:rStyle w:val="normaltextrun"/>
          <w:color w:val="000000" w:themeColor="text1"/>
        </w:rPr>
        <w:t xml:space="preserve"> to obtain covariate balance across matched control and treatment groups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{"citationID":"bgZiC0IA","properties":{"formattedCitation":"(Diamond &amp; Sekhon, 2013)","plainCitation":"(Diamond &amp; Sekhon, 2013)","noteIndex":0},"citationItems":[{"id":1060,"uris":["http://zotero.org/users/6173611/items/AJSQ4H8R"],"uri":["http://zotero.org/users/6173611/items/AJSQ4H8R"],"itemData":{"id":1060,"type":"article-journal","abstract":"This paper presents genetic matching, a method of multivariate matching that uses an evolutionary search algorithm to determine the weight each covariate is given. Both propensity score matching and matching based on Mahalanobis distance are limiting cases of this method. The algorithm makes transparent certain issues that all matching methods must confront. We present simulation studies that show that the algorithm improves covariate balance and that it may reduce bias if the selection on observables assumption holds. We then present a reanalysis of a number of data sets in the LaLonde (1986) controversy.","container-title":"The Review of Economics and Statistics","DOI":"10.1162/REST_a_00318","ISSN":"0034-6535","issue":"3","journalAbbreviation":"The Review of Economics and Statistics","page":"932-945","source":"Silverchair","title":"Genetic Matching for Estimating Causal Effects: A General Multivariate Matching Method for Achieving Balance in Observational Studies","title-short":"Genetic Matching for Estimating Causal Effects","URL":"https://doi.org/10.1162/REST_a_00318","volume":"95","author":[{"family":"Diamond","given":"Alexis"},{"family":"Sekhon","given":"Jasjeet S."}],"accessed":{"date-parts":[["2021",10,2]]},"issued":{"date-parts":[["2013",7,1]]}}}],"schema":"https://github.com/citation-style-language/schema/raw/master/csl-citation.json"} </w:instrText>
      </w:r>
      <w:r w:rsidRPr="004260C8">
        <w:rPr>
          <w:rStyle w:val="normaltextrun"/>
          <w:color w:val="000000" w:themeColor="text1"/>
        </w:rPr>
        <w:fldChar w:fldCharType="separate"/>
      </w:r>
      <w:r w:rsidRPr="004260C8">
        <w:t xml:space="preserve">(Diamond &amp; </w:t>
      </w:r>
      <w:proofErr w:type="spellStart"/>
      <w:r w:rsidRPr="004260C8">
        <w:t>Sekhon</w:t>
      </w:r>
      <w:proofErr w:type="spellEnd"/>
      <w:r w:rsidRPr="004260C8">
        <w:t>, 2013)</w:t>
      </w:r>
      <w:r w:rsidRPr="004260C8">
        <w:rPr>
          <w:rStyle w:val="normaltextrun"/>
          <w:color w:val="000000" w:themeColor="text1"/>
        </w:rPr>
        <w:fldChar w:fldCharType="end"/>
      </w:r>
      <w:r w:rsidRPr="004260C8">
        <w:rPr>
          <w:rStyle w:val="normaltextrun"/>
          <w:color w:val="000000" w:themeColor="text1"/>
        </w:rPr>
        <w:t xml:space="preserve">. The idea is to match treated observations to control observations with the smallest weighted </w:t>
      </w:r>
      <w:proofErr w:type="spellStart"/>
      <w:r w:rsidRPr="004260C8">
        <w:rPr>
          <w:rStyle w:val="normaltextrun"/>
          <w:color w:val="000000" w:themeColor="text1"/>
        </w:rPr>
        <w:t>Mahalanobis</w:t>
      </w:r>
      <w:proofErr w:type="spellEnd"/>
      <w:r w:rsidRPr="004260C8">
        <w:rPr>
          <w:rStyle w:val="normaltextrun"/>
          <w:color w:val="000000" w:themeColor="text1"/>
        </w:rPr>
        <w:t xml:space="preserve"> distances (MD). The main problem with the use of standard MD methods is that they don’t perform very well when we have covariates with </w:t>
      </w:r>
      <w:proofErr w:type="spellStart"/>
      <w:r w:rsidRPr="004260C8">
        <w:rPr>
          <w:rStyle w:val="normaltextrun"/>
          <w:color w:val="000000" w:themeColor="text1"/>
        </w:rPr>
        <w:t>nonellipsoidal</w:t>
      </w:r>
      <w:proofErr w:type="spellEnd"/>
      <w:r w:rsidRPr="004260C8">
        <w:rPr>
          <w:rStyle w:val="normaltextrun"/>
          <w:color w:val="000000" w:themeColor="text1"/>
        </w:rPr>
        <w:t xml:space="preserve"> distributions. The genetic matching technique introduces innovations by the use of an evolutionary search algorithm that identifies the appropriate weights for each covariate to achieve covariate balance even under </w:t>
      </w:r>
      <w:proofErr w:type="spellStart"/>
      <w:r w:rsidRPr="004260C8">
        <w:rPr>
          <w:rStyle w:val="normaltextrun"/>
          <w:color w:val="000000" w:themeColor="text1"/>
        </w:rPr>
        <w:t>nonellipsoidal</w:t>
      </w:r>
      <w:proofErr w:type="spellEnd"/>
      <w:r w:rsidRPr="004260C8">
        <w:rPr>
          <w:rStyle w:val="normaltextrun"/>
          <w:color w:val="000000" w:themeColor="text1"/>
        </w:rPr>
        <w:t xml:space="preserve"> distributions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{"citationID":"eqFBlYKh","properties":{"formattedCitation":"(Sekhon &amp; Grieve, 2012)","plainCitation":"(Sekhon &amp; Grieve, 2012)","noteIndex":0},"citationItems":[{"id":1079,"uris":["http://zotero.org/users/6173611/items/REMCAWQE"],"uri":["http://zotero.org/users/6173611/items/REMCAWQE"],"itemData":{"id":1079,"type":"article-journal","abstract":"In cost-effectiveness analyses (CEA) that use randomized controlled trials (RCTs), covariates of prognostic importance may be imbalanced and warrant adjustment. In CEA that use non-randomized studies (NRS), the selection on observables assumption must hold for regression and matching methods to be unbiased. Even in restricted circumstances when this assumption is plausible, a key concern is how to adjust for imbalances in observed confounders. If the propensity score is misspecified, the covariates in the matched sample will be imbalanced, which can lead to conditional bias. To address covariate imbalance in CEA based on RCTs and NRS, this paper considers Genetic Matching. This matching method uses a search algorithm to directly maximize covariate balance. We compare Genetic and propensity score matching in Monte Carlo simulations and two case studies, CEA of pulmonary artery catheterization, based on an RCT and an NRS. The simulations show that Genetic Matching reduces the conditional bias and root mean squared error compared with propensity score matching. Genetic Matching achieves better covariate balance than the unadjusted analyses of the RCT data. In the NRS, Genetic Matching improves on the balance obtained from propensity score matching and gives substantively different estimates of incremental cost-effectiveness. We conclude that Genetic Matching can improve balance on measured covariates in CEA that use RCTs and NRS, but with NRS, this will be insufficient to reduce bias; the selection on observables assumption must also hold. Copyright © 2011 John Wiley &amp; Sons, Ltd.","container-title":"Health Economics","DOI":"10.1002/hec.1748","ISSN":"1099-1050","issue":"6","language":"en","note":"_eprint: https://onlinelibrary.wiley.com/doi/pdf/10.1002/hec.1748","page":"695-714","source":"Wiley Online Library","title":"A matching method for improving covariate balance in cost-effectiveness analyses","URL":"https://onlinelibrary.wiley.com/doi/abs/10.1002/hec.1748","volume":"21","author":[{"family":"Sekhon","given":"Jasjeet Singh"},{"family":"Grieve","given":"Richard D."}],"accessed":{"date-parts":[["2021",10,6]]},"issued":{"date-parts":[["2012"]]}}}],"schema":"https://github.com/citation-style-language/schema/raw/master/csl-citation.json"} </w:instrText>
      </w:r>
      <w:r w:rsidRPr="004260C8">
        <w:rPr>
          <w:rStyle w:val="normaltextrun"/>
          <w:color w:val="000000" w:themeColor="text1"/>
        </w:rPr>
        <w:fldChar w:fldCharType="separate"/>
      </w:r>
      <w:r w:rsidRPr="004260C8">
        <w:t>(</w:t>
      </w:r>
      <w:proofErr w:type="spellStart"/>
      <w:r w:rsidRPr="004260C8">
        <w:t>Sekhon</w:t>
      </w:r>
      <w:proofErr w:type="spellEnd"/>
      <w:r w:rsidRPr="004260C8">
        <w:t xml:space="preserve"> &amp; Grieve, 2012)</w:t>
      </w:r>
      <w:r w:rsidRPr="004260C8">
        <w:rPr>
          <w:rStyle w:val="normaltextrun"/>
          <w:color w:val="000000" w:themeColor="text1"/>
        </w:rPr>
        <w:fldChar w:fldCharType="end"/>
      </w:r>
      <w:r w:rsidRPr="004260C8">
        <w:rPr>
          <w:rStyle w:val="normaltextrun"/>
          <w:color w:val="000000" w:themeColor="text1"/>
        </w:rPr>
        <w:t xml:space="preserve">.  This is done by identifying the most imbalanced covariates and attempting to improve their balance gradually in successive iterations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{"citationID":"Cqfqow5d","properties":{"formattedCitation":"(Henderson &amp; Chatfield, 2011)","plainCitation":"(Henderson &amp; Chatfield, 2011)","noteIndex":0},"citationItems":[{"id":1068,"uris":["http://zotero.org/users/6173611/items/MJAJ3RST"],"uri":["http://zotero.org/users/6173611/items/MJAJ3RST"],"itemData":{"id":1068,"type":"article-journal","abstract":"In a recent study, Kam and Palmer (2008) employ propensity score matching to assess whether college attendance causes participation after reducing selection bias due to pre-adult factors. After matching the authors find no correlation, upending a major pillar in political science. However, we argue that this study has serious flaws and should not be the basis for rejecting the traditional view of an “education effect” on participation. We match on 766,642 propensity scores and use genetic matching to recover better matches with lower covariate imbalances. We consistently find positive effects as covariate balance improves, though no matching approach yields unbiased results. We demonstrate that selection is a serious concern in studying the participatory effects of college attendance and that balance in the covariates and robustness to sensitivity diagnostics should be the ultimate guide for conducting matching analyses.","container-title":"The Journal of Politics","DOI":"10.1017/S0022381611000351","ISSN":"0022-3816","issue":"3","note":"publisher: The University of Chicago Press","page":"646-658","source":"journals.uchicago.edu (Atypon)","title":"Who Matches? Propensity Scores and Bias in the Causal Effects of Education on Participation","title-short":"Who Matches?","URL":"https://www.journals.uchicago.edu/doi/full/10.1017/S0022381611000351","volume":"73","author":[{"family":"Henderson","given":"John"},{"family":"Chatfield","given":"Sara"}],"accessed":{"date-parts":[["2021",10,3]]},"issued":{"date-parts":[["2011",7,1]]}}}],"schema":"https://github.com/citation-style-language/schema/raw/master/csl-citation.json"} </w:instrText>
      </w:r>
      <w:r w:rsidRPr="004260C8">
        <w:rPr>
          <w:rStyle w:val="normaltextrun"/>
          <w:color w:val="000000" w:themeColor="text1"/>
        </w:rPr>
        <w:fldChar w:fldCharType="separate"/>
      </w:r>
      <w:r w:rsidRPr="004260C8">
        <w:t>(Henderson &amp; Chatfield, 2011)</w:t>
      </w:r>
      <w:r w:rsidRPr="004260C8">
        <w:rPr>
          <w:rStyle w:val="normaltextrun"/>
          <w:color w:val="000000" w:themeColor="text1"/>
        </w:rPr>
        <w:fldChar w:fldCharType="end"/>
      </w:r>
      <w:r w:rsidRPr="004260C8">
        <w:rPr>
          <w:rStyle w:val="normaltextrun"/>
          <w:color w:val="000000" w:themeColor="text1"/>
        </w:rPr>
        <w:t xml:space="preserve">.  The generalized </w:t>
      </w:r>
      <w:proofErr w:type="spellStart"/>
      <w:r w:rsidRPr="004260C8">
        <w:rPr>
          <w:rStyle w:val="normaltextrun"/>
          <w:color w:val="000000" w:themeColor="text1"/>
        </w:rPr>
        <w:t>Mahalanobis</w:t>
      </w:r>
      <w:proofErr w:type="spellEnd"/>
      <w:r w:rsidRPr="004260C8">
        <w:rPr>
          <w:rStyle w:val="normaltextrun"/>
          <w:color w:val="000000" w:themeColor="text1"/>
        </w:rPr>
        <w:t xml:space="preserve"> distance measure for two units </w:t>
      </w:r>
      <w:proofErr w:type="spellStart"/>
      <w:r w:rsidRPr="004260C8">
        <w:rPr>
          <w:rStyle w:val="normaltextrun"/>
          <w:i/>
          <w:iCs/>
          <w:color w:val="000000" w:themeColor="text1"/>
        </w:rPr>
        <w:t>i</w:t>
      </w:r>
      <w:proofErr w:type="spellEnd"/>
      <w:r w:rsidRPr="004260C8">
        <w:rPr>
          <w:rStyle w:val="normaltextrun"/>
          <w:i/>
          <w:iCs/>
          <w:color w:val="000000" w:themeColor="text1"/>
        </w:rPr>
        <w:t xml:space="preserve"> </w:t>
      </w:r>
      <w:r w:rsidRPr="004260C8">
        <w:rPr>
          <w:rStyle w:val="normaltextrun"/>
          <w:color w:val="000000" w:themeColor="text1"/>
        </w:rPr>
        <w:t xml:space="preserve">and </w:t>
      </w:r>
      <w:r w:rsidRPr="004260C8">
        <w:rPr>
          <w:rStyle w:val="normaltextrun"/>
          <w:i/>
          <w:iCs/>
          <w:color w:val="000000" w:themeColor="text1"/>
        </w:rPr>
        <w:t>j</w:t>
      </w:r>
      <w:r w:rsidRPr="004260C8">
        <w:rPr>
          <w:rStyle w:val="normaltextrun"/>
          <w:color w:val="000000" w:themeColor="text1"/>
        </w:rPr>
        <w:t xml:space="preserve"> is stated by </w:t>
      </w:r>
      <w:r w:rsidRPr="004260C8">
        <w:rPr>
          <w:rStyle w:val="normaltextrun"/>
          <w:color w:val="000000" w:themeColor="text1"/>
        </w:rPr>
        <w:fldChar w:fldCharType="begin"/>
      </w:r>
      <w:r w:rsidRPr="004260C8">
        <w:rPr>
          <w:rStyle w:val="normaltextrun"/>
          <w:color w:val="000000" w:themeColor="text1"/>
        </w:rPr>
        <w:instrText xml:space="preserve"> ADDIN ZOTERO_ITEM CSL_CITATION {"citationID":"Xz6GNkCs","properties":{"formattedCitation":"(Diamond &amp; Sekhon, 2013)","plainCitation":"(Diamond &amp; Sekhon, 2013)","dontUpdate":true,"noteIndex":0},"citationItems":[{"id":1060,"uris":["http://zotero.org/users/6173611/items/AJSQ4H8R"],"uri":["http://zotero.org/users/6173611/items/AJSQ4H8R"],"itemData":{"id":1060,"type":"article-journal","abstract":"This paper presents genetic matching, a method of multivariate matching that uses an evolutionary search algorithm to determine the weight each covariate is given. Both propensity score matching and matching based on Mahalanobis distance are limiting cases of this method. The algorithm makes transparent certain issues that all matching methods must confront. We present simulation studies that show that the algorithm improves covariate balance and that it may reduce bias if the selection on observables assumption holds. We then present a reanalysis of a number of data sets in the LaLonde (1986) controversy.","container-title":"The Review of Economics and Statistics","DOI":"10.1162/REST_a_00318","ISSN":"0034-6535","issue":"3","journalAbbreviation":"The Review of Economics and Statistics","page":"932-945","source":"Silverchair","title":"Genetic Matching for Estimating Causal Effects: A General Multivariate Matching Method for Achieving Balance in Observational Studies","title-short":"Genetic Matching for Estimating Causal Effects","URL":"https://doi.org/10.1162/REST_a_00318","volume":"95","author":[{"family":"Diamond","given":"Alexis"},{"family":"Sekhon","given":"Jasjeet S."}],"accessed":{"date-parts":[["2021",10,2]]},"issued":{"date-parts":[["2013",7,1]]}}}],"schema":"https://github.com/citation-style-language/schema/raw/master/csl-citation.json"} </w:instrText>
      </w:r>
      <w:r w:rsidRPr="004260C8">
        <w:rPr>
          <w:rStyle w:val="normaltextrun"/>
          <w:color w:val="000000" w:themeColor="text1"/>
        </w:rPr>
        <w:fldChar w:fldCharType="separate"/>
      </w:r>
      <w:r w:rsidRPr="004260C8">
        <w:t xml:space="preserve">Diamond &amp; </w:t>
      </w:r>
      <w:proofErr w:type="spellStart"/>
      <w:r w:rsidRPr="004260C8">
        <w:t>Sekhon</w:t>
      </w:r>
      <w:proofErr w:type="spellEnd"/>
      <w:r w:rsidRPr="004260C8">
        <w:t xml:space="preserve"> (2013)</w:t>
      </w:r>
      <w:r w:rsidRPr="004260C8">
        <w:rPr>
          <w:rStyle w:val="normaltextrun"/>
          <w:color w:val="000000" w:themeColor="text1"/>
        </w:rPr>
        <w:fldChar w:fldCharType="end"/>
      </w:r>
      <w:r w:rsidRPr="004260C8">
        <w:rPr>
          <w:rStyle w:val="normaltextrun"/>
          <w:color w:val="000000" w:themeColor="text1"/>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494"/>
        <w:gridCol w:w="496"/>
      </w:tblGrid>
      <w:tr w:rsidR="00824237" w:rsidRPr="004260C8" w14:paraId="1845FD51" w14:textId="77777777" w:rsidTr="005A6322">
        <w:tc>
          <w:tcPr>
            <w:tcW w:w="378" w:type="dxa"/>
            <w:vAlign w:val="center"/>
          </w:tcPr>
          <w:p w14:paraId="6F248354" w14:textId="77777777" w:rsidR="00824237" w:rsidRPr="004260C8" w:rsidRDefault="00824237" w:rsidP="005A6322">
            <w:pPr>
              <w:spacing w:line="480" w:lineRule="auto"/>
              <w:jc w:val="center"/>
              <w:rPr>
                <w:bCs/>
                <w:i/>
                <w:iCs/>
              </w:rPr>
            </w:pPr>
          </w:p>
        </w:tc>
        <w:tc>
          <w:tcPr>
            <w:tcW w:w="8730" w:type="dxa"/>
            <w:vAlign w:val="center"/>
          </w:tcPr>
          <w:p w14:paraId="66CF24A6" w14:textId="77777777" w:rsidR="00824237" w:rsidRPr="004260C8" w:rsidRDefault="00824237" w:rsidP="005A6322">
            <w:pPr>
              <w:spacing w:line="480" w:lineRule="auto"/>
              <w:jc w:val="center"/>
              <w:rPr>
                <w:bCs/>
                <w:i/>
                <w:iCs/>
              </w:rPr>
            </w:pPr>
            <m:oMathPara>
              <m:oMath>
                <m:r>
                  <w:rPr>
                    <w:rFonts w:ascii="Cambria Math" w:hAnsi="Cambria Math"/>
                  </w:rPr>
                  <m:t>GMD(</m:t>
                </m:r>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X</m:t>
                    </m:r>
                  </m:e>
                  <m:sub>
                    <m:r>
                      <w:rPr>
                        <w:rFonts w:ascii="Cambria Math" w:hAnsi="Cambria Math"/>
                      </w:rPr>
                      <m:t>j</m:t>
                    </m:r>
                  </m:sub>
                </m:sSub>
                <m:r>
                  <w:rPr>
                    <w:rFonts w:ascii="Cambria Math" w:hAnsi="Cambria Math"/>
                  </w:rPr>
                  <m:t>)=</m:t>
                </m:r>
                <m:rad>
                  <m:radPr>
                    <m:degHide m:val="1"/>
                    <m:ctrlPr>
                      <w:rPr>
                        <w:rFonts w:ascii="Cambria Math" w:hAnsi="Cambria Math"/>
                        <w:bCs/>
                        <w:i/>
                        <w:iCs/>
                      </w:rPr>
                    </m:ctrlPr>
                  </m:radPr>
                  <m:deg/>
                  <m:e>
                    <m:sSup>
                      <m:sSupPr>
                        <m:ctrlPr>
                          <w:rPr>
                            <w:rFonts w:ascii="Cambria Math" w:hAnsi="Cambria Math"/>
                            <w:bCs/>
                            <w:i/>
                            <w:iCs/>
                          </w:rPr>
                        </m:ctrlPr>
                      </m:sSupPr>
                      <m:e>
                        <m:r>
                          <w:rPr>
                            <w:rFonts w:ascii="Cambria Math" w:hAnsi="Cambria Math"/>
                          </w:rPr>
                          <m:t>(</m:t>
                        </m:r>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T</m:t>
                        </m:r>
                      </m:sup>
                    </m:sSup>
                    <m:sSup>
                      <m:sSupPr>
                        <m:ctrlPr>
                          <w:rPr>
                            <w:rFonts w:ascii="Cambria Math" w:hAnsi="Cambria Math"/>
                            <w:bCs/>
                            <w:i/>
                            <w:iCs/>
                          </w:rPr>
                        </m:ctrlPr>
                      </m:sSupPr>
                      <m:e>
                        <m:r>
                          <w:rPr>
                            <w:rFonts w:ascii="Cambria Math" w:hAnsi="Cambria Math"/>
                          </w:rPr>
                          <m:t>(</m:t>
                        </m:r>
                        <m:sSup>
                          <m:sSupPr>
                            <m:ctrlPr>
                              <w:rPr>
                                <w:rFonts w:ascii="Cambria Math" w:hAnsi="Cambria Math"/>
                                <w:bCs/>
                                <w:i/>
                                <w:iCs/>
                              </w:rPr>
                            </m:ctrlPr>
                          </m:sSupPr>
                          <m:e>
                            <m:r>
                              <w:rPr>
                                <w:rFonts w:ascii="Cambria Math" w:hAnsi="Cambria Math"/>
                              </w:rPr>
                              <m:t>S</m:t>
                            </m:r>
                          </m:e>
                          <m:sup>
                            <m:f>
                              <m:fPr>
                                <m:type m:val="lin"/>
                                <m:ctrlPr>
                                  <w:rPr>
                                    <w:rFonts w:ascii="Cambria Math" w:hAnsi="Cambria Math"/>
                                    <w:bCs/>
                                    <w:i/>
                                    <w:iCs/>
                                  </w:rPr>
                                </m:ctrlPr>
                              </m:fPr>
                              <m:num>
                                <m:r>
                                  <w:rPr>
                                    <w:rFonts w:ascii="Cambria Math" w:hAnsi="Cambria Math"/>
                                  </w:rPr>
                                  <m:t>-1</m:t>
                                </m:r>
                              </m:num>
                              <m:den>
                                <m:r>
                                  <w:rPr>
                                    <w:rFonts w:ascii="Cambria Math" w:hAnsi="Cambria Math"/>
                                  </w:rPr>
                                  <m:t>2</m:t>
                                </m:r>
                              </m:den>
                            </m:f>
                          </m:sup>
                        </m:sSup>
                        <m:r>
                          <w:rPr>
                            <w:rFonts w:ascii="Cambria Math" w:hAnsi="Cambria Math"/>
                          </w:rPr>
                          <m:t>)</m:t>
                        </m:r>
                      </m:e>
                      <m:sup>
                        <m:r>
                          <w:rPr>
                            <w:rFonts w:ascii="Cambria Math" w:hAnsi="Cambria Math"/>
                          </w:rPr>
                          <m:t>T</m:t>
                        </m:r>
                      </m:sup>
                    </m:sSup>
                    <m:r>
                      <w:rPr>
                        <w:rFonts w:ascii="Cambria Math" w:hAnsi="Cambria Math"/>
                      </w:rPr>
                      <m:t>W</m:t>
                    </m:r>
                    <m:sSup>
                      <m:sSupPr>
                        <m:ctrlPr>
                          <w:rPr>
                            <w:rFonts w:ascii="Cambria Math" w:hAnsi="Cambria Math"/>
                            <w:bCs/>
                            <w:i/>
                            <w:iCs/>
                          </w:rPr>
                        </m:ctrlPr>
                      </m:sSupPr>
                      <m:e>
                        <m:r>
                          <w:rPr>
                            <w:rFonts w:ascii="Cambria Math" w:hAnsi="Cambria Math"/>
                          </w:rPr>
                          <m:t>S</m:t>
                        </m:r>
                      </m:e>
                      <m:sup>
                        <m:f>
                          <m:fPr>
                            <m:type m:val="lin"/>
                            <m:ctrlPr>
                              <w:rPr>
                                <w:rFonts w:ascii="Cambria Math" w:hAnsi="Cambria Math"/>
                                <w:bCs/>
                                <w:i/>
                                <w:iCs/>
                              </w:rPr>
                            </m:ctrlPr>
                          </m:fPr>
                          <m:num>
                            <m:r>
                              <w:rPr>
                                <w:rFonts w:ascii="Cambria Math" w:hAnsi="Cambria Math"/>
                              </w:rPr>
                              <m:t>-1</m:t>
                            </m:r>
                          </m:num>
                          <m:den>
                            <m:r>
                              <w:rPr>
                                <w:rFonts w:ascii="Cambria Math" w:hAnsi="Cambria Math"/>
                              </w:rPr>
                              <m:t>2</m:t>
                            </m:r>
                          </m:den>
                        </m:f>
                      </m:sup>
                    </m:sSup>
                    <m:r>
                      <w:rPr>
                        <w:rFonts w:ascii="Cambria Math" w:hAnsi="Cambria Math"/>
                      </w:rPr>
                      <m:t>(</m:t>
                    </m:r>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X</m:t>
                        </m:r>
                      </m:e>
                      <m:sub>
                        <m:r>
                          <w:rPr>
                            <w:rFonts w:ascii="Cambria Math" w:hAnsi="Cambria Math"/>
                          </w:rPr>
                          <m:t>j</m:t>
                        </m:r>
                      </m:sub>
                    </m:sSub>
                    <m:r>
                      <w:rPr>
                        <w:rFonts w:ascii="Cambria Math" w:hAnsi="Cambria Math"/>
                      </w:rPr>
                      <m:t>)</m:t>
                    </m:r>
                  </m:e>
                </m:rad>
              </m:oMath>
            </m:oMathPara>
          </w:p>
        </w:tc>
        <w:tc>
          <w:tcPr>
            <w:tcW w:w="468" w:type="dxa"/>
            <w:vAlign w:val="center"/>
          </w:tcPr>
          <w:p w14:paraId="33BDED51" w14:textId="77777777" w:rsidR="00824237" w:rsidRPr="004260C8" w:rsidRDefault="00824237" w:rsidP="005A6322">
            <w:pPr>
              <w:spacing w:line="480" w:lineRule="auto"/>
              <w:jc w:val="center"/>
              <w:rPr>
                <w:bCs/>
              </w:rPr>
            </w:pPr>
            <w:r w:rsidRPr="004260C8">
              <w:rPr>
                <w:bCs/>
              </w:rPr>
              <w:t>(</w:t>
            </w:r>
            <w:r w:rsidRPr="004260C8">
              <w:rPr>
                <w:bCs/>
              </w:rPr>
              <w:fldChar w:fldCharType="begin"/>
            </w:r>
            <w:r w:rsidRPr="004260C8">
              <w:rPr>
                <w:bCs/>
              </w:rPr>
              <w:instrText xml:space="preserve"> SEQ Eq \* MERGEFORMAT </w:instrText>
            </w:r>
            <w:r w:rsidRPr="004260C8">
              <w:rPr>
                <w:bCs/>
              </w:rPr>
              <w:fldChar w:fldCharType="separate"/>
            </w:r>
            <w:r w:rsidRPr="004260C8">
              <w:rPr>
                <w:bCs/>
                <w:noProof/>
              </w:rPr>
              <w:t>1</w:t>
            </w:r>
            <w:r w:rsidRPr="004260C8">
              <w:rPr>
                <w:bCs/>
              </w:rPr>
              <w:fldChar w:fldCharType="end"/>
            </w:r>
            <w:r w:rsidRPr="004260C8">
              <w:rPr>
                <w:bCs/>
              </w:rPr>
              <w:t>)</w:t>
            </w:r>
          </w:p>
        </w:tc>
      </w:tr>
    </w:tbl>
    <w:p w14:paraId="5013CB71" w14:textId="77777777" w:rsidR="00824237" w:rsidRPr="004260C8" w:rsidRDefault="00824237" w:rsidP="00824237">
      <w:pPr>
        <w:spacing w:line="480" w:lineRule="auto"/>
      </w:pPr>
    </w:p>
    <w:p w14:paraId="22707EAD" w14:textId="77777777" w:rsidR="00824237" w:rsidRPr="004260C8" w:rsidRDefault="00824237" w:rsidP="00824237">
      <w:pPr>
        <w:spacing w:line="480" w:lineRule="auto"/>
        <w:rPr>
          <w:rStyle w:val="normaltextrun"/>
          <w:iCs/>
          <w:color w:val="000000" w:themeColor="text1"/>
        </w:rPr>
      </w:pPr>
      <w:r w:rsidRPr="004260C8">
        <w:rPr>
          <w:rStyle w:val="normaltextrun"/>
          <w:color w:val="000000" w:themeColor="text1"/>
        </w:rPr>
        <w:t xml:space="preserve">Where </w:t>
      </w:r>
      <w:r w:rsidRPr="004260C8">
        <w:rPr>
          <w:rStyle w:val="normaltextrun"/>
          <w:i/>
          <w:iCs/>
          <w:color w:val="000000" w:themeColor="text1"/>
        </w:rPr>
        <w:t xml:space="preserve">X </w:t>
      </w:r>
      <w:r w:rsidRPr="004260C8">
        <w:rPr>
          <w:rStyle w:val="normaltextrun"/>
          <w:color w:val="000000" w:themeColor="text1"/>
        </w:rPr>
        <w:t xml:space="preserve">is a matrix of observed confounders, </w:t>
      </w:r>
      <w:r w:rsidRPr="004260C8">
        <w:rPr>
          <w:rStyle w:val="normaltextrun"/>
          <w:i/>
          <w:iCs/>
          <w:color w:val="000000" w:themeColor="text1"/>
        </w:rPr>
        <w:t xml:space="preserve">S </w:t>
      </w:r>
      <w:r w:rsidRPr="004260C8">
        <w:rPr>
          <w:rStyle w:val="normaltextrun"/>
          <w:color w:val="000000" w:themeColor="text1"/>
        </w:rPr>
        <w:t xml:space="preserve">is the covariance matrix of </w:t>
      </w:r>
      <w:r w:rsidRPr="004260C8">
        <w:rPr>
          <w:rStyle w:val="normaltextrun"/>
          <w:i/>
          <w:iCs/>
          <w:color w:val="000000" w:themeColor="text1"/>
        </w:rPr>
        <w:t xml:space="preserve">X </w:t>
      </w:r>
      <w:proofErr w:type="gramStart"/>
      <w:r w:rsidRPr="004260C8">
        <w:rPr>
          <w:rStyle w:val="normaltextrun"/>
          <w:color w:val="000000" w:themeColor="text1"/>
        </w:rPr>
        <w:t>and</w:t>
      </w:r>
      <w:r w:rsidRPr="004260C8">
        <w:rPr>
          <w:rStyle w:val="normaltextrun"/>
          <w:i/>
          <w:iCs/>
          <w:color w:val="000000" w:themeColor="text1"/>
        </w:rPr>
        <w:t xml:space="preserve">  X</w:t>
      </w:r>
      <w:r w:rsidRPr="004260C8">
        <w:rPr>
          <w:rStyle w:val="normaltextrun"/>
          <w:i/>
          <w:iCs/>
          <w:color w:val="000000" w:themeColor="text1"/>
          <w:vertAlign w:val="superscript"/>
        </w:rPr>
        <w:t>T</w:t>
      </w:r>
      <w:proofErr w:type="gramEnd"/>
      <w:r w:rsidRPr="004260C8">
        <w:rPr>
          <w:rStyle w:val="normaltextrun"/>
          <w:i/>
          <w:iCs/>
          <w:color w:val="000000" w:themeColor="text1"/>
          <w:vertAlign w:val="superscript"/>
        </w:rPr>
        <w:t xml:space="preserve"> </w:t>
      </w:r>
      <w:r w:rsidRPr="004260C8">
        <w:rPr>
          <w:rStyle w:val="normaltextrun"/>
          <w:color w:val="000000" w:themeColor="text1"/>
          <w:vertAlign w:val="superscript"/>
        </w:rPr>
        <w:t xml:space="preserve"> </w:t>
      </w:r>
      <w:r w:rsidRPr="004260C8">
        <w:rPr>
          <w:rStyle w:val="normaltextrun"/>
          <w:color w:val="000000" w:themeColor="text1"/>
        </w:rPr>
        <w:t xml:space="preserve">(The transpose of </w:t>
      </w:r>
      <w:r w:rsidRPr="004260C8">
        <w:rPr>
          <w:rStyle w:val="normaltextrun"/>
          <w:i/>
          <w:iCs/>
          <w:color w:val="000000" w:themeColor="text1"/>
        </w:rPr>
        <w:t xml:space="preserve">X </w:t>
      </w:r>
      <w:r w:rsidRPr="004260C8">
        <w:rPr>
          <w:rStyle w:val="normaltextrun"/>
          <w:color w:val="000000" w:themeColor="text1"/>
        </w:rPr>
        <w:t xml:space="preserve">).  </w:t>
      </w:r>
      <w:r w:rsidRPr="004260C8">
        <w:rPr>
          <w:rStyle w:val="normaltextrun"/>
          <w:i/>
          <w:iCs/>
          <w:color w:val="000000" w:themeColor="text1"/>
        </w:rPr>
        <w:t xml:space="preserve">W </w:t>
      </w:r>
      <w:r w:rsidRPr="004260C8">
        <w:rPr>
          <w:rStyle w:val="normaltextrun"/>
          <w:color w:val="000000" w:themeColor="text1"/>
        </w:rPr>
        <w:t xml:space="preserve">is a positive definite matrix of </w:t>
      </w:r>
      <w:proofErr w:type="gramStart"/>
      <w:r w:rsidRPr="004260C8">
        <w:rPr>
          <w:rStyle w:val="normaltextrun"/>
          <w:color w:val="000000" w:themeColor="text1"/>
        </w:rPr>
        <w:t>weights  and</w:t>
      </w:r>
      <w:proofErr w:type="gramEnd"/>
      <w:r w:rsidRPr="004260C8">
        <w:rPr>
          <w:rStyle w:val="normaltextrun"/>
          <w:color w:val="000000" w:themeColor="text1"/>
        </w:rPr>
        <w:t xml:space="preserve">  </w:t>
      </w:r>
      <m:oMath>
        <m:sSup>
          <m:sSupPr>
            <m:ctrlPr>
              <w:rPr>
                <w:rFonts w:ascii="Cambria Math" w:hAnsi="Cambria Math"/>
                <w:bCs/>
                <w:i/>
                <w:iCs/>
              </w:rPr>
            </m:ctrlPr>
          </m:sSupPr>
          <m:e>
            <m:r>
              <w:rPr>
                <w:rFonts w:ascii="Cambria Math" w:hAnsi="Cambria Math"/>
              </w:rPr>
              <m:t>S</m:t>
            </m:r>
          </m:e>
          <m:sup>
            <m:f>
              <m:fPr>
                <m:type m:val="lin"/>
                <m:ctrlPr>
                  <w:rPr>
                    <w:rFonts w:ascii="Cambria Math" w:hAnsi="Cambria Math"/>
                    <w:bCs/>
                    <w:i/>
                    <w:iCs/>
                  </w:rPr>
                </m:ctrlPr>
              </m:fPr>
              <m:num>
                <m:r>
                  <w:rPr>
                    <w:rFonts w:ascii="Cambria Math" w:hAnsi="Cambria Math"/>
                  </w:rPr>
                  <m:t>-1</m:t>
                </m:r>
              </m:num>
              <m:den>
                <m:r>
                  <w:rPr>
                    <w:rFonts w:ascii="Cambria Math" w:hAnsi="Cambria Math"/>
                  </w:rPr>
                  <m:t>2</m:t>
                </m:r>
              </m:den>
            </m:f>
          </m:sup>
        </m:sSup>
      </m:oMath>
      <w:r w:rsidRPr="004260C8">
        <w:rPr>
          <w:rFonts w:eastAsiaTheme="minorEastAsia"/>
          <w:bCs/>
          <w:iCs/>
        </w:rPr>
        <w:t xml:space="preserve"> is the Cholesky decomposition of </w:t>
      </w:r>
      <w:r w:rsidRPr="004260C8">
        <w:rPr>
          <w:rFonts w:eastAsiaTheme="minorEastAsia"/>
          <w:bCs/>
          <w:i/>
        </w:rPr>
        <w:t xml:space="preserve">S.  </w:t>
      </w:r>
    </w:p>
    <w:p w14:paraId="07CB7A1E" w14:textId="323B9B11" w:rsidR="00824237" w:rsidRPr="00824237" w:rsidRDefault="00824237" w:rsidP="00824237">
      <w:pPr>
        <w:spacing w:line="480" w:lineRule="auto"/>
        <w:rPr>
          <w:rStyle w:val="normaltextrun"/>
        </w:rPr>
      </w:pPr>
      <w:r w:rsidRPr="00824237">
        <w:rPr>
          <w:highlight w:val="yellow"/>
        </w:rPr>
        <w:t>It is reasonable to think that the covariates in this study should not be given equal weights. Their potential confounding effect on treatment assignment will be different</w:t>
      </w:r>
      <w:r w:rsidRPr="00824237">
        <w:rPr>
          <w:highlight w:val="yellow"/>
        </w:rPr>
        <w:t xml:space="preserve"> [Are you 100% sure with </w:t>
      </w:r>
      <w:r w:rsidRPr="00824237">
        <w:rPr>
          <w:highlight w:val="yellow"/>
        </w:rPr>
        <w:lastRenderedPageBreak/>
        <w:t>what you are saying?]</w:t>
      </w:r>
      <w:r w:rsidRPr="00824237">
        <w:rPr>
          <w:highlight w:val="yellow"/>
        </w:rPr>
        <w:t>. The use of different weights by the genetic matching technique is a good way of attaining covariate balance for this study.</w:t>
      </w:r>
    </w:p>
    <w:p w14:paraId="24188174" w14:textId="6453FFC4" w:rsidR="00824237" w:rsidRDefault="00824237" w:rsidP="00824237">
      <w:pPr>
        <w:spacing w:line="480" w:lineRule="auto"/>
        <w:rPr>
          <w:rStyle w:val="normaltextrun"/>
          <w:color w:val="000000" w:themeColor="text1"/>
        </w:rPr>
      </w:pPr>
      <w:r>
        <w:tab/>
      </w:r>
      <w:r w:rsidRPr="004260C8">
        <w:t xml:space="preserve">In the proceeding exposition, </w:t>
      </w:r>
      <w:r>
        <w:t>we lay out the matching framework in application to our data.</w:t>
      </w:r>
      <w:r w:rsidRPr="004260C8">
        <w:t xml:space="preserve"> </w:t>
      </w:r>
    </w:p>
    <w:p w14:paraId="1DB53A84" w14:textId="41292813" w:rsidR="00824237" w:rsidRPr="004260C8" w:rsidRDefault="00824237" w:rsidP="00824237">
      <w:pPr>
        <w:spacing w:line="480" w:lineRule="auto"/>
        <w:rPr>
          <w:rStyle w:val="normaltextrun"/>
          <w:rFonts w:eastAsiaTheme="minorEastAsia"/>
          <w:color w:val="000000" w:themeColor="text1"/>
        </w:rPr>
      </w:pPr>
      <w:r>
        <w:rPr>
          <w:rStyle w:val="normaltextrun"/>
          <w:color w:val="000000" w:themeColor="text1"/>
        </w:rPr>
        <w:tab/>
      </w:r>
      <w:r w:rsidRPr="00BD3CBC">
        <w:rPr>
          <w:rStyle w:val="normaltextrun"/>
          <w:color w:val="000000" w:themeColor="text1"/>
          <w:highlight w:val="yellow"/>
        </w:rPr>
        <w:t xml:space="preserve">In this paper, remittance is our treatment variable. Let </w:t>
      </w:r>
      <m:oMath>
        <m:sSub>
          <m:sSubPr>
            <m:ctrlPr>
              <w:rPr>
                <w:rStyle w:val="normaltextrun"/>
                <w:rFonts w:ascii="Cambria Math" w:hAnsi="Cambria Math"/>
                <w:i/>
                <w:color w:val="000000" w:themeColor="text1"/>
                <w:highlight w:val="yellow"/>
              </w:rPr>
            </m:ctrlPr>
          </m:sSubPr>
          <m:e>
            <m:r>
              <w:rPr>
                <w:rStyle w:val="normaltextrun"/>
                <w:rFonts w:ascii="Cambria Math" w:hAnsi="Cambria Math"/>
                <w:color w:val="000000" w:themeColor="text1"/>
                <w:highlight w:val="yellow"/>
              </w:rPr>
              <m:t>Remit</m:t>
            </m:r>
          </m:e>
          <m:sub>
            <m:r>
              <w:rPr>
                <w:rStyle w:val="normaltextrun"/>
                <w:rFonts w:ascii="Cambria Math" w:hAnsi="Cambria Math"/>
                <w:color w:val="000000" w:themeColor="text1"/>
                <w:highlight w:val="yellow"/>
              </w:rPr>
              <m:t>i</m:t>
            </m:r>
          </m:sub>
        </m:sSub>
      </m:oMath>
      <w:r w:rsidRPr="00BD3CBC">
        <w:rPr>
          <w:rStyle w:val="normaltextrun"/>
          <w:rFonts w:eastAsiaTheme="minorEastAsia"/>
          <w:color w:val="000000" w:themeColor="text1"/>
          <w:highlight w:val="yellow"/>
        </w:rPr>
        <w:t xml:space="preserve"> be a dummy variable equal to 1 if an individual received remittances</w:t>
      </w:r>
      <w:r w:rsidRPr="00BD3CBC">
        <w:rPr>
          <w:rStyle w:val="normaltextrun"/>
          <w:rFonts w:eastAsiaTheme="minorEastAsia"/>
          <w:color w:val="000000" w:themeColor="text1"/>
          <w:highlight w:val="yellow"/>
        </w:rPr>
        <w:t xml:space="preserve"> [ You are not clear with the treatment and control group</w:t>
      </w:r>
      <w:r w:rsidRPr="00BD3CBC">
        <w:rPr>
          <w:rStyle w:val="normaltextrun"/>
          <w:rFonts w:eastAsiaTheme="minorEastAsia"/>
          <w:color w:val="000000" w:themeColor="text1"/>
          <w:highlight w:val="yellow"/>
        </w:rPr>
        <w:t>.</w:t>
      </w:r>
      <w:r w:rsidRPr="00BD3CBC">
        <w:rPr>
          <w:rStyle w:val="normaltextrun"/>
          <w:rFonts w:eastAsiaTheme="minorEastAsia"/>
          <w:color w:val="000000" w:themeColor="text1"/>
          <w:highlight w:val="yellow"/>
        </w:rPr>
        <w:t xml:space="preserve"> You </w:t>
      </w:r>
      <w:proofErr w:type="gramStart"/>
      <w:r w:rsidRPr="00BD3CBC">
        <w:rPr>
          <w:rStyle w:val="normaltextrun"/>
          <w:rFonts w:eastAsiaTheme="minorEastAsia"/>
          <w:color w:val="000000" w:themeColor="text1"/>
          <w:highlight w:val="yellow"/>
        </w:rPr>
        <w:t>have to</w:t>
      </w:r>
      <w:proofErr w:type="gramEnd"/>
      <w:r w:rsidRPr="00BD3CBC">
        <w:rPr>
          <w:rStyle w:val="normaltextrun"/>
          <w:rFonts w:eastAsiaTheme="minorEastAsia"/>
          <w:color w:val="000000" w:themeColor="text1"/>
          <w:highlight w:val="yellow"/>
        </w:rPr>
        <w:t xml:space="preserve"> categorically state the treatment group and control group. Don’t assume readers know what you are doing</w:t>
      </w:r>
      <w:proofErr w:type="gramStart"/>
      <w:r w:rsidRPr="00BD3CBC">
        <w:rPr>
          <w:rStyle w:val="normaltextrun"/>
          <w:rFonts w:eastAsiaTheme="minorEastAsia"/>
          <w:color w:val="000000" w:themeColor="text1"/>
          <w:highlight w:val="yellow"/>
        </w:rPr>
        <w:t xml:space="preserve">. </w:t>
      </w:r>
      <w:r w:rsidR="00BD3CBC" w:rsidRPr="00BD3CBC">
        <w:rPr>
          <w:rStyle w:val="normaltextrun"/>
          <w:rFonts w:eastAsiaTheme="minorEastAsia"/>
          <w:color w:val="000000" w:themeColor="text1"/>
          <w:highlight w:val="yellow"/>
        </w:rPr>
        <w:t>]</w:t>
      </w:r>
      <w:proofErr w:type="gramEnd"/>
      <w:r w:rsidRPr="004260C8">
        <w:rPr>
          <w:rStyle w:val="normaltextrun"/>
          <w:rFonts w:eastAsiaTheme="minorEastAsia"/>
          <w:color w:val="000000" w:themeColor="text1"/>
        </w:rPr>
        <w:t xml:space="preserve">  We define </w:t>
      </w:r>
      <m:oMath>
        <m:sSub>
          <m:sSubPr>
            <m:ctrlPr>
              <w:rPr>
                <w:rStyle w:val="normaltextrun"/>
                <w:rFonts w:ascii="Cambria Math" w:eastAsiaTheme="minorEastAsia" w:hAnsi="Cambria Math"/>
                <w:i/>
                <w:color w:val="000000" w:themeColor="text1"/>
              </w:rPr>
            </m:ctrlPr>
          </m:sSubPr>
          <m:e>
            <m:r>
              <w:rPr>
                <w:rStyle w:val="normaltextrun"/>
                <w:rFonts w:ascii="Cambria Math" w:eastAsiaTheme="minorEastAsia" w:hAnsi="Cambria Math"/>
                <w:color w:val="000000" w:themeColor="text1"/>
              </w:rPr>
              <m:t>Y</m:t>
            </m:r>
          </m:e>
          <m:sub>
            <m:r>
              <w:rPr>
                <w:rStyle w:val="normaltextrun"/>
                <w:rFonts w:ascii="Cambria Math" w:eastAsiaTheme="minorEastAsia" w:hAnsi="Cambria Math"/>
                <w:color w:val="000000" w:themeColor="text1"/>
              </w:rPr>
              <m:t>ij</m:t>
            </m:r>
          </m:sub>
        </m:sSub>
        <m:r>
          <w:rPr>
            <w:rStyle w:val="normaltextrun"/>
            <w:rFonts w:ascii="Cambria Math" w:eastAsiaTheme="minorEastAsia" w:hAnsi="Cambria Math"/>
            <w:color w:val="000000" w:themeColor="text1"/>
          </w:rPr>
          <m:t>(1)</m:t>
        </m:r>
      </m:oMath>
      <w:r w:rsidRPr="004260C8">
        <w:rPr>
          <w:rStyle w:val="normaltextrun"/>
          <w:rFonts w:eastAsiaTheme="minorEastAsia"/>
          <w:color w:val="000000" w:themeColor="text1"/>
        </w:rPr>
        <w:t xml:space="preserve"> as the outcome of political </w:t>
      </w:r>
      <w:proofErr w:type="gramStart"/>
      <w:r w:rsidRPr="004260C8">
        <w:rPr>
          <w:rStyle w:val="normaltextrun"/>
          <w:rFonts w:eastAsiaTheme="minorEastAsia"/>
          <w:color w:val="000000" w:themeColor="text1"/>
        </w:rPr>
        <w:t>participation  measure</w:t>
      </w:r>
      <w:proofErr w:type="gramEnd"/>
      <w:r w:rsidRPr="004260C8">
        <w:rPr>
          <w:rStyle w:val="normaltextrun"/>
          <w:rFonts w:eastAsiaTheme="minorEastAsia"/>
          <w:color w:val="000000" w:themeColor="text1"/>
        </w:rPr>
        <w:t xml:space="preserve"> </w:t>
      </w:r>
      <w:r w:rsidRPr="004260C8">
        <w:rPr>
          <w:rStyle w:val="normaltextrun"/>
          <w:rFonts w:eastAsiaTheme="minorEastAsia"/>
          <w:i/>
          <w:iCs/>
          <w:color w:val="000000" w:themeColor="text1"/>
        </w:rPr>
        <w:t>j</w:t>
      </w:r>
      <w:r w:rsidRPr="004260C8">
        <w:rPr>
          <w:rStyle w:val="normaltextrun"/>
          <w:rFonts w:eastAsiaTheme="minorEastAsia"/>
          <w:color w:val="000000" w:themeColor="text1"/>
        </w:rPr>
        <w:t xml:space="preserve"> of an individual </w:t>
      </w:r>
      <w:proofErr w:type="spellStart"/>
      <w:r w:rsidRPr="004260C8">
        <w:rPr>
          <w:rStyle w:val="normaltextrun"/>
          <w:rFonts w:eastAsiaTheme="minorEastAsia"/>
          <w:i/>
          <w:iCs/>
          <w:color w:val="000000" w:themeColor="text1"/>
        </w:rPr>
        <w:t>i</w:t>
      </w:r>
      <w:proofErr w:type="spellEnd"/>
      <w:r w:rsidRPr="004260C8">
        <w:rPr>
          <w:rStyle w:val="normaltextrun"/>
          <w:rFonts w:eastAsiaTheme="minorEastAsia"/>
          <w:i/>
          <w:iCs/>
          <w:color w:val="000000" w:themeColor="text1"/>
        </w:rPr>
        <w:t xml:space="preserve"> </w:t>
      </w:r>
      <w:r w:rsidRPr="004260C8">
        <w:rPr>
          <w:rStyle w:val="normaltextrun"/>
          <w:rFonts w:eastAsiaTheme="minorEastAsia"/>
          <w:color w:val="000000" w:themeColor="text1"/>
        </w:rPr>
        <w:t xml:space="preserve">who received remittances and </w:t>
      </w:r>
      <m:oMath>
        <m:sSub>
          <m:sSubPr>
            <m:ctrlPr>
              <w:rPr>
                <w:rStyle w:val="normaltextrun"/>
                <w:rFonts w:ascii="Cambria Math" w:eastAsiaTheme="minorEastAsia" w:hAnsi="Cambria Math"/>
                <w:i/>
                <w:color w:val="000000" w:themeColor="text1"/>
              </w:rPr>
            </m:ctrlPr>
          </m:sSubPr>
          <m:e>
            <m:r>
              <w:rPr>
                <w:rStyle w:val="normaltextrun"/>
                <w:rFonts w:ascii="Cambria Math" w:eastAsiaTheme="minorEastAsia" w:hAnsi="Cambria Math"/>
                <w:color w:val="000000" w:themeColor="text1"/>
              </w:rPr>
              <m:t>Y</m:t>
            </m:r>
          </m:e>
          <m:sub>
            <m:r>
              <w:rPr>
                <w:rStyle w:val="normaltextrun"/>
                <w:rFonts w:ascii="Cambria Math" w:eastAsiaTheme="minorEastAsia" w:hAnsi="Cambria Math"/>
                <w:color w:val="000000" w:themeColor="text1"/>
              </w:rPr>
              <m:t>ij</m:t>
            </m:r>
          </m:sub>
        </m:sSub>
        <m:r>
          <w:rPr>
            <w:rStyle w:val="normaltextrun"/>
            <w:rFonts w:ascii="Cambria Math" w:eastAsiaTheme="minorEastAsia" w:hAnsi="Cambria Math"/>
            <w:color w:val="000000" w:themeColor="text1"/>
          </w:rPr>
          <m:t>(0)</m:t>
        </m:r>
      </m:oMath>
      <w:r w:rsidRPr="004260C8">
        <w:rPr>
          <w:rStyle w:val="normaltextrun"/>
          <w:rFonts w:eastAsiaTheme="minorEastAsia"/>
          <w:color w:val="000000" w:themeColor="text1"/>
        </w:rPr>
        <w:t xml:space="preserve"> as the outcome of political participation measure </w:t>
      </w:r>
      <w:r w:rsidRPr="004260C8">
        <w:rPr>
          <w:rStyle w:val="normaltextrun"/>
          <w:rFonts w:eastAsiaTheme="minorEastAsia"/>
          <w:i/>
          <w:iCs/>
          <w:color w:val="000000" w:themeColor="text1"/>
        </w:rPr>
        <w:t>j</w:t>
      </w:r>
      <w:r w:rsidRPr="004260C8">
        <w:rPr>
          <w:rStyle w:val="normaltextrun"/>
          <w:rFonts w:eastAsiaTheme="minorEastAsia"/>
          <w:color w:val="000000" w:themeColor="text1"/>
        </w:rPr>
        <w:t xml:space="preserve"> of an individual </w:t>
      </w:r>
      <w:proofErr w:type="spellStart"/>
      <w:r w:rsidRPr="004260C8">
        <w:rPr>
          <w:rStyle w:val="normaltextrun"/>
          <w:rFonts w:eastAsiaTheme="minorEastAsia"/>
          <w:i/>
          <w:iCs/>
          <w:color w:val="000000" w:themeColor="text1"/>
        </w:rPr>
        <w:t>i</w:t>
      </w:r>
      <w:proofErr w:type="spellEnd"/>
      <w:r w:rsidRPr="004260C8">
        <w:rPr>
          <w:rStyle w:val="normaltextrun"/>
          <w:rFonts w:eastAsiaTheme="minorEastAsia"/>
          <w:i/>
          <w:iCs/>
          <w:color w:val="000000" w:themeColor="text1"/>
        </w:rPr>
        <w:t xml:space="preserve"> </w:t>
      </w:r>
      <w:r w:rsidRPr="004260C8">
        <w:rPr>
          <w:rStyle w:val="normaltextrun"/>
          <w:rFonts w:eastAsiaTheme="minorEastAsia"/>
          <w:color w:val="000000" w:themeColor="text1"/>
        </w:rPr>
        <w:t xml:space="preserve">who did not receive remittances. We let </w:t>
      </w:r>
      <m:oMath>
        <m:sSub>
          <m:sSubPr>
            <m:ctrlPr>
              <w:rPr>
                <w:rStyle w:val="normaltextrun"/>
                <w:rFonts w:ascii="Cambria Math" w:eastAsiaTheme="minorEastAsia" w:hAnsi="Cambria Math"/>
                <w:i/>
                <w:color w:val="000000" w:themeColor="text1"/>
              </w:rPr>
            </m:ctrlPr>
          </m:sSubPr>
          <m:e>
            <m:r>
              <w:rPr>
                <w:rStyle w:val="normaltextrun"/>
                <w:rFonts w:ascii="Cambria Math" w:eastAsiaTheme="minorEastAsia" w:hAnsi="Cambria Math"/>
                <w:color w:val="000000" w:themeColor="text1"/>
              </w:rPr>
              <m:t>X</m:t>
            </m:r>
          </m:e>
          <m:sub>
            <m:r>
              <w:rPr>
                <w:rStyle w:val="normaltextrun"/>
                <w:rFonts w:ascii="Cambria Math" w:eastAsiaTheme="minorEastAsia" w:hAnsi="Cambria Math"/>
                <w:color w:val="000000" w:themeColor="text1"/>
              </w:rPr>
              <m:t>i</m:t>
            </m:r>
          </m:sub>
        </m:sSub>
      </m:oMath>
      <w:r w:rsidRPr="004260C8">
        <w:rPr>
          <w:rStyle w:val="normaltextrun"/>
          <w:rFonts w:eastAsiaTheme="minorEastAsia"/>
          <w:color w:val="000000" w:themeColor="text1"/>
        </w:rPr>
        <w:t xml:space="preserve"> be a vector of pretreatment covariates. For identification, we make a conditional ignorability or exchangeability assumption. That </w:t>
      </w:r>
      <w:proofErr w:type="gramStart"/>
      <w:r w:rsidRPr="004260C8">
        <w:rPr>
          <w:rStyle w:val="normaltextrun"/>
          <w:rFonts w:eastAsiaTheme="minorEastAsia"/>
          <w:color w:val="000000" w:themeColor="text1"/>
        </w:rPr>
        <w:t>is</w:t>
      </w:r>
      <w:proofErr w:type="gramEnd"/>
      <w:r w:rsidRPr="004260C8">
        <w:rPr>
          <w:rStyle w:val="normaltextrun"/>
          <w:rFonts w:eastAsiaTheme="minorEastAsia"/>
          <w:color w:val="000000" w:themeColor="text1"/>
        </w:rPr>
        <w:t xml:space="preserve"> we assume that the individual’s potential outcome as regards political participation is independent of his potential treatment assignment, conditional on the pretreatment covariates </w:t>
      </w:r>
      <m:oMath>
        <m:sSub>
          <m:sSubPr>
            <m:ctrlPr>
              <w:rPr>
                <w:rStyle w:val="normaltextrun"/>
                <w:rFonts w:ascii="Cambria Math" w:eastAsiaTheme="minorEastAsia" w:hAnsi="Cambria Math"/>
                <w:i/>
                <w:color w:val="000000" w:themeColor="text1"/>
              </w:rPr>
            </m:ctrlPr>
          </m:sSubPr>
          <m:e>
            <m:r>
              <w:rPr>
                <w:rStyle w:val="normaltextrun"/>
                <w:rFonts w:ascii="Cambria Math" w:eastAsiaTheme="minorEastAsia" w:hAnsi="Cambria Math"/>
                <w:color w:val="000000" w:themeColor="text1"/>
              </w:rPr>
              <m:t>X</m:t>
            </m:r>
          </m:e>
          <m:sub>
            <m:r>
              <w:rPr>
                <w:rStyle w:val="normaltextrun"/>
                <w:rFonts w:ascii="Cambria Math" w:eastAsiaTheme="minorEastAsia" w:hAnsi="Cambria Math"/>
                <w:color w:val="000000" w:themeColor="text1"/>
              </w:rPr>
              <m:t>i</m:t>
            </m:r>
          </m:sub>
        </m:sSub>
      </m:oMath>
      <w:r w:rsidRPr="004260C8">
        <w:rPr>
          <w:rStyle w:val="normaltextrun"/>
          <w:rFonts w:eastAsiaTheme="minorEastAsia"/>
          <w:color w:val="000000" w:themeColor="text1"/>
        </w:rPr>
        <w:t>.That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418"/>
        <w:gridCol w:w="496"/>
      </w:tblGrid>
      <w:tr w:rsidR="00824237" w:rsidRPr="004260C8" w14:paraId="237CAF99" w14:textId="77777777" w:rsidTr="005A6322">
        <w:tc>
          <w:tcPr>
            <w:tcW w:w="270" w:type="dxa"/>
            <w:vAlign w:val="center"/>
          </w:tcPr>
          <w:p w14:paraId="4C929991" w14:textId="77777777" w:rsidR="00824237" w:rsidRPr="004260C8" w:rsidRDefault="00824237" w:rsidP="005A6322">
            <w:pPr>
              <w:spacing w:line="480" w:lineRule="auto"/>
              <w:jc w:val="center"/>
              <w:rPr>
                <w:b/>
                <w:u w:val="single"/>
              </w:rPr>
            </w:pPr>
          </w:p>
        </w:tc>
        <w:tc>
          <w:tcPr>
            <w:tcW w:w="8418" w:type="dxa"/>
            <w:vAlign w:val="center"/>
          </w:tcPr>
          <w:p w14:paraId="2F1A31AF" w14:textId="77777777" w:rsidR="00824237" w:rsidRPr="004260C8" w:rsidRDefault="00824237" w:rsidP="005A6322">
            <w:pPr>
              <w:spacing w:line="480" w:lineRule="auto"/>
              <w:jc w:val="center"/>
              <w:rPr>
                <w:b/>
                <w:iCs/>
                <w:sz w:val="28"/>
                <w:szCs w:val="28"/>
                <w:u w:val="single"/>
              </w:rPr>
            </w:pPr>
            <m:oMathPara>
              <m:oMath>
                <m:d>
                  <m:dPr>
                    <m:begChr m:val="{"/>
                    <m:endChr m:val="}"/>
                    <m:ctrlPr>
                      <w:rPr>
                        <w:rFonts w:ascii="Cambria Math" w:hAnsi="Cambria Math"/>
                        <w:b/>
                        <w:iCs/>
                        <w:sz w:val="28"/>
                        <w:szCs w:val="28"/>
                      </w:rPr>
                    </m:ctrlPr>
                  </m:dPr>
                  <m:e>
                    <m:sSub>
                      <m:sSubPr>
                        <m:ctrlPr>
                          <w:rPr>
                            <w:rFonts w:ascii="Cambria Math" w:hAnsi="Cambria Math"/>
                            <w:bCs/>
                            <w:i/>
                            <w:sz w:val="28"/>
                            <w:szCs w:val="28"/>
                          </w:rPr>
                        </m:ctrlPr>
                      </m:sSubPr>
                      <m:e>
                        <m:r>
                          <w:rPr>
                            <w:rFonts w:ascii="Cambria Math" w:hAnsi="Cambria Math"/>
                            <w:sz w:val="28"/>
                            <w:szCs w:val="28"/>
                          </w:rPr>
                          <m:t>Remit</m:t>
                        </m:r>
                      </m:e>
                      <m:sub>
                        <m:r>
                          <w:rPr>
                            <w:rFonts w:ascii="Cambria Math" w:hAnsi="Cambria Math"/>
                            <w:sz w:val="28"/>
                            <w:szCs w:val="28"/>
                          </w:rPr>
                          <m:t>i</m:t>
                        </m:r>
                      </m:sub>
                    </m:sSub>
                    <m:r>
                      <w:rPr>
                        <w:rFonts w:ascii="Cambria Math" w:hAnsi="Cambria Math"/>
                        <w:sz w:val="28"/>
                        <w:szCs w:val="28"/>
                      </w:rPr>
                      <m:t xml:space="preserve"> </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Y</m:t>
                        </m:r>
                      </m:e>
                      <m:sub>
                        <m:r>
                          <m:rPr>
                            <m:sty m:val="p"/>
                          </m:rPr>
                          <w:rPr>
                            <w:rFonts w:ascii="Cambria Math" w:hAnsi="Cambria Math"/>
                            <w:sz w:val="28"/>
                            <w:szCs w:val="28"/>
                          </w:rPr>
                          <m:t>ij</m:t>
                        </m:r>
                      </m:sub>
                    </m:sSub>
                    <m:r>
                      <w:rPr>
                        <w:rFonts w:ascii="Cambria Math" w:hAnsi="Cambria Math"/>
                        <w:sz w:val="28"/>
                        <w:szCs w:val="28"/>
                      </w:rPr>
                      <m:t>(1)</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hAnsi="Cambria Math"/>
                            <w:sz w:val="28"/>
                            <w:szCs w:val="28"/>
                          </w:rPr>
                          <m:t>Y</m:t>
                        </m:r>
                      </m:e>
                      <m:sub>
                        <m:r>
                          <m:rPr>
                            <m:sty m:val="p"/>
                          </m:rPr>
                          <w:rPr>
                            <w:rFonts w:ascii="Cambria Math" w:hAnsi="Cambria Math"/>
                            <w:sz w:val="28"/>
                            <w:szCs w:val="28"/>
                          </w:rPr>
                          <m:t>ij</m:t>
                        </m:r>
                      </m:sub>
                    </m:sSub>
                    <m:r>
                      <w:rPr>
                        <w:rFonts w:ascii="Cambria Math" w:hAnsi="Cambria Math"/>
                        <w:sz w:val="28"/>
                        <w:szCs w:val="28"/>
                      </w:rPr>
                      <m:t>(0)</m:t>
                    </m:r>
                  </m:e>
                </m:d>
                <m:r>
                  <m:rPr>
                    <m:sty m:val="b"/>
                  </m:rP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i</m:t>
                    </m:r>
                  </m:sub>
                </m:sSub>
              </m:oMath>
            </m:oMathPara>
          </w:p>
        </w:tc>
        <w:tc>
          <w:tcPr>
            <w:tcW w:w="484" w:type="dxa"/>
            <w:vAlign w:val="center"/>
          </w:tcPr>
          <w:p w14:paraId="1AF0D088" w14:textId="77777777" w:rsidR="00824237" w:rsidRPr="004260C8" w:rsidRDefault="00824237" w:rsidP="005A6322">
            <w:pPr>
              <w:spacing w:line="480" w:lineRule="auto"/>
              <w:jc w:val="center"/>
            </w:pPr>
            <w:r w:rsidRPr="004260C8">
              <w:t>(</w:t>
            </w:r>
            <w:r w:rsidRPr="004260C8">
              <w:fldChar w:fldCharType="begin"/>
            </w:r>
            <w:r w:rsidRPr="004260C8">
              <w:instrText xml:space="preserve"> SEQ Eq \* MERGEFORMAT </w:instrText>
            </w:r>
            <w:r w:rsidRPr="004260C8">
              <w:fldChar w:fldCharType="separate"/>
            </w:r>
            <w:r w:rsidRPr="004260C8">
              <w:rPr>
                <w:noProof/>
              </w:rPr>
              <w:t>2</w:t>
            </w:r>
            <w:r w:rsidRPr="004260C8">
              <w:fldChar w:fldCharType="end"/>
            </w:r>
            <w:r w:rsidRPr="004260C8">
              <w:t>)</w:t>
            </w:r>
          </w:p>
        </w:tc>
      </w:tr>
    </w:tbl>
    <w:p w14:paraId="01695149" w14:textId="77777777" w:rsidR="00824237" w:rsidRPr="004260C8" w:rsidRDefault="00824237" w:rsidP="00824237">
      <w:pPr>
        <w:spacing w:line="480" w:lineRule="auto"/>
        <w:rPr>
          <w:rStyle w:val="normaltextrun"/>
          <w:rFonts w:eastAsiaTheme="minorEastAsia"/>
          <w:color w:val="000000" w:themeColor="text1"/>
        </w:rPr>
      </w:pPr>
    </w:p>
    <w:p w14:paraId="406002AF" w14:textId="77777777" w:rsidR="00824237" w:rsidRPr="004260C8" w:rsidRDefault="00824237" w:rsidP="00824237">
      <w:pPr>
        <w:spacing w:line="480" w:lineRule="auto"/>
        <w:rPr>
          <w:rStyle w:val="normaltextrun"/>
          <w:rFonts w:eastAsiaTheme="minorEastAsia"/>
          <w:color w:val="000000" w:themeColor="text1"/>
        </w:rPr>
      </w:pPr>
      <w:r w:rsidRPr="004260C8">
        <w:rPr>
          <w:rStyle w:val="normaltextrun"/>
          <w:rFonts w:eastAsiaTheme="minorEastAsia"/>
          <w:color w:val="000000" w:themeColor="text1"/>
        </w:rPr>
        <w:t xml:space="preserve">This implies that upon controlling for the pretreatment covariates, the selection into treatment is approximately random. By conditioning on </w:t>
      </w:r>
      <m:oMath>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i</m:t>
            </m:r>
          </m:sub>
        </m:sSub>
      </m:oMath>
      <w:r w:rsidRPr="004260C8">
        <w:rPr>
          <w:rFonts w:eastAsiaTheme="minorEastAsia"/>
          <w:bCs/>
          <w:sz w:val="28"/>
          <w:szCs w:val="28"/>
        </w:rPr>
        <w:t xml:space="preserve">, </w:t>
      </w:r>
      <w:r w:rsidRPr="004260C8">
        <w:rPr>
          <w:rFonts w:eastAsiaTheme="minorEastAsia"/>
          <w:bCs/>
        </w:rPr>
        <w:t>we ensure</w:t>
      </w:r>
      <w:r w:rsidRPr="004260C8">
        <w:rPr>
          <w:rStyle w:val="normaltextrun"/>
          <w:rFonts w:eastAsiaTheme="minorEastAsia"/>
          <w:color w:val="000000" w:themeColor="text1"/>
        </w:rPr>
        <w:t xml:space="preserve"> that any observed confounders do not affect treatment and control assignments. We attempt to control for most covariates that we believe could potentially affect the reception of remittances. This assumption will be valid if our sensitivity analysis shows that our treatment effects are not very sensitive to unobserved confounders.</w:t>
      </w:r>
    </w:p>
    <w:p w14:paraId="3E53D103" w14:textId="77777777" w:rsidR="00824237" w:rsidRPr="004260C8" w:rsidRDefault="00824237" w:rsidP="00824237">
      <w:pPr>
        <w:spacing w:line="480" w:lineRule="auto"/>
        <w:rPr>
          <w:rStyle w:val="normaltextrun"/>
          <w:rFonts w:eastAsiaTheme="minorEastAsia"/>
          <w:color w:val="000000" w:themeColor="text1"/>
        </w:rPr>
      </w:pPr>
      <w:r w:rsidRPr="004260C8">
        <w:rPr>
          <w:rStyle w:val="normaltextrun"/>
          <w:rFonts w:eastAsiaTheme="minorEastAsia"/>
          <w:color w:val="000000" w:themeColor="text1"/>
        </w:rPr>
        <w:lastRenderedPageBreak/>
        <w:t>We implement the genetic matching procedure to build a representative control group</w:t>
      </w:r>
      <w:proofErr w:type="gramStart"/>
      <w:r w:rsidRPr="004260C8">
        <w:rPr>
          <w:rStyle w:val="normaltextrun"/>
          <w:rFonts w:eastAsiaTheme="minorEastAsia"/>
          <w:color w:val="000000" w:themeColor="text1"/>
        </w:rPr>
        <w:t xml:space="preserve">.  </w:t>
      </w:r>
      <w:proofErr w:type="gramEnd"/>
      <w:r w:rsidRPr="004260C8">
        <w:rPr>
          <w:rStyle w:val="normaltextrun"/>
          <w:rFonts w:eastAsiaTheme="minorEastAsia"/>
          <w:color w:val="000000" w:themeColor="text1"/>
        </w:rPr>
        <w:t>We then proceed to estimate the treatment effects. The idea is to compare the outcomes of political participation of an observation in the treatment group to the political participation outcomes of its matched counterpart in the control group</w:t>
      </w:r>
      <w:proofErr w:type="gramStart"/>
      <w:r w:rsidRPr="004260C8">
        <w:rPr>
          <w:rStyle w:val="normaltextrun"/>
          <w:rFonts w:eastAsiaTheme="minorEastAsia"/>
          <w:color w:val="000000" w:themeColor="text1"/>
        </w:rPr>
        <w:t xml:space="preserve">.  </w:t>
      </w:r>
      <w:proofErr w:type="gramEnd"/>
      <w:r w:rsidRPr="004260C8">
        <w:rPr>
          <w:rStyle w:val="normaltextrun"/>
          <w:rFonts w:eastAsiaTheme="minorEastAsia"/>
          <w:color w:val="000000" w:themeColor="text1"/>
        </w:rPr>
        <w:t xml:space="preserve">We concentrate on the Average Treatment Effects on the Treated (ATT). Rather than average over the entire sample, we average over the treated group as this is more representative. The ATT is presented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418"/>
        <w:gridCol w:w="496"/>
      </w:tblGrid>
      <w:tr w:rsidR="00824237" w:rsidRPr="004260C8" w14:paraId="2D243B1B" w14:textId="77777777" w:rsidTr="005A6322">
        <w:trPr>
          <w:trHeight w:val="519"/>
        </w:trPr>
        <w:tc>
          <w:tcPr>
            <w:tcW w:w="270" w:type="dxa"/>
            <w:vAlign w:val="center"/>
          </w:tcPr>
          <w:p w14:paraId="30863270" w14:textId="77777777" w:rsidR="00824237" w:rsidRPr="004260C8" w:rsidRDefault="00824237" w:rsidP="005A6322">
            <w:pPr>
              <w:spacing w:line="480" w:lineRule="auto"/>
              <w:jc w:val="center"/>
              <w:rPr>
                <w:b/>
                <w:i/>
                <w:iCs/>
                <w:u w:val="single"/>
              </w:rPr>
            </w:pPr>
          </w:p>
        </w:tc>
        <w:tc>
          <w:tcPr>
            <w:tcW w:w="8418" w:type="dxa"/>
            <w:vAlign w:val="center"/>
          </w:tcPr>
          <w:p w14:paraId="2749BE11" w14:textId="77777777" w:rsidR="00824237" w:rsidRPr="004260C8" w:rsidRDefault="00824237" w:rsidP="005A6322">
            <w:pPr>
              <w:spacing w:line="480" w:lineRule="auto"/>
              <w:rPr>
                <w:rStyle w:val="normaltextrun"/>
                <w:i/>
                <w:iCs/>
                <w:color w:val="000000" w:themeColor="text1"/>
              </w:rPr>
            </w:pPr>
            <m:oMathPara>
              <m:oMath>
                <m:sSub>
                  <m:sSubPr>
                    <m:ctrlPr>
                      <w:rPr>
                        <w:rStyle w:val="normaltextrun"/>
                        <w:rFonts w:ascii="Cambria Math" w:hAnsi="Cambria Math"/>
                        <w:i/>
                        <w:iCs/>
                        <w:color w:val="000000" w:themeColor="text1"/>
                      </w:rPr>
                    </m:ctrlPr>
                  </m:sSubPr>
                  <m:e>
                    <m:r>
                      <w:rPr>
                        <w:rStyle w:val="normaltextrun"/>
                        <w:rFonts w:ascii="Cambria Math" w:hAnsi="Cambria Math"/>
                        <w:color w:val="000000" w:themeColor="text1"/>
                      </w:rPr>
                      <m:t>τ</m:t>
                    </m:r>
                  </m:e>
                  <m:sub>
                    <m:sSub>
                      <m:sSubPr>
                        <m:ctrlPr>
                          <w:rPr>
                            <w:rStyle w:val="normaltextrun"/>
                            <w:rFonts w:ascii="Cambria Math" w:hAnsi="Cambria Math"/>
                            <w:i/>
                            <w:iCs/>
                            <w:color w:val="000000" w:themeColor="text1"/>
                          </w:rPr>
                        </m:ctrlPr>
                      </m:sSubPr>
                      <m:e>
                        <m:r>
                          <w:rPr>
                            <w:rStyle w:val="normaltextrun"/>
                            <w:rFonts w:ascii="Cambria Math" w:hAnsi="Cambria Math"/>
                            <w:color w:val="000000" w:themeColor="text1"/>
                          </w:rPr>
                          <m:t>ATT</m:t>
                        </m:r>
                      </m:e>
                      <m:sub>
                        <m:r>
                          <w:rPr>
                            <w:rStyle w:val="normaltextrun"/>
                            <w:rFonts w:ascii="Cambria Math" w:hAnsi="Cambria Math"/>
                            <w:color w:val="000000" w:themeColor="text1"/>
                          </w:rPr>
                          <m:t>j</m:t>
                        </m:r>
                      </m:sub>
                    </m:sSub>
                  </m:sub>
                </m:sSub>
                <m:r>
                  <w:rPr>
                    <w:rStyle w:val="normaltextrun"/>
                    <w:rFonts w:ascii="Cambria Math" w:hAnsi="Cambria Math"/>
                    <w:color w:val="000000" w:themeColor="text1"/>
                  </w:rPr>
                  <m:t>=E</m:t>
                </m:r>
                <m:d>
                  <m:dPr>
                    <m:begChr m:val="["/>
                    <m:endChr m:val="]"/>
                    <m:ctrlPr>
                      <w:rPr>
                        <w:rStyle w:val="normaltextrun"/>
                        <w:rFonts w:ascii="Cambria Math" w:hAnsi="Cambria Math"/>
                        <w:i/>
                        <w:iCs/>
                        <w:color w:val="000000" w:themeColor="text1"/>
                      </w:rPr>
                    </m:ctrlPr>
                  </m:dPr>
                  <m:e>
                    <m:r>
                      <w:rPr>
                        <w:rFonts w:ascii="Cambria Math" w:hAnsi="Cambria Math"/>
                      </w:rPr>
                      <m:t>E</m:t>
                    </m:r>
                    <m:d>
                      <m:dPr>
                        <m:ctrlPr>
                          <w:rPr>
                            <w:rFonts w:ascii="Cambria Math" w:hAnsi="Cambria Math"/>
                            <w:bCs/>
                            <w:i/>
                            <w:iCs/>
                          </w:rPr>
                        </m:ctrlPr>
                      </m:dPr>
                      <m:e>
                        <m:sSub>
                          <m:sSubPr>
                            <m:ctrlPr>
                              <w:rPr>
                                <w:rFonts w:ascii="Cambria Math" w:hAnsi="Cambria Math"/>
                                <w:bCs/>
                                <w:i/>
                                <w:iCs/>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bCs/>
                                <w:i/>
                                <w:iCs/>
                              </w:rPr>
                            </m:ctrlPr>
                          </m:sSubPr>
                          <m:e>
                            <m:r>
                              <w:rPr>
                                <w:rFonts w:ascii="Cambria Math" w:hAnsi="Cambria Math"/>
                              </w:rPr>
                              <m:t>Remit</m:t>
                            </m:r>
                          </m:e>
                          <m:sub>
                            <m:r>
                              <w:rPr>
                                <w:rFonts w:ascii="Cambria Math" w:hAnsi="Cambria Math"/>
                              </w:rPr>
                              <m:t>i</m:t>
                            </m:r>
                          </m:sub>
                        </m:sSub>
                        <m:r>
                          <w:rPr>
                            <w:rFonts w:ascii="Cambria Math" w:hAnsi="Cambria Math"/>
                          </w:rPr>
                          <m:t>=1,</m:t>
                        </m:r>
                        <m:sSub>
                          <m:sSubPr>
                            <m:ctrlPr>
                              <w:rPr>
                                <w:rFonts w:ascii="Cambria Math" w:hAnsi="Cambria Math"/>
                                <w:bCs/>
                                <w:i/>
                                <w:iCs/>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bCs/>
                            <w:i/>
                            <w:iCs/>
                          </w:rPr>
                        </m:ctrlPr>
                      </m:dPr>
                      <m:e>
                        <m:sSub>
                          <m:sSubPr>
                            <m:ctrlPr>
                              <w:rPr>
                                <w:rFonts w:ascii="Cambria Math" w:hAnsi="Cambria Math"/>
                                <w:bCs/>
                                <w:i/>
                                <w:iCs/>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bCs/>
                                <w:i/>
                                <w:iCs/>
                              </w:rPr>
                            </m:ctrlPr>
                          </m:sSubPr>
                          <m:e>
                            <m:r>
                              <w:rPr>
                                <w:rFonts w:ascii="Cambria Math" w:hAnsi="Cambria Math"/>
                              </w:rPr>
                              <m:t>Remit</m:t>
                            </m:r>
                          </m:e>
                          <m:sub>
                            <m:r>
                              <w:rPr>
                                <w:rFonts w:ascii="Cambria Math" w:hAnsi="Cambria Math"/>
                              </w:rPr>
                              <m:t>i</m:t>
                            </m:r>
                          </m:sub>
                        </m:sSub>
                        <m:r>
                          <w:rPr>
                            <w:rFonts w:ascii="Cambria Math" w:hAnsi="Cambria Math"/>
                          </w:rPr>
                          <m:t>=0,</m:t>
                        </m:r>
                        <m:sSub>
                          <m:sSubPr>
                            <m:ctrlPr>
                              <w:rPr>
                                <w:rFonts w:ascii="Cambria Math" w:hAnsi="Cambria Math"/>
                                <w:bCs/>
                                <w:i/>
                                <w:iCs/>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bCs/>
                            <w:i/>
                            <w:iCs/>
                          </w:rPr>
                        </m:ctrlPr>
                      </m:sSubPr>
                      <m:e>
                        <m:r>
                          <w:rPr>
                            <w:rFonts w:ascii="Cambria Math" w:hAnsi="Cambria Math"/>
                          </w:rPr>
                          <m:t>Remit</m:t>
                        </m:r>
                      </m:e>
                      <m:sub>
                        <m:r>
                          <w:rPr>
                            <w:rFonts w:ascii="Cambria Math" w:hAnsi="Cambria Math"/>
                          </w:rPr>
                          <m:t>i</m:t>
                        </m:r>
                      </m:sub>
                    </m:sSub>
                    <m:r>
                      <w:rPr>
                        <w:rFonts w:ascii="Cambria Math" w:hAnsi="Cambria Math"/>
                      </w:rPr>
                      <m:t xml:space="preserve">=1, </m:t>
                    </m:r>
                    <m:sSub>
                      <m:sSubPr>
                        <m:ctrlPr>
                          <w:rPr>
                            <w:rFonts w:ascii="Cambria Math" w:hAnsi="Cambria Math"/>
                            <w:i/>
                            <w:iCs/>
                          </w:rPr>
                        </m:ctrlPr>
                      </m:sSubPr>
                      <m:e>
                        <m:r>
                          <w:rPr>
                            <w:rFonts w:ascii="Cambria Math" w:hAnsi="Cambria Math"/>
                          </w:rPr>
                          <m:t>X</m:t>
                        </m:r>
                      </m:e>
                      <m:sub>
                        <m:r>
                          <w:rPr>
                            <w:rFonts w:ascii="Cambria Math" w:hAnsi="Cambria Math"/>
                          </w:rPr>
                          <m:t>i</m:t>
                        </m:r>
                      </m:sub>
                    </m:sSub>
                  </m:e>
                </m:d>
              </m:oMath>
            </m:oMathPara>
          </w:p>
          <w:p w14:paraId="530D61AD" w14:textId="77777777" w:rsidR="00824237" w:rsidRPr="004260C8" w:rsidRDefault="00824237" w:rsidP="005A6322">
            <w:pPr>
              <w:spacing w:line="480" w:lineRule="auto"/>
              <w:jc w:val="center"/>
              <w:rPr>
                <w:b/>
                <w:i/>
                <w:iCs/>
                <w:u w:val="single"/>
              </w:rPr>
            </w:pPr>
          </w:p>
        </w:tc>
        <w:tc>
          <w:tcPr>
            <w:tcW w:w="484" w:type="dxa"/>
            <w:vAlign w:val="center"/>
          </w:tcPr>
          <w:p w14:paraId="4368F8F9" w14:textId="77777777" w:rsidR="00824237" w:rsidRPr="004260C8" w:rsidRDefault="00824237" w:rsidP="005A6322">
            <w:pPr>
              <w:spacing w:line="480" w:lineRule="auto"/>
              <w:jc w:val="center"/>
            </w:pPr>
            <w:r w:rsidRPr="004260C8">
              <w:t>(</w:t>
            </w:r>
            <w:r w:rsidRPr="004260C8">
              <w:fldChar w:fldCharType="begin"/>
            </w:r>
            <w:r w:rsidRPr="004260C8">
              <w:instrText xml:space="preserve"> SEQ Eq \* MERGEFORMAT </w:instrText>
            </w:r>
            <w:r w:rsidRPr="004260C8">
              <w:fldChar w:fldCharType="separate"/>
            </w:r>
            <w:r w:rsidRPr="004260C8">
              <w:rPr>
                <w:noProof/>
              </w:rPr>
              <w:t>3</w:t>
            </w:r>
            <w:r w:rsidRPr="004260C8">
              <w:fldChar w:fldCharType="end"/>
            </w:r>
            <w:r w:rsidRPr="004260C8">
              <w:t>)</w:t>
            </w:r>
          </w:p>
        </w:tc>
      </w:tr>
    </w:tbl>
    <w:p w14:paraId="61FC3BB2" w14:textId="77777777" w:rsidR="00824237" w:rsidRPr="004260C8" w:rsidRDefault="00824237" w:rsidP="00824237">
      <w:pPr>
        <w:spacing w:line="480" w:lineRule="auto"/>
        <w:rPr>
          <w:color w:val="000000" w:themeColor="text1"/>
        </w:rPr>
      </w:pPr>
    </w:p>
    <w:p w14:paraId="248B010B" w14:textId="77777777" w:rsidR="00824237" w:rsidRPr="004260C8" w:rsidRDefault="00824237" w:rsidP="00824237">
      <w:pPr>
        <w:spacing w:line="480" w:lineRule="auto"/>
        <w:rPr>
          <w:color w:val="000000" w:themeColor="text1"/>
        </w:rPr>
      </w:pPr>
      <w:r w:rsidRPr="004260C8">
        <w:rPr>
          <w:color w:val="000000" w:themeColor="text1"/>
        </w:rPr>
        <w:t>The outer expectation implies that the ATT is conditioned on the covariate profiles in the treatment category. The estimate of the ATT is computed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322"/>
        <w:gridCol w:w="496"/>
      </w:tblGrid>
      <w:tr w:rsidR="00824237" w:rsidRPr="004260C8" w14:paraId="63EF32D6" w14:textId="77777777" w:rsidTr="005A6322">
        <w:tc>
          <w:tcPr>
            <w:tcW w:w="366" w:type="dxa"/>
            <w:vAlign w:val="center"/>
          </w:tcPr>
          <w:p w14:paraId="03B3D39F" w14:textId="77777777" w:rsidR="00824237" w:rsidRPr="004260C8" w:rsidRDefault="00824237" w:rsidP="005A6322">
            <w:pPr>
              <w:spacing w:line="480" w:lineRule="auto"/>
              <w:jc w:val="center"/>
              <w:rPr>
                <w:bCs/>
                <w:i/>
                <w:iCs/>
                <w:u w:val="single"/>
              </w:rPr>
            </w:pPr>
          </w:p>
        </w:tc>
        <w:tc>
          <w:tcPr>
            <w:tcW w:w="8322" w:type="dxa"/>
            <w:vAlign w:val="center"/>
          </w:tcPr>
          <w:p w14:paraId="24CA3F53" w14:textId="77777777" w:rsidR="00824237" w:rsidRPr="004260C8" w:rsidRDefault="00824237" w:rsidP="005A6322">
            <w:pPr>
              <w:spacing w:line="480" w:lineRule="auto"/>
              <w:jc w:val="center"/>
              <w:rPr>
                <w:bCs/>
                <w:i/>
                <w:iCs/>
                <w:u w:val="single"/>
              </w:rPr>
            </w:pPr>
            <m:oMathPara>
              <m:oMath>
                <m:sSub>
                  <m:sSubPr>
                    <m:ctrlPr>
                      <w:rPr>
                        <w:rFonts w:ascii="Cambria Math" w:hAnsi="Cambria Math"/>
                        <w:bCs/>
                        <w:i/>
                        <w:iCs/>
                      </w:rPr>
                    </m:ctrlPr>
                  </m:sSubPr>
                  <m:e>
                    <m:r>
                      <w:rPr>
                        <w:rFonts w:ascii="Cambria Math" w:hAnsi="Cambria Math"/>
                      </w:rPr>
                      <m:t>ATT</m:t>
                    </m:r>
                  </m:e>
                  <m:sub>
                    <m:r>
                      <w:rPr>
                        <w:rFonts w:ascii="Cambria Math" w:hAnsi="Cambria Math"/>
                      </w:rPr>
                      <m:t>j</m:t>
                    </m:r>
                  </m:sub>
                </m:sSub>
                <m:r>
                  <w:rPr>
                    <w:rFonts w:ascii="Cambria Math" w:hAnsi="Cambria Math"/>
                  </w:rPr>
                  <m:t>=</m:t>
                </m:r>
                <m:f>
                  <m:fPr>
                    <m:ctrlPr>
                      <w:rPr>
                        <w:rFonts w:ascii="Cambria Math" w:hAnsi="Cambria Math"/>
                        <w:bCs/>
                        <w:i/>
                        <w:iCs/>
                      </w:rPr>
                    </m:ctrlPr>
                  </m:fPr>
                  <m:num>
                    <m:r>
                      <w:rPr>
                        <w:rFonts w:ascii="Cambria Math" w:hAnsi="Cambria Math"/>
                      </w:rPr>
                      <m:t>1</m:t>
                    </m:r>
                  </m:num>
                  <m:den>
                    <m:nary>
                      <m:naryPr>
                        <m:chr m:val="∑"/>
                        <m:limLoc m:val="undOvr"/>
                        <m:ctrlPr>
                          <w:rPr>
                            <w:rFonts w:ascii="Cambria Math" w:hAnsi="Cambria Math"/>
                            <w:bCs/>
                            <w:i/>
                            <w:iCs/>
                          </w:rPr>
                        </m:ctrlPr>
                      </m:naryPr>
                      <m:sub>
                        <m:r>
                          <w:rPr>
                            <w:rFonts w:ascii="Cambria Math" w:hAnsi="Cambria Math"/>
                          </w:rPr>
                          <m:t>i=1</m:t>
                        </m:r>
                      </m:sub>
                      <m:sup>
                        <m:r>
                          <w:rPr>
                            <w:rFonts w:ascii="Cambria Math" w:hAnsi="Cambria Math"/>
                          </w:rPr>
                          <m:t>n</m:t>
                        </m:r>
                      </m:sup>
                      <m:e>
                        <m:sSub>
                          <m:sSubPr>
                            <m:ctrlPr>
                              <w:rPr>
                                <w:rFonts w:ascii="Cambria Math" w:hAnsi="Cambria Math"/>
                                <w:bCs/>
                                <w:i/>
                                <w:iCs/>
                              </w:rPr>
                            </m:ctrlPr>
                          </m:sSubPr>
                          <m:e>
                            <m:r>
                              <w:rPr>
                                <w:rFonts w:ascii="Cambria Math" w:hAnsi="Cambria Math"/>
                              </w:rPr>
                              <m:t>Remit</m:t>
                            </m:r>
                          </m:e>
                          <m:sub>
                            <m:r>
                              <w:rPr>
                                <w:rFonts w:ascii="Cambria Math" w:hAnsi="Cambria Math"/>
                              </w:rPr>
                              <m:t>i</m:t>
                            </m:r>
                          </m:sub>
                        </m:sSub>
                      </m:e>
                    </m:nary>
                  </m:den>
                </m:f>
                <m:nary>
                  <m:naryPr>
                    <m:chr m:val="∑"/>
                    <m:limLoc m:val="undOvr"/>
                    <m:supHide m:val="1"/>
                    <m:ctrlPr>
                      <w:rPr>
                        <w:rFonts w:ascii="Cambria Math" w:hAnsi="Cambria Math"/>
                        <w:bCs/>
                        <w:i/>
                        <w:iCs/>
                      </w:rPr>
                    </m:ctrlPr>
                  </m:naryPr>
                  <m:sub>
                    <m:r>
                      <w:rPr>
                        <w:rFonts w:ascii="Cambria Math" w:hAnsi="Cambria Math"/>
                      </w:rPr>
                      <m:t>i:</m:t>
                    </m:r>
                    <m:sSub>
                      <m:sSubPr>
                        <m:ctrlPr>
                          <w:rPr>
                            <w:rFonts w:ascii="Cambria Math" w:hAnsi="Cambria Math"/>
                            <w:bCs/>
                            <w:i/>
                            <w:iCs/>
                          </w:rPr>
                        </m:ctrlPr>
                      </m:sSubPr>
                      <m:e>
                        <m:r>
                          <w:rPr>
                            <w:rFonts w:ascii="Cambria Math" w:hAnsi="Cambria Math"/>
                          </w:rPr>
                          <m:t>Remit</m:t>
                        </m:r>
                      </m:e>
                      <m:sub>
                        <m:r>
                          <w:rPr>
                            <w:rFonts w:ascii="Cambria Math" w:hAnsi="Cambria Math"/>
                          </w:rPr>
                          <m:t>i</m:t>
                        </m:r>
                      </m:sub>
                    </m:sSub>
                    <m:r>
                      <w:rPr>
                        <w:rFonts w:ascii="Cambria Math" w:hAnsi="Cambria Math"/>
                      </w:rPr>
                      <m:t>=1</m:t>
                    </m:r>
                  </m:sub>
                  <m:sup/>
                  <m:e>
                    <m:d>
                      <m:dPr>
                        <m:begChr m:val="["/>
                        <m:endChr m:val="]"/>
                        <m:ctrlPr>
                          <w:rPr>
                            <w:rFonts w:ascii="Cambria Math" w:hAnsi="Cambria Math"/>
                            <w:bCs/>
                            <w:i/>
                            <w:iCs/>
                          </w:rPr>
                        </m:ctrlPr>
                      </m:dPr>
                      <m:e>
                        <m:sSub>
                          <m:sSubPr>
                            <m:ctrlPr>
                              <w:rPr>
                                <w:rFonts w:ascii="Cambria Math" w:hAnsi="Cambria Math"/>
                                <w:bCs/>
                                <w:i/>
                                <w:iCs/>
                              </w:rPr>
                            </m:ctrlPr>
                          </m:sSubPr>
                          <m:e>
                            <m:acc>
                              <m:accPr>
                                <m:ctrlPr>
                                  <w:rPr>
                                    <w:rFonts w:ascii="Cambria Math" w:hAnsi="Cambria Math"/>
                                    <w:bCs/>
                                    <w:i/>
                                    <w:iCs/>
                                  </w:rPr>
                                </m:ctrlPr>
                              </m:accPr>
                              <m:e>
                                <m:r>
                                  <w:rPr>
                                    <w:rFonts w:ascii="Cambria Math" w:hAnsi="Cambria Math"/>
                                  </w:rPr>
                                  <m:t>Y</m:t>
                                </m:r>
                              </m:e>
                            </m:acc>
                          </m:e>
                          <m:sub>
                            <m:r>
                              <w:rPr>
                                <w:rFonts w:ascii="Cambria Math" w:hAnsi="Cambria Math"/>
                              </w:rPr>
                              <m:t>ij</m:t>
                            </m:r>
                          </m:sub>
                        </m:sSub>
                        <m:r>
                          <w:rPr>
                            <w:rFonts w:ascii="Cambria Math" w:hAnsi="Cambria Math"/>
                          </w:rPr>
                          <m:t>(1) -</m:t>
                        </m:r>
                        <m:sSub>
                          <m:sSubPr>
                            <m:ctrlPr>
                              <w:rPr>
                                <w:rFonts w:ascii="Cambria Math" w:hAnsi="Cambria Math"/>
                                <w:bCs/>
                                <w:i/>
                                <w:iCs/>
                              </w:rPr>
                            </m:ctrlPr>
                          </m:sSubPr>
                          <m:e>
                            <m:acc>
                              <m:accPr>
                                <m:ctrlPr>
                                  <w:rPr>
                                    <w:rFonts w:ascii="Cambria Math" w:hAnsi="Cambria Math"/>
                                    <w:bCs/>
                                    <w:i/>
                                    <w:iCs/>
                                  </w:rPr>
                                </m:ctrlPr>
                              </m:accPr>
                              <m:e>
                                <m:r>
                                  <w:rPr>
                                    <w:rFonts w:ascii="Cambria Math" w:hAnsi="Cambria Math"/>
                                  </w:rPr>
                                  <m:t>Y</m:t>
                                </m:r>
                              </m:e>
                            </m:acc>
                          </m:e>
                          <m:sub>
                            <m:r>
                              <w:rPr>
                                <w:rFonts w:ascii="Cambria Math" w:hAnsi="Cambria Math"/>
                              </w:rPr>
                              <m:t>ij</m:t>
                            </m:r>
                          </m:sub>
                        </m:sSub>
                        <m:r>
                          <w:rPr>
                            <w:rFonts w:ascii="Cambria Math" w:hAnsi="Cambria Math"/>
                          </w:rPr>
                          <m:t>(0)</m:t>
                        </m:r>
                      </m:e>
                    </m:d>
                  </m:e>
                </m:nary>
              </m:oMath>
            </m:oMathPara>
          </w:p>
        </w:tc>
        <w:tc>
          <w:tcPr>
            <w:tcW w:w="402" w:type="dxa"/>
            <w:vAlign w:val="center"/>
          </w:tcPr>
          <w:p w14:paraId="7DEC0E58" w14:textId="77777777" w:rsidR="00824237" w:rsidRPr="004260C8" w:rsidRDefault="00824237" w:rsidP="005A6322">
            <w:pPr>
              <w:spacing w:line="480" w:lineRule="auto"/>
              <w:jc w:val="center"/>
              <w:rPr>
                <w:bCs/>
              </w:rPr>
            </w:pPr>
            <w:r w:rsidRPr="004260C8">
              <w:rPr>
                <w:bCs/>
              </w:rPr>
              <w:t>(</w:t>
            </w:r>
            <w:r w:rsidRPr="004260C8">
              <w:rPr>
                <w:bCs/>
              </w:rPr>
              <w:fldChar w:fldCharType="begin"/>
            </w:r>
            <w:r w:rsidRPr="004260C8">
              <w:rPr>
                <w:bCs/>
              </w:rPr>
              <w:instrText xml:space="preserve"> SEQ Eq \* MERGEFORMAT </w:instrText>
            </w:r>
            <w:r w:rsidRPr="004260C8">
              <w:rPr>
                <w:bCs/>
              </w:rPr>
              <w:fldChar w:fldCharType="separate"/>
            </w:r>
            <w:r w:rsidRPr="004260C8">
              <w:rPr>
                <w:bCs/>
                <w:noProof/>
              </w:rPr>
              <w:t>4</w:t>
            </w:r>
            <w:r w:rsidRPr="004260C8">
              <w:rPr>
                <w:bCs/>
              </w:rPr>
              <w:fldChar w:fldCharType="end"/>
            </w:r>
            <w:r w:rsidRPr="004260C8">
              <w:rPr>
                <w:bCs/>
              </w:rPr>
              <w:t>)</w:t>
            </w:r>
          </w:p>
        </w:tc>
      </w:tr>
    </w:tbl>
    <w:p w14:paraId="6A7E3918" w14:textId="77777777" w:rsidR="00824237" w:rsidRPr="004260C8" w:rsidRDefault="00824237" w:rsidP="00824237">
      <w:pPr>
        <w:spacing w:line="480" w:lineRule="auto"/>
        <w:rPr>
          <w:color w:val="000000" w:themeColor="text1"/>
        </w:rPr>
      </w:pPr>
    </w:p>
    <w:p w14:paraId="07614981" w14:textId="77777777" w:rsidR="00824237" w:rsidRPr="004260C8" w:rsidRDefault="00824237" w:rsidP="00824237">
      <w:pPr>
        <w:spacing w:line="480" w:lineRule="auto"/>
        <w:rPr>
          <w:rFonts w:eastAsiaTheme="minorEastAsia"/>
          <w:bCs/>
          <w:iCs/>
        </w:rPr>
      </w:pPr>
      <w:r w:rsidRPr="004260C8">
        <w:rPr>
          <w:color w:val="000000" w:themeColor="text1"/>
        </w:rPr>
        <w:t xml:space="preserve">Where </w:t>
      </w:r>
      <m:oMath>
        <m:sSub>
          <m:sSubPr>
            <m:ctrlPr>
              <w:rPr>
                <w:rFonts w:ascii="Cambria Math" w:hAnsi="Cambria Math"/>
                <w:bCs/>
                <w:i/>
                <w:iCs/>
              </w:rPr>
            </m:ctrlPr>
          </m:sSubPr>
          <m:e>
            <m:acc>
              <m:accPr>
                <m:ctrlPr>
                  <w:rPr>
                    <w:rFonts w:ascii="Cambria Math" w:hAnsi="Cambria Math"/>
                    <w:bCs/>
                    <w:i/>
                    <w:iCs/>
                  </w:rPr>
                </m:ctrlPr>
              </m:accPr>
              <m:e>
                <m:r>
                  <w:rPr>
                    <w:rFonts w:ascii="Cambria Math" w:hAnsi="Cambria Math"/>
                  </w:rPr>
                  <m:t>Y</m:t>
                </m:r>
              </m:e>
            </m:acc>
          </m:e>
          <m:sub>
            <m:r>
              <w:rPr>
                <w:rFonts w:ascii="Cambria Math" w:hAnsi="Cambria Math"/>
              </w:rPr>
              <m:t>ij</m:t>
            </m:r>
          </m:sub>
        </m:sSub>
        <m:r>
          <w:rPr>
            <w:rFonts w:ascii="Cambria Math" w:hAnsi="Cambria Math"/>
          </w:rPr>
          <m:t>(1) -</m:t>
        </m:r>
        <m:sSub>
          <m:sSubPr>
            <m:ctrlPr>
              <w:rPr>
                <w:rFonts w:ascii="Cambria Math" w:hAnsi="Cambria Math"/>
                <w:bCs/>
                <w:i/>
                <w:iCs/>
              </w:rPr>
            </m:ctrlPr>
          </m:sSubPr>
          <m:e>
            <m:acc>
              <m:accPr>
                <m:ctrlPr>
                  <w:rPr>
                    <w:rFonts w:ascii="Cambria Math" w:hAnsi="Cambria Math"/>
                    <w:bCs/>
                    <w:i/>
                    <w:iCs/>
                  </w:rPr>
                </m:ctrlPr>
              </m:accPr>
              <m:e>
                <m:r>
                  <w:rPr>
                    <w:rFonts w:ascii="Cambria Math" w:hAnsi="Cambria Math"/>
                  </w:rPr>
                  <m:t>Y</m:t>
                </m:r>
              </m:e>
            </m:acc>
          </m:e>
          <m:sub>
            <m:r>
              <w:rPr>
                <w:rFonts w:ascii="Cambria Math" w:hAnsi="Cambria Math"/>
              </w:rPr>
              <m:t>ij</m:t>
            </m:r>
          </m:sub>
        </m:sSub>
        <m:r>
          <w:rPr>
            <w:rFonts w:ascii="Cambria Math" w:hAnsi="Cambria Math"/>
          </w:rPr>
          <m:t>(0)</m:t>
        </m:r>
      </m:oMath>
      <w:r w:rsidRPr="004260C8">
        <w:rPr>
          <w:rFonts w:eastAsiaTheme="minorEastAsia"/>
          <w:bCs/>
          <w:iCs/>
        </w:rPr>
        <w:t xml:space="preserve"> is the estimated treatment effect of remittances on a political participation measure </w:t>
      </w:r>
      <w:proofErr w:type="gramStart"/>
      <w:r w:rsidRPr="004260C8">
        <w:rPr>
          <w:rFonts w:eastAsiaTheme="minorEastAsia"/>
          <w:bCs/>
          <w:i/>
        </w:rPr>
        <w:t>j.</w:t>
      </w:r>
      <w:proofErr w:type="gramEnd"/>
      <w:r w:rsidRPr="004260C8">
        <w:rPr>
          <w:rFonts w:eastAsiaTheme="minorEastAsia"/>
          <w:bCs/>
          <w:iCs/>
        </w:rPr>
        <w:t xml:space="preserve"> </w:t>
      </w:r>
    </w:p>
    <w:p w14:paraId="3A4D900A" w14:textId="77777777" w:rsidR="00824237" w:rsidRPr="004260C8" w:rsidRDefault="00824237" w:rsidP="00824237">
      <w:pPr>
        <w:spacing w:line="480" w:lineRule="auto"/>
        <w:rPr>
          <w:rFonts w:eastAsiaTheme="minorEastAsia"/>
          <w:bCs/>
          <w:iCs/>
        </w:rPr>
      </w:pPr>
      <w:r w:rsidRPr="004260C8">
        <w:rPr>
          <w:rFonts w:eastAsiaTheme="minorEastAsia"/>
          <w:bCs/>
          <w:iCs/>
        </w:rPr>
        <w:t xml:space="preserve">There are other innovative matching techniques in the literature that we make use of as a comparison with the genetic matching technique. Each of these has its advantages and potential problems. </w:t>
      </w:r>
      <w:proofErr w:type="gramStart"/>
      <w:r w:rsidRPr="004260C8">
        <w:rPr>
          <w:rFonts w:eastAsiaTheme="minorEastAsia"/>
          <w:bCs/>
          <w:iCs/>
        </w:rPr>
        <w:t>However</w:t>
      </w:r>
      <w:proofErr w:type="gramEnd"/>
      <w:r w:rsidRPr="004260C8">
        <w:rPr>
          <w:rFonts w:eastAsiaTheme="minorEastAsia"/>
          <w:bCs/>
          <w:iCs/>
        </w:rPr>
        <w:t xml:space="preserve"> as our results will show the genetic matching technique gives us better covariate balance relative to these methods, hence our decision to stick to this method.</w:t>
      </w:r>
    </w:p>
    <w:p w14:paraId="4C9B8F9F" w14:textId="77777777" w:rsidR="00824237" w:rsidRPr="004260C8" w:rsidRDefault="00824237" w:rsidP="00824237">
      <w:pPr>
        <w:spacing w:line="480" w:lineRule="auto"/>
        <w:rPr>
          <w:rFonts w:eastAsiaTheme="minorEastAsia"/>
          <w:bCs/>
        </w:rPr>
      </w:pPr>
      <w:r w:rsidRPr="004260C8">
        <w:rPr>
          <w:rFonts w:eastAsiaTheme="minorEastAsia"/>
          <w:bCs/>
        </w:rPr>
        <w:t xml:space="preserve">We employ other matching techniques such as the nearest neighbor matching, optimal matching, and full matching. The nearest neighbor matching is the easiest to implement. This technique involves matching each treatment observation with the closest eligible observation in the control </w:t>
      </w:r>
      <w:r w:rsidRPr="004260C8">
        <w:rPr>
          <w:rFonts w:eastAsiaTheme="minorEastAsia"/>
          <w:bCs/>
        </w:rPr>
        <w:lastRenderedPageBreak/>
        <w:t xml:space="preserve">group based on a distance measure. The commonest distance measure used is the propensity score difference between treated and control units. It is also called greedy matching because each pairing is done without reference to how other units have been paired. This poses a potential problem as the quality of matching is affected by the order in which the treated observations are matched. Another common concern with this technique is that it could result in poor matching, especially when there are no control observations that have propensity scores </w:t>
      </w:r>
      <w:proofErr w:type="gramStart"/>
      <w:r w:rsidRPr="004260C8">
        <w:rPr>
          <w:rFonts w:eastAsiaTheme="minorEastAsia"/>
          <w:bCs/>
        </w:rPr>
        <w:t>similar to</w:t>
      </w:r>
      <w:proofErr w:type="gramEnd"/>
      <w:r w:rsidRPr="004260C8">
        <w:rPr>
          <w:rFonts w:eastAsiaTheme="minorEastAsia"/>
          <w:bCs/>
        </w:rPr>
        <w:t xml:space="preserve"> a treated observation. Methods such as caliper matching is often employed to prevent this problem. In this case, a match is selected only if it meets a certain caliper </w:t>
      </w:r>
      <w:r w:rsidRPr="004260C8">
        <w:rPr>
          <w:rFonts w:eastAsiaTheme="minorEastAsia"/>
          <w:bCs/>
        </w:rPr>
        <w:fldChar w:fldCharType="begin"/>
      </w:r>
      <w:r w:rsidRPr="004260C8">
        <w:rPr>
          <w:rFonts w:eastAsiaTheme="minorEastAsia"/>
          <w:bCs/>
        </w:rPr>
        <w:instrText xml:space="preserve"> ADDIN ZOTERO_ITEM CSL_CITATION {"citationID":"IiUHuuF1","properties":{"formattedCitation":"(Stuart, 2010)","plainCitation":"(Stuart, 2010)","noteIndex":0},"citationItems":[{"id":1095,"uris":["http://zotero.org/users/6173611/items/XFZRRSER"],"uri":["http://zotero.org/users/6173611/items/XFZRRSER"],"itemData":{"id":1095,"type":"article-journal","container-title":"Statistical science: a review journal of the Institute of Mathematical Statistics","issue":"1","note":"publisher: NIH Public Access","page":"1","source":"Google Scholar","title":"Matching methods for causal inference: A review and a look forward","title-short":"Matching methods for causal inference","volume":"25","author":[{"family":"Stuart","given":"Elizabeth A."}],"issued":{"date-parts":[["2010"]]}}}],"schema":"https://github.com/citation-style-language/schema/raw/master/csl-citation.json"} </w:instrText>
      </w:r>
      <w:r w:rsidRPr="004260C8">
        <w:rPr>
          <w:rFonts w:eastAsiaTheme="minorEastAsia"/>
          <w:bCs/>
        </w:rPr>
        <w:fldChar w:fldCharType="separate"/>
      </w:r>
      <w:r w:rsidRPr="004260C8">
        <w:t>(Stuart, 2010)</w:t>
      </w:r>
      <w:r w:rsidRPr="004260C8">
        <w:rPr>
          <w:rFonts w:eastAsiaTheme="minorEastAsia"/>
          <w:bCs/>
        </w:rPr>
        <w:fldChar w:fldCharType="end"/>
      </w:r>
      <w:r w:rsidRPr="004260C8">
        <w:rPr>
          <w:rFonts w:eastAsiaTheme="minorEastAsia"/>
          <w:bCs/>
        </w:rPr>
        <w:t>.</w:t>
      </w:r>
    </w:p>
    <w:p w14:paraId="06E1A540" w14:textId="77777777" w:rsidR="00824237" w:rsidRPr="004260C8" w:rsidRDefault="00824237" w:rsidP="00824237">
      <w:pPr>
        <w:spacing w:line="480" w:lineRule="auto"/>
        <w:rPr>
          <w:rFonts w:eastAsiaTheme="minorEastAsia"/>
          <w:bCs/>
        </w:rPr>
      </w:pPr>
      <w:r w:rsidRPr="004260C8">
        <w:rPr>
          <w:rFonts w:eastAsiaTheme="minorEastAsia"/>
          <w:bCs/>
        </w:rPr>
        <w:t xml:space="preserve">Optimal matching improves on the nearest neighbor matching in that it </w:t>
      </w:r>
      <w:proofErr w:type="gramStart"/>
      <w:r w:rsidRPr="004260C8">
        <w:rPr>
          <w:rFonts w:eastAsiaTheme="minorEastAsia"/>
          <w:bCs/>
        </w:rPr>
        <w:t>takes into account</w:t>
      </w:r>
      <w:proofErr w:type="gramEnd"/>
      <w:r w:rsidRPr="004260C8">
        <w:rPr>
          <w:rFonts w:eastAsiaTheme="minorEastAsia"/>
          <w:bCs/>
        </w:rPr>
        <w:t xml:space="preserve"> all matches in choosing matches for each treatment observation. It makes use of a global distance measure. </w:t>
      </w:r>
      <w:r w:rsidRPr="004260C8">
        <w:rPr>
          <w:rFonts w:eastAsiaTheme="minorEastAsia"/>
          <w:bCs/>
        </w:rPr>
        <w:fldChar w:fldCharType="begin"/>
      </w:r>
      <w:r w:rsidRPr="004260C8">
        <w:rPr>
          <w:rFonts w:eastAsiaTheme="minorEastAsia"/>
          <w:bCs/>
        </w:rPr>
        <w:instrText xml:space="preserve"> ADDIN ZOTERO_ITEM CSL_CITATION {"citationID":"Nr5TieNJ","properties":{"formattedCitation":"(Gu &amp; Rosenbaum, 1993)","plainCitation":"(Gu &amp; Rosenbaum, 1993)","dontUpdate":true,"noteIndex":0},"citationItems":[{"id":1100,"uris":["http://zotero.org/users/6173611/items/M4FB2DRX"],"uri":["http://zotero.org/users/6173611/items/M4FB2DRX"],"itemData":{"id":1100,"type":"article-journal","container-title":"Journal of Computational and Graphical Statistics","issue":"4","note":"publisher: Taylor &amp; Francis","page":"405–420","source":"Google Scholar","title":"Comparison of multivariate matching methods: Structures, distances, and algorithms","title-short":"Comparison of multivariate matching methods","volume":"2","author":[{"family":"Gu","given":"Xing Sam"},{"family":"Rosenbaum","given":"Paul R."}],"issued":{"date-parts":[["1993"]]}}}],"schema":"https://github.com/citation-style-language/schema/raw/master/csl-citation.json"} </w:instrText>
      </w:r>
      <w:r w:rsidRPr="004260C8">
        <w:rPr>
          <w:rFonts w:eastAsiaTheme="minorEastAsia"/>
          <w:bCs/>
        </w:rPr>
        <w:fldChar w:fldCharType="separate"/>
      </w:r>
      <w:r w:rsidRPr="004260C8">
        <w:t>Gu &amp; Rosenbaum (1993)</w:t>
      </w:r>
      <w:r w:rsidRPr="004260C8">
        <w:rPr>
          <w:rFonts w:eastAsiaTheme="minorEastAsia"/>
          <w:bCs/>
        </w:rPr>
        <w:fldChar w:fldCharType="end"/>
      </w:r>
      <w:r w:rsidRPr="004260C8">
        <w:rPr>
          <w:rFonts w:eastAsiaTheme="minorEastAsia"/>
          <w:bCs/>
        </w:rPr>
        <w:t xml:space="preserve"> show that full matching distances are smaller compared to greedy matching when the number of control variables are few. They also argue that even though this technique does better in reducing the distance between treatment and matched control groups, it doesn’t do a better job at creating groups with good balance. In terms of the selection of control observations, these two techniques are quite similar. Optimal matching however does a better job at assigning these controls to treatment units.</w:t>
      </w:r>
    </w:p>
    <w:p w14:paraId="198D3D9A" w14:textId="77777777" w:rsidR="00824237" w:rsidRPr="004260C8" w:rsidRDefault="00824237" w:rsidP="00824237">
      <w:pPr>
        <w:spacing w:line="480" w:lineRule="auto"/>
        <w:rPr>
          <w:rFonts w:eastAsiaTheme="minorEastAsia"/>
          <w:bCs/>
        </w:rPr>
      </w:pPr>
      <w:r w:rsidRPr="004260C8">
        <w:rPr>
          <w:rFonts w:eastAsiaTheme="minorEastAsia"/>
          <w:bCs/>
        </w:rPr>
        <w:t xml:space="preserve">Full matching is an improvement on optimal and nearest-neighbor matching techniques. This technique creates matched sets. Each matched set contains at least one treated observation or at least one control observation. The creation of these sets means that all observations in the data are utilized. The matched sets are generated in an optimal way such that treated observations that have many similar comparison observations based on propensity scores are grouped with many comparison individuals and treated observations with less similar comparison observations are </w:t>
      </w:r>
      <w:r w:rsidRPr="004260C8">
        <w:rPr>
          <w:rFonts w:eastAsiaTheme="minorEastAsia"/>
          <w:bCs/>
        </w:rPr>
        <w:lastRenderedPageBreak/>
        <w:t xml:space="preserve">grouped with fewer comparison individuals. This technique ensures that all the data is utilized while achieving balance based on the propensity score. </w:t>
      </w:r>
    </w:p>
    <w:p w14:paraId="5A80FD02" w14:textId="77777777" w:rsidR="00824237" w:rsidRPr="004260C8" w:rsidRDefault="00824237" w:rsidP="00824237">
      <w:pPr>
        <w:spacing w:line="480" w:lineRule="auto"/>
        <w:rPr>
          <w:rFonts w:eastAsiaTheme="minorEastAsia"/>
          <w:bCs/>
        </w:rPr>
      </w:pPr>
      <w:r w:rsidRPr="004260C8">
        <w:rPr>
          <w:rFonts w:eastAsiaTheme="minorEastAsia"/>
          <w:bCs/>
        </w:rPr>
        <w:t xml:space="preserve">As mentioned earlier we will see that the genetic matching technique attains better covariate balance compared to these techniques. </w:t>
      </w:r>
    </w:p>
    <w:p w14:paraId="4EE18B5E" w14:textId="77777777" w:rsidR="00824237" w:rsidRDefault="00824237"/>
    <w:sectPr w:rsidR="00824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F37EB"/>
    <w:multiLevelType w:val="multilevel"/>
    <w:tmpl w:val="DE8EB12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37"/>
    <w:rsid w:val="00824237"/>
    <w:rsid w:val="00BD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4A03"/>
  <w15:chartTrackingRefBased/>
  <w15:docId w15:val="{30E06580-8655-404F-AE18-030608E3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2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24237"/>
  </w:style>
  <w:style w:type="paragraph" w:styleId="ListParagraph">
    <w:name w:val="List Paragraph"/>
    <w:basedOn w:val="Normal"/>
    <w:uiPriority w:val="34"/>
    <w:qFormat/>
    <w:rsid w:val="00824237"/>
    <w:pPr>
      <w:ind w:left="720"/>
      <w:contextualSpacing/>
    </w:pPr>
  </w:style>
  <w:style w:type="table" w:styleId="TableGrid">
    <w:name w:val="Table Grid"/>
    <w:basedOn w:val="TableNormal"/>
    <w:uiPriority w:val="59"/>
    <w:rsid w:val="00824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5323</Words>
  <Characters>30343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Anaman</dc:creator>
  <cp:keywords/>
  <dc:description/>
  <cp:lastModifiedBy>George Anaman</cp:lastModifiedBy>
  <cp:revision>1</cp:revision>
  <dcterms:created xsi:type="dcterms:W3CDTF">2021-11-20T02:28:00Z</dcterms:created>
  <dcterms:modified xsi:type="dcterms:W3CDTF">2021-11-20T02:35:00Z</dcterms:modified>
</cp:coreProperties>
</file>