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AA9CC" w14:textId="77777777" w:rsidR="00392FB9" w:rsidRPr="00B16664" w:rsidRDefault="00392FB9" w:rsidP="00B1666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F1-Macro</w:t>
      </w:r>
    </w:p>
    <w:p w14:paraId="7E60C508" w14:textId="4BC1A2A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Standard accuracy is an unreliable metric for offensive language detection because datasets are inherently imbalanced</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a model that predicts every sentence as non-offensive can still achieve high accuracy simply by exploiting the majority class. F1-Macro addresses this by computing a separate F1-score for each class independently and then averaging those scores without any class-frequency weighting, ensuring that neither class can dominate the evaluation result. The metric first computes precision and recall for each class individually, derives the harmonic mean of those two values as the class-level F1-score, and then takes the unweighted average across all classes:</w:t>
      </w:r>
    </w:p>
    <w:p w14:paraId="6173C083" w14:textId="601A9E6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F1</m:t>
          </m:r>
          <m:r>
            <m:rPr>
              <m:nor/>
            </m:rPr>
            <w:rPr>
              <w:rFonts w:ascii="Times New Roman" w:hAnsi="Times New Roman" w:cs="Times New Roman"/>
              <w:sz w:val="20"/>
              <w:szCs w:val="20"/>
            </w:rPr>
            <m:t>-</m:t>
          </m:r>
          <m:r>
            <w:rPr>
              <w:rFonts w:ascii="Cambria Math" w:hAnsi="Cambria Math" w:cs="Times New Roman"/>
              <w:sz w:val="20"/>
              <w:szCs w:val="20"/>
            </w:rPr>
            <m:t>Macro=</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C</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c=1</m:t>
              </m:r>
            </m:sub>
            <m:sup>
              <m:r>
                <w:rPr>
                  <w:rFonts w:ascii="Cambria Math" w:hAnsi="Cambria Math" w:cs="Times New Roman"/>
                  <w:sz w:val="20"/>
                  <w:szCs w:val="20"/>
                </w:rPr>
                <m:t>C</m:t>
              </m:r>
            </m:sup>
            <m:e>
              <m:f>
                <m:fPr>
                  <m:ctrlPr>
                    <w:rPr>
                      <w:rFonts w:ascii="Cambria Math" w:hAnsi="Cambria Math" w:cs="Times New Roman"/>
                      <w:sz w:val="20"/>
                      <w:szCs w:val="20"/>
                    </w:rPr>
                  </m:ctrlPr>
                </m:fPr>
                <m:num>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den>
              </m:f>
            </m:e>
          </m:nary>
        </m:oMath>
      </m:oMathPara>
    </w:p>
    <w:p w14:paraId="013537FB" w14:textId="245EC32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C</m:t>
        </m:r>
      </m:oMath>
      <w:r w:rsidRPr="00B16664">
        <w:rPr>
          <w:rFonts w:ascii="Times New Roman" w:hAnsi="Times New Roman" w:cs="Times New Roman"/>
          <w:sz w:val="20"/>
          <w:szCs w:val="20"/>
        </w:rPr>
        <w:t xml:space="preserve">is the number of classes,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oMath>
      <w:r w:rsidRPr="00B16664">
        <w:rPr>
          <w:rFonts w:ascii="Times New Roman" w:hAnsi="Times New Roman" w:cs="Times New Roman"/>
          <w:sz w:val="20"/>
          <w:szCs w:val="20"/>
        </w:rPr>
        <w:t xml:space="preserve">is the precision for class </w:t>
      </w:r>
      <m:oMath>
        <m:r>
          <w:rPr>
            <w:rFonts w:ascii="Cambria Math" w:hAnsi="Cambria Math" w:cs="Times New Roman"/>
            <w:sz w:val="20"/>
            <w:szCs w:val="20"/>
          </w:rPr>
          <m:t>c</m:t>
        </m:r>
      </m:oMath>
      <w:r w:rsidR="00C41C98">
        <w:rPr>
          <w:rFonts w:ascii="Times New Roman" w:hAnsi="Times New Roman" w:cs="Times New Roman"/>
          <w:sz w:val="20"/>
          <w:szCs w:val="20"/>
        </w:rPr>
        <w:t>,</w:t>
      </w:r>
      <w:r w:rsidRPr="00B16664">
        <w:rPr>
          <w:rFonts w:ascii="Times New Roman" w:hAnsi="Times New Roman" w:cs="Times New Roman"/>
          <w:sz w:val="20"/>
          <w:szCs w:val="20"/>
        </w:rPr>
        <w:t xml:space="preserve"> the fraction of times the model was correct when it predicted class </w:t>
      </w:r>
      <m:oMath>
        <m:r>
          <w:rPr>
            <w:rFonts w:ascii="Cambria Math" w:hAnsi="Cambria Math" w:cs="Times New Roman"/>
            <w:sz w:val="20"/>
            <w:szCs w:val="20"/>
          </w:rPr>
          <m:t>c</m:t>
        </m:r>
        <m:r>
          <w:rPr>
            <w:rFonts w:ascii="Cambria Math" w:hAnsi="Cambria Math" w:cs="Times New Roman"/>
            <w:sz w:val="20"/>
            <w:szCs w:val="20"/>
          </w:rPr>
          <m:t>,</m:t>
        </m:r>
      </m:oMath>
      <w:r w:rsidRPr="00B1666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Pr="00B16664">
        <w:rPr>
          <w:rFonts w:ascii="Times New Roman" w:hAnsi="Times New Roman" w:cs="Times New Roman"/>
          <w:sz w:val="20"/>
          <w:szCs w:val="20"/>
        </w:rPr>
        <w:t xml:space="preserve">is the recall for class </w:t>
      </w:r>
      <m:oMath>
        <m:r>
          <w:rPr>
            <w:rFonts w:ascii="Cambria Math" w:hAnsi="Cambria Math" w:cs="Times New Roman"/>
            <w:sz w:val="20"/>
            <w:szCs w:val="20"/>
          </w:rPr>
          <m:t>c</m:t>
        </m:r>
      </m:oMath>
      <w:r w:rsidR="00C41C98">
        <w:rPr>
          <w:rFonts w:ascii="Times New Roman" w:hAnsi="Times New Roman" w:cs="Times New Roman"/>
          <w:sz w:val="20"/>
          <w:szCs w:val="20"/>
        </w:rPr>
        <w:t>,</w:t>
      </w:r>
      <w:r w:rsidRPr="00B16664">
        <w:rPr>
          <w:rFonts w:ascii="Times New Roman" w:hAnsi="Times New Roman" w:cs="Times New Roman"/>
          <w:sz w:val="20"/>
          <w:szCs w:val="20"/>
        </w:rPr>
        <w:t xml:space="preserve"> the fraction of actual class </w:t>
      </w:r>
      <m:oMath>
        <m:r>
          <w:rPr>
            <w:rFonts w:ascii="Cambria Math" w:hAnsi="Cambria Math" w:cs="Times New Roman"/>
            <w:sz w:val="20"/>
            <w:szCs w:val="20"/>
          </w:rPr>
          <m:t>c</m:t>
        </m:r>
      </m:oMath>
      <w:r w:rsidRPr="00B16664">
        <w:rPr>
          <w:rFonts w:ascii="Times New Roman" w:hAnsi="Times New Roman" w:cs="Times New Roman"/>
          <w:sz w:val="20"/>
          <w:szCs w:val="20"/>
        </w:rPr>
        <w:t>instances that the model successfully identified. In our evaluation, final predictions from all six backbone models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Qwen2, RoBERTa, </w:t>
      </w:r>
      <w:proofErr w:type="spellStart"/>
      <w:r w:rsidRPr="00B16664">
        <w:rPr>
          <w:rFonts w:ascii="Times New Roman" w:hAnsi="Times New Roman" w:cs="Times New Roman"/>
          <w:sz w:val="20"/>
          <w:szCs w:val="20"/>
        </w:rPr>
        <w:t>DeBERTa</w:t>
      </w:r>
      <w:proofErr w:type="spellEnd"/>
      <w:r w:rsidRPr="00B16664">
        <w:rPr>
          <w:rFonts w:ascii="Times New Roman" w:hAnsi="Times New Roman" w:cs="Times New Roman"/>
          <w:sz w:val="20"/>
          <w:szCs w:val="20"/>
        </w:rPr>
        <w:t xml:space="preserve">, </w:t>
      </w:r>
      <w:proofErr w:type="spellStart"/>
      <w:r w:rsidRPr="00B16664">
        <w:rPr>
          <w:rFonts w:ascii="Times New Roman" w:hAnsi="Times New Roman" w:cs="Times New Roman"/>
          <w:sz w:val="20"/>
          <w:szCs w:val="20"/>
        </w:rPr>
        <w:t>HateBERT</w:t>
      </w:r>
      <w:proofErr w:type="spellEnd"/>
      <w:r w:rsidRPr="00B16664">
        <w:rPr>
          <w:rFonts w:ascii="Times New Roman" w:hAnsi="Times New Roman" w:cs="Times New Roman"/>
          <w:sz w:val="20"/>
          <w:szCs w:val="20"/>
        </w:rPr>
        <w:t xml:space="preserve">, </w:t>
      </w:r>
      <w:proofErr w:type="spellStart"/>
      <w:r w:rsidRPr="00B16664">
        <w:rPr>
          <w:rFonts w:ascii="Times New Roman" w:hAnsi="Times New Roman" w:cs="Times New Roman"/>
          <w:sz w:val="20"/>
          <w:szCs w:val="20"/>
        </w:rPr>
        <w:t>XLNet</w:t>
      </w:r>
      <w:proofErr w:type="spellEnd"/>
      <w:r w:rsidRPr="00B16664">
        <w:rPr>
          <w:rFonts w:ascii="Times New Roman" w:hAnsi="Times New Roman" w:cs="Times New Roman"/>
          <w:sz w:val="20"/>
          <w:szCs w:val="20"/>
        </w:rPr>
        <w:t>, and SmolLM2</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and two baseline models were collected on the held-out test split, and F1-Macro was computed using macro-averaged scoring with zero-division protection applied to handle edge cases where a class received no predictions.</w:t>
      </w:r>
    </w:p>
    <w:p w14:paraId="71B1504D" w14:textId="77777777" w:rsidR="00392FB9" w:rsidRPr="00B16664" w:rsidRDefault="00392FB9" w:rsidP="00B1666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Matthews Correlation Coefficient (MCC)</w:t>
      </w:r>
    </w:p>
    <w:p w14:paraId="3A629C0D" w14:textId="549477D5"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While F1-Macro provides a balanced view of class-level performance, it still depends on only two of the four confusion matrix outcomes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precision and recall. MCC is a more complete measure because it simultaneously incorporates all four values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true positives, true negatives, false positives, and false negatives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into a single coefficient. A model that exploits class imbalance by always predicting the majority class will produce </w:t>
      </w:r>
      <m:oMath>
        <m:r>
          <w:rPr>
            <w:rFonts w:ascii="Cambria Math" w:hAnsi="Cambria Math" w:cs="Times New Roman"/>
            <w:sz w:val="20"/>
            <w:szCs w:val="20"/>
          </w:rPr>
          <m:t>MCC≈0</m:t>
        </m:r>
      </m:oMath>
      <w:r w:rsidRPr="00B16664">
        <w:rPr>
          <w:rFonts w:ascii="Times New Roman" w:hAnsi="Times New Roman" w:cs="Times New Roman"/>
          <w:sz w:val="20"/>
          <w:szCs w:val="20"/>
        </w:rPr>
        <w:t>regardless of how high its accuracy appears, exposing the bias that accuracy alone cannot:</w:t>
      </w:r>
    </w:p>
    <w:p w14:paraId="74096A53" w14:textId="4E296F6E"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MCC=</m:t>
          </m:r>
          <m:f>
            <m:fPr>
              <m:ctrlPr>
                <w:rPr>
                  <w:rFonts w:ascii="Cambria Math" w:hAnsi="Cambria Math" w:cs="Times New Roman"/>
                  <w:sz w:val="20"/>
                  <w:szCs w:val="20"/>
                </w:rPr>
              </m:ctrlPr>
            </m:fPr>
            <m:num>
              <m:r>
                <w:rPr>
                  <w:rFonts w:ascii="Cambria Math" w:hAnsi="Cambria Math" w:cs="Times New Roman"/>
                  <w:sz w:val="20"/>
                  <w:szCs w:val="20"/>
                </w:rPr>
                <m:t>TP⋅TN-FP⋅FN</m:t>
              </m:r>
            </m:num>
            <m:den>
              <m:rad>
                <m:radPr>
                  <m:degHide m:val="1"/>
                  <m:ctrlPr>
                    <w:rPr>
                      <w:rFonts w:ascii="Cambria Math" w:hAnsi="Cambria Math" w:cs="Times New Roman"/>
                      <w:sz w:val="20"/>
                      <w:szCs w:val="20"/>
                    </w:rPr>
                  </m:ctrlPr>
                </m:radPr>
                <m:deg/>
                <m:e>
                  <m:d>
                    <m:dPr>
                      <m:ctrlPr>
                        <w:rPr>
                          <w:rFonts w:ascii="Cambria Math" w:hAnsi="Cambria Math" w:cs="Times New Roman"/>
                          <w:sz w:val="20"/>
                          <w:szCs w:val="20"/>
                        </w:rPr>
                      </m:ctrlPr>
                    </m:dPr>
                    <m:e>
                      <m:r>
                        <w:rPr>
                          <w:rFonts w:ascii="Cambria Math" w:hAnsi="Cambria Math" w:cs="Times New Roman"/>
                          <w:sz w:val="20"/>
                          <w:szCs w:val="20"/>
                        </w:rPr>
                        <m:t>TP+FP</m:t>
                      </m:r>
                    </m:e>
                  </m:d>
                  <m:d>
                    <m:dPr>
                      <m:ctrlPr>
                        <w:rPr>
                          <w:rFonts w:ascii="Cambria Math" w:hAnsi="Cambria Math" w:cs="Times New Roman"/>
                          <w:sz w:val="20"/>
                          <w:szCs w:val="20"/>
                        </w:rPr>
                      </m:ctrlPr>
                    </m:dPr>
                    <m:e>
                      <m:r>
                        <w:rPr>
                          <w:rFonts w:ascii="Cambria Math" w:hAnsi="Cambria Math" w:cs="Times New Roman"/>
                          <w:sz w:val="20"/>
                          <w:szCs w:val="20"/>
                        </w:rPr>
                        <m:t>TP+FN</m:t>
                      </m:r>
                    </m:e>
                  </m:d>
                  <m:d>
                    <m:dPr>
                      <m:ctrlPr>
                        <w:rPr>
                          <w:rFonts w:ascii="Cambria Math" w:hAnsi="Cambria Math" w:cs="Times New Roman"/>
                          <w:sz w:val="20"/>
                          <w:szCs w:val="20"/>
                        </w:rPr>
                      </m:ctrlPr>
                    </m:dPr>
                    <m:e>
                      <m:r>
                        <w:rPr>
                          <w:rFonts w:ascii="Cambria Math" w:hAnsi="Cambria Math" w:cs="Times New Roman"/>
                          <w:sz w:val="20"/>
                          <w:szCs w:val="20"/>
                        </w:rPr>
                        <m:t>TN+FP</m:t>
                      </m:r>
                    </m:e>
                  </m:d>
                  <m:d>
                    <m:dPr>
                      <m:ctrlPr>
                        <w:rPr>
                          <w:rFonts w:ascii="Cambria Math" w:hAnsi="Cambria Math" w:cs="Times New Roman"/>
                          <w:sz w:val="20"/>
                          <w:szCs w:val="20"/>
                        </w:rPr>
                      </m:ctrlPr>
                    </m:dPr>
                    <m:e>
                      <m:r>
                        <w:rPr>
                          <w:rFonts w:ascii="Cambria Math" w:hAnsi="Cambria Math" w:cs="Times New Roman"/>
                          <w:sz w:val="20"/>
                          <w:szCs w:val="20"/>
                        </w:rPr>
                        <m:t>TN+FN</m:t>
                      </m:r>
                    </m:e>
                  </m:d>
                </m:e>
              </m:rad>
            </m:den>
          </m:f>
        </m:oMath>
      </m:oMathPara>
    </w:p>
    <w:p w14:paraId="5A73EEB6" w14:textId="1973298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TP</m:t>
        </m:r>
      </m:oMath>
      <w:r w:rsidRPr="00B16664">
        <w:rPr>
          <w:rFonts w:ascii="Times New Roman" w:hAnsi="Times New Roman" w:cs="Times New Roman"/>
          <w:sz w:val="20"/>
          <w:szCs w:val="20"/>
        </w:rPr>
        <w:t xml:space="preserve">represents offensive sentences correctly classified as offensive, </w:t>
      </w:r>
      <m:oMath>
        <m:r>
          <w:rPr>
            <w:rFonts w:ascii="Cambria Math" w:hAnsi="Cambria Math" w:cs="Times New Roman"/>
            <w:sz w:val="20"/>
            <w:szCs w:val="20"/>
          </w:rPr>
          <m:t>TN</m:t>
        </m:r>
      </m:oMath>
      <w:r w:rsidRPr="00B16664">
        <w:rPr>
          <w:rFonts w:ascii="Times New Roman" w:hAnsi="Times New Roman" w:cs="Times New Roman"/>
          <w:sz w:val="20"/>
          <w:szCs w:val="20"/>
        </w:rPr>
        <w:t xml:space="preserve">represents non-offensive sentences correctly classified as non-offensive, </w:t>
      </w:r>
      <m:oMath>
        <m:r>
          <w:rPr>
            <w:rFonts w:ascii="Cambria Math" w:hAnsi="Cambria Math" w:cs="Times New Roman"/>
            <w:sz w:val="20"/>
            <w:szCs w:val="20"/>
          </w:rPr>
          <m:t>FP</m:t>
        </m:r>
      </m:oMath>
      <w:r w:rsidRPr="00B16664">
        <w:rPr>
          <w:rFonts w:ascii="Times New Roman" w:hAnsi="Times New Roman" w:cs="Times New Roman"/>
          <w:sz w:val="20"/>
          <w:szCs w:val="20"/>
        </w:rPr>
        <w:t xml:space="preserve">represents non-offensive sentences incorrectly classified as offensive, and </w:t>
      </w:r>
      <m:oMath>
        <m:r>
          <w:rPr>
            <w:rFonts w:ascii="Cambria Math" w:hAnsi="Cambria Math" w:cs="Times New Roman"/>
            <w:sz w:val="20"/>
            <w:szCs w:val="20"/>
          </w:rPr>
          <m:t>FN</m:t>
        </m:r>
      </m:oMath>
      <w:r w:rsidRPr="00B16664">
        <w:rPr>
          <w:rFonts w:ascii="Times New Roman" w:hAnsi="Times New Roman" w:cs="Times New Roman"/>
          <w:sz w:val="20"/>
          <w:szCs w:val="20"/>
        </w:rPr>
        <w:t xml:space="preserve">represents offensive sentences incorrectly classified as non-offensive. The coefficient ranges from </w:t>
      </w:r>
      <m:oMath>
        <m:r>
          <w:rPr>
            <w:rFonts w:ascii="Cambria Math" w:hAnsi="Cambria Math" w:cs="Times New Roman"/>
            <w:sz w:val="20"/>
            <w:szCs w:val="20"/>
          </w:rPr>
          <m:t>-1</m:t>
        </m:r>
      </m:oMath>
      <w:r w:rsidRPr="00B16664">
        <w:rPr>
          <w:rFonts w:ascii="Times New Roman" w:hAnsi="Times New Roman" w:cs="Times New Roman"/>
          <w:sz w:val="20"/>
          <w:szCs w:val="20"/>
        </w:rPr>
        <w:t xml:space="preserve">, indicating systematic wrong prediction in every case, through </w:t>
      </w:r>
      <m:oMath>
        <m:r>
          <w:rPr>
            <w:rFonts w:ascii="Cambria Math" w:hAnsi="Cambria Math" w:cs="Times New Roman"/>
            <w:sz w:val="20"/>
            <w:szCs w:val="20"/>
          </w:rPr>
          <m:t>0</m:t>
        </m:r>
      </m:oMath>
      <w:r w:rsidRPr="00B16664">
        <w:rPr>
          <w:rFonts w:ascii="Times New Roman" w:hAnsi="Times New Roman" w:cs="Times New Roman"/>
          <w:sz w:val="20"/>
          <w:szCs w:val="20"/>
        </w:rPr>
        <w:t xml:space="preserve">, which corresponds to performance equivalent to random guessing, to </w:t>
      </w:r>
      <m:oMath>
        <m:r>
          <w:rPr>
            <w:rFonts w:ascii="Cambria Math" w:hAnsi="Cambria Math" w:cs="Times New Roman"/>
            <w:sz w:val="20"/>
            <w:szCs w:val="20"/>
          </w:rPr>
          <m:t>+1</m:t>
        </m:r>
      </m:oMath>
      <w:r w:rsidRPr="00B16664">
        <w:rPr>
          <w:rFonts w:ascii="Times New Roman" w:hAnsi="Times New Roman" w:cs="Times New Roman"/>
          <w:sz w:val="20"/>
          <w:szCs w:val="20"/>
        </w:rPr>
        <w:t>, indicating perfect classification. MCC was computed alongside F1-Macro from the same test split predictions for each model configuration.</w:t>
      </w:r>
    </w:p>
    <w:p w14:paraId="2C998FE3" w14:textId="77777777" w:rsidR="00392FB9" w:rsidRPr="00B16664" w:rsidRDefault="00392FB9" w:rsidP="00B1666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AUC-ROC</w:t>
      </w:r>
    </w:p>
    <w:p w14:paraId="1A31D427" w14:textId="1770773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F1-Macro and MCC evaluate the model's binary decisions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offensive or non-offensive. AUC-ROC operates at a different level by evaluating the quality of the model's underlying probability estimates, independently of any fixed decision threshold. It answers the question: if a randomly selected offensive sentence and a randomly selected non-offensive sentence are both given to the model, how consistently does the model assign a higher probability score to the offensive one? A value of </w:t>
      </w:r>
      <m:oMath>
        <m:r>
          <w:rPr>
            <w:rFonts w:ascii="Cambria Math" w:hAnsi="Cambria Math" w:cs="Times New Roman"/>
            <w:sz w:val="20"/>
            <w:szCs w:val="20"/>
          </w:rPr>
          <m:t>0.5</m:t>
        </m:r>
      </m:oMath>
      <w:r w:rsidRPr="00B16664">
        <w:rPr>
          <w:rFonts w:ascii="Times New Roman" w:hAnsi="Times New Roman" w:cs="Times New Roman"/>
          <w:sz w:val="20"/>
          <w:szCs w:val="20"/>
        </w:rPr>
        <w:t xml:space="preserve">corresponds to random ranking performance while values above </w:t>
      </w:r>
      <m:oMath>
        <m:r>
          <w:rPr>
            <w:rFonts w:ascii="Cambria Math" w:hAnsi="Cambria Math" w:cs="Times New Roman"/>
            <w:sz w:val="20"/>
            <w:szCs w:val="20"/>
          </w:rPr>
          <m:t>0.9</m:t>
        </m:r>
      </m:oMath>
      <w:r w:rsidRPr="00B16664">
        <w:rPr>
          <w:rFonts w:ascii="Times New Roman" w:hAnsi="Times New Roman" w:cs="Times New Roman"/>
          <w:sz w:val="20"/>
          <w:szCs w:val="20"/>
        </w:rPr>
        <w:t>indicate excellent separation between the two classes:</w:t>
      </w:r>
    </w:p>
    <w:p w14:paraId="04A4AA19" w14:textId="117F606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AUC=</m:t>
          </m:r>
          <m:nary>
            <m:naryPr>
              <m:limLoc m:val="subSup"/>
              <m:grow m:val="1"/>
              <m:ctrlPr>
                <w:rPr>
                  <w:rFonts w:ascii="Cambria Math" w:hAnsi="Cambria Math" w:cs="Times New Roman"/>
                  <w:sz w:val="20"/>
                  <w:szCs w:val="20"/>
                </w:rPr>
              </m:ctrlPr>
            </m:naryPr>
            <m:sub>
              <m:r>
                <w:rPr>
                  <w:rFonts w:ascii="Cambria Math" w:hAnsi="Cambria Math" w:cs="Times New Roman"/>
                  <w:sz w:val="20"/>
                  <w:szCs w:val="20"/>
                </w:rPr>
                <m:t>0</m:t>
              </m:r>
            </m:sub>
            <m:sup>
              <m:r>
                <w:rPr>
                  <w:rFonts w:ascii="Cambria Math" w:hAnsi="Cambria Math" w:cs="Times New Roman"/>
                  <w:sz w:val="20"/>
                  <w:szCs w:val="20"/>
                </w:rPr>
                <m:t>1</m:t>
              </m:r>
            </m:sup>
            <m:e>
              <m:r>
                <w:rPr>
                  <w:rFonts w:ascii="Cambria Math" w:hAnsi="Cambria Math" w:cs="Times New Roman"/>
                  <w:sz w:val="20"/>
                  <w:szCs w:val="20"/>
                </w:rPr>
                <m:t>T</m:t>
              </m:r>
            </m:e>
          </m:nary>
          <m:r>
            <w:rPr>
              <w:rFonts w:ascii="Cambria Math" w:hAnsi="Cambria Math" w:cs="Times New Roman"/>
              <w:sz w:val="20"/>
              <w:szCs w:val="20"/>
            </w:rPr>
            <m:t>PR</m:t>
          </m:r>
          <m:d>
            <m:dPr>
              <m:ctrlPr>
                <w:rPr>
                  <w:rFonts w:ascii="Cambria Math" w:hAnsi="Cambria Math" w:cs="Times New Roman"/>
                  <w:sz w:val="20"/>
                  <w:szCs w:val="20"/>
                </w:rPr>
              </m:ctrlPr>
            </m:dPr>
            <m:e>
              <m:r>
                <w:rPr>
                  <w:rFonts w:ascii="Cambria Math" w:hAnsi="Cambria Math" w:cs="Times New Roman"/>
                  <w:sz w:val="20"/>
                  <w:szCs w:val="20"/>
                </w:rPr>
                <m:t>FPR</m:t>
              </m:r>
            </m:e>
          </m:d>
          <m:r>
            <m:rPr>
              <m:nor/>
            </m:rPr>
            <w:rPr>
              <w:rFonts w:ascii="Times New Roman" w:hAnsi="Times New Roman" w:cs="Times New Roman"/>
              <w:sz w:val="20"/>
              <w:szCs w:val="20"/>
            </w:rPr>
            <m:t> </m:t>
          </m:r>
          <m:r>
            <w:rPr>
              <w:rFonts w:ascii="Cambria Math" w:hAnsi="Cambria Math" w:cs="Times New Roman"/>
              <w:sz w:val="20"/>
              <w:szCs w:val="20"/>
            </w:rPr>
            <m:t>d</m:t>
          </m:r>
          <m:d>
            <m:dPr>
              <m:ctrlPr>
                <w:rPr>
                  <w:rFonts w:ascii="Cambria Math" w:hAnsi="Cambria Math" w:cs="Times New Roman"/>
                  <w:sz w:val="20"/>
                  <w:szCs w:val="20"/>
                </w:rPr>
              </m:ctrlPr>
            </m:dPr>
            <m:e>
              <m:r>
                <w:rPr>
                  <w:rFonts w:ascii="Cambria Math" w:hAnsi="Cambria Math" w:cs="Times New Roman"/>
                  <w:sz w:val="20"/>
                  <w:szCs w:val="20"/>
                </w:rPr>
                <m:t>FPR</m:t>
              </m:r>
            </m:e>
          </m:d>
        </m:oMath>
      </m:oMathPara>
    </w:p>
    <w:p w14:paraId="6D4929D4" w14:textId="1C8D68C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TPR</m:t>
        </m:r>
      </m:oMath>
      <w:r w:rsidRPr="00B16664">
        <w:rPr>
          <w:rFonts w:ascii="Times New Roman" w:hAnsi="Times New Roman" w:cs="Times New Roman"/>
          <w:sz w:val="20"/>
          <w:szCs w:val="20"/>
        </w:rPr>
        <w:t xml:space="preserve">is the True Positive Rate and </w:t>
      </w:r>
      <m:oMath>
        <m:r>
          <w:rPr>
            <w:rFonts w:ascii="Cambria Math" w:hAnsi="Cambria Math" w:cs="Times New Roman"/>
            <w:sz w:val="20"/>
            <w:szCs w:val="20"/>
          </w:rPr>
          <m:t>FPR</m:t>
        </m:r>
      </m:oMath>
      <w:r w:rsidRPr="00B16664">
        <w:rPr>
          <w:rFonts w:ascii="Times New Roman" w:hAnsi="Times New Roman" w:cs="Times New Roman"/>
          <w:sz w:val="20"/>
          <w:szCs w:val="20"/>
        </w:rPr>
        <w:t>is the False Positive Rate, both evaluated across all possible classification thresholds. In our pipeline, the softmax probability assigned to the offensive class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specifically the second column of </w:t>
      </w:r>
      <w:r w:rsidRPr="00B16664">
        <w:rPr>
          <w:rFonts w:ascii="Times New Roman" w:hAnsi="Times New Roman" w:cs="Times New Roman"/>
          <w:sz w:val="20"/>
          <w:szCs w:val="20"/>
        </w:rPr>
        <w:lastRenderedPageBreak/>
        <w:t>the model's probability output matrix</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was used as the ranking score for AUC computation. This metric was computed for each backbone model in the final evaluation step.</w:t>
      </w:r>
    </w:p>
    <w:p w14:paraId="2AD68967" w14:textId="77777777" w:rsidR="00392FB9" w:rsidRPr="00B16664" w:rsidRDefault="00392FB9" w:rsidP="00B1666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Inter-Dataset Diversity Score (IDS)</w:t>
      </w:r>
    </w:p>
    <w:p w14:paraId="0361F0BD" w14:textId="41D8DFC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When building the multi-source corpus, simply adding more records is insufficient if the new data contains the same vocabulary, writing styles, and annotation patterns already present in the existing corpus. IDS was introduced to quantify how much genuine semantic diversity each newly added dataset contributes, beyond simply increasing the record count. The metric measures the semantic distance between the existing aggregated corpus and the incoming dataset in TF-IDF embedding space</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a high IDS value confirms that the new dataset introduces vocabulary and linguistic patterns not already covered, while a low IDS value indicates redundant content:</w:t>
      </w:r>
    </w:p>
    <w:p w14:paraId="5F5D3E9A" w14:textId="4324148A"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IDS=1-</m:t>
          </m:r>
          <m:r>
            <m:rPr>
              <m:nor/>
            </m:rPr>
            <w:rPr>
              <w:rFonts w:ascii="Times New Roman" w:hAnsi="Times New Roman" w:cs="Times New Roman"/>
              <w:sz w:val="20"/>
              <w:szCs w:val="20"/>
            </w:rPr>
            <m:t>CosSim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prior</m:t>
                  </m:r>
                </m:sub>
              </m:sSub>
            </m:e>
            <m:e>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new</m:t>
                  </m:r>
                </m:sub>
              </m:sSub>
            </m:e>
          </m:d>
          <m:r>
            <m:rPr>
              <m:sty m:val="p"/>
            </m:rPr>
            <w:rPr>
              <w:rFonts w:ascii="Times New Roman" w:hAnsi="Times New Roman" w:cs="Times New Roman"/>
              <w:sz w:val="20"/>
              <w:szCs w:val="20"/>
            </w:rPr>
            <w:br/>
          </m:r>
        </m:oMath>
        <m:oMath>
          <m:r>
            <m:rPr>
              <m:nor/>
            </m:rPr>
            <w:rPr>
              <w:rFonts w:ascii="Times New Roman" w:hAnsi="Times New Roman" w:cs="Times New Roman"/>
              <w:sz w:val="20"/>
              <w:szCs w:val="20"/>
            </w:rPr>
            <m:t>CosSim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prior</m:t>
                  </m:r>
                </m:sub>
              </m:sSub>
            </m:e>
            <m:e>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new</m:t>
                  </m:r>
                </m:sub>
              </m:sSub>
            </m:e>
          </m:d>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prior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new</m:t>
                  </m:r>
                </m:sub>
              </m:sSub>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prior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new</m:t>
                  </m:r>
                </m:sub>
              </m:sSub>
              <m:r>
                <w:rPr>
                  <w:rFonts w:ascii="Cambria Math" w:hAnsi="Cambria Math" w:cs="Times New Roman"/>
                  <w:sz w:val="20"/>
                  <w:szCs w:val="20"/>
                </w:rPr>
                <m:t>∥</m:t>
              </m:r>
            </m:den>
          </m:f>
        </m:oMath>
      </m:oMathPara>
    </w:p>
    <w:p w14:paraId="472DA300" w14:textId="38452CD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prior</m:t>
            </m:r>
          </m:sub>
        </m:sSub>
      </m:oMath>
      <w:r w:rsidRPr="00B16664">
        <w:rPr>
          <w:rFonts w:ascii="Times New Roman" w:hAnsi="Times New Roman" w:cs="Times New Roman"/>
          <w:sz w:val="20"/>
          <w:szCs w:val="20"/>
        </w:rPr>
        <w:t xml:space="preserve">is the mean TF-IDF vector of all texts already in the corpus and </w:t>
      </w:r>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new</m:t>
            </m:r>
          </m:sub>
        </m:sSub>
      </m:oMath>
      <w:r w:rsidRPr="00B16664">
        <w:rPr>
          <w:rFonts w:ascii="Times New Roman" w:hAnsi="Times New Roman" w:cs="Times New Roman"/>
          <w:sz w:val="20"/>
          <w:szCs w:val="20"/>
        </w:rPr>
        <w:t xml:space="preserve">is the mean TF-IDF vector of the incoming dataset's texts. A value of </w:t>
      </w:r>
      <m:oMath>
        <m:r>
          <w:rPr>
            <w:rFonts w:ascii="Cambria Math" w:hAnsi="Cambria Math" w:cs="Times New Roman"/>
            <w:sz w:val="20"/>
            <w:szCs w:val="20"/>
          </w:rPr>
          <m:t>IDS=1</m:t>
        </m:r>
      </m:oMath>
      <w:r w:rsidRPr="00B16664">
        <w:rPr>
          <w:rFonts w:ascii="Times New Roman" w:hAnsi="Times New Roman" w:cs="Times New Roman"/>
          <w:sz w:val="20"/>
          <w:szCs w:val="20"/>
        </w:rPr>
        <w:t xml:space="preserve">indicates that the new dataset is semantically orthogonal to the prior corpus, while </w:t>
      </w:r>
      <m:oMath>
        <m:r>
          <w:rPr>
            <w:rFonts w:ascii="Cambria Math" w:hAnsi="Cambria Math" w:cs="Times New Roman"/>
            <w:sz w:val="20"/>
            <w:szCs w:val="20"/>
          </w:rPr>
          <m:t>IDS=0</m:t>
        </m:r>
      </m:oMath>
      <w:r w:rsidRPr="00B16664">
        <w:rPr>
          <w:rFonts w:ascii="Times New Roman" w:hAnsi="Times New Roman" w:cs="Times New Roman"/>
          <w:sz w:val="20"/>
          <w:szCs w:val="20"/>
        </w:rPr>
        <w:t>indicates complete overlap. A single TF-IDF vectorizer with 5,000 features was fitted once across all five datasets jointly to ensure that all comparisons were made within a shared embedding space. IDS was computed cumulatively as each dataset was introduced in the sequence HASOC → HSLL → HTEval → HTXplain → OLID. The first dataset had no prior corpus to compare against, so IDS was not applicable for that configuration.</w:t>
      </w:r>
    </w:p>
    <w:p w14:paraId="3CD30932" w14:textId="77777777" w:rsidR="00392FB9" w:rsidRPr="00B16664" w:rsidRDefault="00392FB9" w:rsidP="001515CE">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Obfuscation Detection Precision (ODP)</w:t>
      </w:r>
    </w:p>
    <w:p w14:paraId="0714A6F9" w14:textId="7288736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The </w:t>
      </w:r>
      <w:proofErr w:type="spellStart"/>
      <w:r w:rsidRPr="00B16664">
        <w:rPr>
          <w:rFonts w:ascii="Times New Roman" w:hAnsi="Times New Roman" w:cs="Times New Roman"/>
          <w:sz w:val="20"/>
          <w:szCs w:val="20"/>
        </w:rPr>
        <w:t>ObfDetX</w:t>
      </w:r>
      <w:proofErr w:type="spellEnd"/>
      <w:r w:rsidRPr="00B16664">
        <w:rPr>
          <w:rFonts w:ascii="Times New Roman" w:hAnsi="Times New Roman" w:cs="Times New Roman"/>
          <w:sz w:val="20"/>
          <w:szCs w:val="20"/>
        </w:rPr>
        <w:t xml:space="preserve"> module applies three detection rules to identify obfuscated tokens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special character substitution, </w:t>
      </w:r>
      <w:proofErr w:type="spellStart"/>
      <w:r w:rsidRPr="00B16664">
        <w:rPr>
          <w:rFonts w:ascii="Times New Roman" w:hAnsi="Times New Roman" w:cs="Times New Roman"/>
          <w:sz w:val="20"/>
          <w:szCs w:val="20"/>
        </w:rPr>
        <w:t>leet</w:t>
      </w:r>
      <w:proofErr w:type="spellEnd"/>
      <w:r w:rsidRPr="00B16664">
        <w:rPr>
          <w:rFonts w:ascii="Times New Roman" w:hAnsi="Times New Roman" w:cs="Times New Roman"/>
          <w:sz w:val="20"/>
          <w:szCs w:val="20"/>
        </w:rPr>
        <w:t xml:space="preserve"> digit substitution, and character masking or elongation. ODP measures the accuracy of this detection process by quantifying what fraction of the tokens flagged as obfuscated were genuinely obfuscated, directly penalizing false alarms where clean tokens are incorrectly flagged:</w:t>
      </w:r>
    </w:p>
    <w:p w14:paraId="3E564FD6" w14:textId="50D57936"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ODP=</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oMath>
      </m:oMathPara>
    </w:p>
    <w:p w14:paraId="3EB5BF97" w14:textId="660ABB6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TP</m:t>
        </m:r>
      </m:oMath>
      <w:r w:rsidRPr="00B16664">
        <w:rPr>
          <w:rFonts w:ascii="Times New Roman" w:hAnsi="Times New Roman" w:cs="Times New Roman"/>
          <w:sz w:val="20"/>
          <w:szCs w:val="20"/>
        </w:rPr>
        <w:t xml:space="preserve">is the count of genuinely obfuscated tokens that were correctly detected, and </w:t>
      </w:r>
      <m:oMath>
        <m:r>
          <w:rPr>
            <w:rFonts w:ascii="Cambria Math" w:hAnsi="Cambria Math" w:cs="Times New Roman"/>
            <w:sz w:val="20"/>
            <w:szCs w:val="20"/>
          </w:rPr>
          <m:t>FP</m:t>
        </m:r>
      </m:oMath>
      <w:r w:rsidRPr="00B16664">
        <w:rPr>
          <w:rFonts w:ascii="Times New Roman" w:hAnsi="Times New Roman" w:cs="Times New Roman"/>
          <w:sz w:val="20"/>
          <w:szCs w:val="20"/>
        </w:rPr>
        <w:t>is the count of clean tokens that were incorrectly flagged as obfuscated. To compute this metric authentically without requiring manually annotated test data, a controlled audit procedure was applied. Sentences containing known offensive lexicon words were sampled from each dataset, and obfuscation was deliberately injected into those words using four strategies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w:t>
      </w:r>
      <w:proofErr w:type="spellStart"/>
      <w:r w:rsidRPr="00B16664">
        <w:rPr>
          <w:rFonts w:ascii="Times New Roman" w:hAnsi="Times New Roman" w:cs="Times New Roman"/>
          <w:sz w:val="20"/>
          <w:szCs w:val="20"/>
        </w:rPr>
        <w:t>leet</w:t>
      </w:r>
      <w:proofErr w:type="spellEnd"/>
      <w:r w:rsidRPr="00B16664">
        <w:rPr>
          <w:rFonts w:ascii="Times New Roman" w:hAnsi="Times New Roman" w:cs="Times New Roman"/>
          <w:sz w:val="20"/>
          <w:szCs w:val="20"/>
        </w:rPr>
        <w:t xml:space="preserve"> digit substitution, special symbol replacement, asterisk masking, and character elongation. The detection function was applied to each injected token and the output was compared against the known ground truth. Separately, clean non-lexicon tokens were also tested to count false positives. ODP was computed per dataset and reported in the ODMS evaluation table.</w:t>
      </w:r>
    </w:p>
    <w:p w14:paraId="5D83C797" w14:textId="77777777" w:rsidR="00392FB9" w:rsidRPr="00B16664" w:rsidRDefault="00392FB9" w:rsidP="001515CE">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Obfuscation Detection Recall (ODR)</w:t>
      </w:r>
    </w:p>
    <w:p w14:paraId="238CCD7D" w14:textId="6D4FC87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While ODP measures false alarms, ODR measures the complementary problem</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how many of the genuinely obfuscated tokens present in the data were successfully identified by the detection system. A system with high ODP but low ODR detects obfuscation reliably when it fires, but misses a large proportion of the actual obfuscated instances:</w:t>
      </w:r>
    </w:p>
    <w:p w14:paraId="6BB401E2" w14:textId="68FCAED5"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ODR=</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oMath>
      </m:oMathPara>
    </w:p>
    <w:p w14:paraId="2316BD3E" w14:textId="7153CCC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lastRenderedPageBreak/>
        <w:t xml:space="preserve">where </w:t>
      </w:r>
      <m:oMath>
        <m:r>
          <w:rPr>
            <w:rFonts w:ascii="Cambria Math" w:hAnsi="Cambria Math" w:cs="Times New Roman"/>
            <w:sz w:val="20"/>
            <w:szCs w:val="20"/>
          </w:rPr>
          <m:t>FN</m:t>
        </m:r>
      </m:oMath>
      <w:r w:rsidRPr="00B16664">
        <w:rPr>
          <w:rFonts w:ascii="Times New Roman" w:hAnsi="Times New Roman" w:cs="Times New Roman"/>
          <w:sz w:val="20"/>
          <w:szCs w:val="20"/>
        </w:rPr>
        <w:t xml:space="preserve">is the count of genuinely obfuscated tokens that the detection system failed to identify. ODR was computed within the same controlled audit procedure as ODP. When an injected obfuscated token was not detected by any of the three rules, it was counted as a false negative. Both metrics share the same </w:t>
      </w:r>
      <m:oMath>
        <m:r>
          <w:rPr>
            <w:rFonts w:ascii="Cambria Math" w:hAnsi="Cambria Math" w:cs="Times New Roman"/>
            <w:sz w:val="20"/>
            <w:szCs w:val="20"/>
          </w:rPr>
          <m:t>TP</m:t>
        </m:r>
      </m:oMath>
      <w:r w:rsidRPr="00B16664">
        <w:rPr>
          <w:rFonts w:ascii="Times New Roman" w:hAnsi="Times New Roman" w:cs="Times New Roman"/>
          <w:sz w:val="20"/>
          <w:szCs w:val="20"/>
        </w:rPr>
        <w:t>count and were computed together per dataset within the same evaluation loop.</w:t>
      </w:r>
    </w:p>
    <w:p w14:paraId="3A66B157" w14:textId="77777777" w:rsidR="00392FB9" w:rsidRPr="00B16664" w:rsidRDefault="00392FB9" w:rsidP="001515CE">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Pattern Coverage Rate (PCR)</w:t>
      </w:r>
    </w:p>
    <w:p w14:paraId="10AE2AD4" w14:textId="1A431C8B" w:rsidR="00392FB9" w:rsidRPr="00B16664" w:rsidRDefault="00392FB9" w:rsidP="00392FB9">
      <w:pPr>
        <w:jc w:val="both"/>
        <w:rPr>
          <w:rFonts w:ascii="Times New Roman" w:hAnsi="Times New Roman" w:cs="Times New Roman"/>
          <w:sz w:val="20"/>
          <w:szCs w:val="20"/>
        </w:rPr>
      </w:pPr>
      <w:proofErr w:type="spellStart"/>
      <w:r w:rsidRPr="00B16664">
        <w:rPr>
          <w:rFonts w:ascii="Times New Roman" w:hAnsi="Times New Roman" w:cs="Times New Roman"/>
          <w:sz w:val="20"/>
          <w:szCs w:val="20"/>
        </w:rPr>
        <w:t>ObfDetX</w:t>
      </w:r>
      <w:proofErr w:type="spellEnd"/>
      <w:r w:rsidRPr="00B16664">
        <w:rPr>
          <w:rFonts w:ascii="Times New Roman" w:hAnsi="Times New Roman" w:cs="Times New Roman"/>
          <w:sz w:val="20"/>
          <w:szCs w:val="20"/>
        </w:rPr>
        <w:t xml:space="preserve"> defines three distinct obfuscation rule types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special character substitution, number-as-letter </w:t>
      </w:r>
      <w:proofErr w:type="spellStart"/>
      <w:r w:rsidRPr="00B16664">
        <w:rPr>
          <w:rFonts w:ascii="Times New Roman" w:hAnsi="Times New Roman" w:cs="Times New Roman"/>
          <w:sz w:val="20"/>
          <w:szCs w:val="20"/>
        </w:rPr>
        <w:t>leet</w:t>
      </w:r>
      <w:proofErr w:type="spellEnd"/>
      <w:r w:rsidRPr="00B16664">
        <w:rPr>
          <w:rFonts w:ascii="Times New Roman" w:hAnsi="Times New Roman" w:cs="Times New Roman"/>
          <w:sz w:val="20"/>
          <w:szCs w:val="20"/>
        </w:rPr>
        <w:t xml:space="preserve">-speak, and masking or elongation. PCR measures what fraction of these three rule categories actually encountered matching patterns in each dataset. A PCR of </w:t>
      </w:r>
      <m:oMath>
        <m:r>
          <w:rPr>
            <w:rFonts w:ascii="Cambria Math" w:hAnsi="Cambria Math" w:cs="Times New Roman"/>
            <w:sz w:val="20"/>
            <w:szCs w:val="20"/>
          </w:rPr>
          <m:t>1.0</m:t>
        </m:r>
      </m:oMath>
      <w:r w:rsidRPr="00B16664">
        <w:rPr>
          <w:rFonts w:ascii="Times New Roman" w:hAnsi="Times New Roman" w:cs="Times New Roman"/>
          <w:sz w:val="20"/>
          <w:szCs w:val="20"/>
        </w:rPr>
        <w:t>indicates that all three rule types fired on at least one token in the dataset, confirming comprehensive coverage of the defined obfuscation taxonomy:</w:t>
      </w:r>
    </w:p>
    <w:p w14:paraId="04ADC0CA" w14:textId="0DDDA2AD"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PCR=</m:t>
          </m:r>
          <m:f>
            <m:fPr>
              <m:ctrlPr>
                <w:rPr>
                  <w:rFonts w:ascii="Cambria Math" w:hAnsi="Cambria Math" w:cs="Times New Roman"/>
                  <w:sz w:val="20"/>
                  <w:szCs w:val="20"/>
                </w:rPr>
              </m:ctrlPr>
            </m:fPr>
            <m:num>
              <m:r>
                <m:rPr>
                  <m:nor/>
                </m:rPr>
                <w:rPr>
                  <w:rFonts w:ascii="Times New Roman" w:hAnsi="Times New Roman" w:cs="Times New Roman"/>
                  <w:sz w:val="20"/>
                  <w:szCs w:val="20"/>
                </w:rPr>
                <m:t>Number of distinct obfuscation rule types detected</m:t>
              </m:r>
            </m:num>
            <m:den>
              <m:r>
                <w:rPr>
                  <w:rFonts w:ascii="Cambria Math" w:hAnsi="Cambria Math" w:cs="Times New Roman"/>
                  <w:sz w:val="20"/>
                  <w:szCs w:val="20"/>
                </w:rPr>
                <m:t>3</m:t>
              </m:r>
            </m:den>
          </m:f>
        </m:oMath>
      </m:oMathPara>
    </w:p>
    <w:p w14:paraId="0E07BE9F" w14:textId="1437EE1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During the audit procedure, each successfully detected token's rule type was recorded. After processing a complete dataset, the number of distinct rule types that fired at least once was divided by three to produce the PCR score. This was computed per dataset alongside ODP and ODR within the same evaluation loop.</w:t>
      </w:r>
    </w:p>
    <w:p w14:paraId="5A28A118" w14:textId="77777777" w:rsidR="00392FB9" w:rsidRPr="00B16664" w:rsidRDefault="00392FB9" w:rsidP="000C0193">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Recovery Completion Rate (RCR)</w:t>
      </w:r>
    </w:p>
    <w:p w14:paraId="63B8EC8F" w14:textId="28E34F9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Once </w:t>
      </w:r>
      <w:proofErr w:type="spellStart"/>
      <w:r w:rsidRPr="00B16664">
        <w:rPr>
          <w:rFonts w:ascii="Times New Roman" w:hAnsi="Times New Roman" w:cs="Times New Roman"/>
          <w:sz w:val="20"/>
          <w:szCs w:val="20"/>
        </w:rPr>
        <w:t>ObfDetX</w:t>
      </w:r>
      <w:proofErr w:type="spellEnd"/>
      <w:r w:rsidRPr="00B16664">
        <w:rPr>
          <w:rFonts w:ascii="Times New Roman" w:hAnsi="Times New Roman" w:cs="Times New Roman"/>
          <w:sz w:val="20"/>
          <w:szCs w:val="20"/>
        </w:rPr>
        <w:t xml:space="preserve"> identifies obfuscated tokens, the </w:t>
      </w:r>
      <w:proofErr w:type="spellStart"/>
      <w:r w:rsidRPr="00B16664">
        <w:rPr>
          <w:rFonts w:ascii="Times New Roman" w:hAnsi="Times New Roman" w:cs="Times New Roman"/>
          <w:sz w:val="20"/>
          <w:szCs w:val="20"/>
        </w:rPr>
        <w:t>ObfReX</w:t>
      </w:r>
      <w:proofErr w:type="spellEnd"/>
      <w:r w:rsidRPr="00B16664">
        <w:rPr>
          <w:rFonts w:ascii="Times New Roman" w:hAnsi="Times New Roman" w:cs="Times New Roman"/>
          <w:sz w:val="20"/>
          <w:szCs w:val="20"/>
        </w:rPr>
        <w:t xml:space="preserve"> module attempts to restore each token to its original readable form</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for example, recovering </w:t>
      </w:r>
      <w:r w:rsidRPr="00B16664">
        <w:rPr>
          <w:rFonts w:ascii="Times New Roman" w:hAnsi="Times New Roman" w:cs="Times New Roman"/>
          <w:i/>
          <w:iCs/>
          <w:sz w:val="20"/>
          <w:szCs w:val="20"/>
        </w:rPr>
        <w:t>k1ll</w:t>
      </w:r>
      <w:r w:rsidRPr="00B16664">
        <w:rPr>
          <w:rFonts w:ascii="Times New Roman" w:hAnsi="Times New Roman" w:cs="Times New Roman"/>
          <w:sz w:val="20"/>
          <w:szCs w:val="20"/>
        </w:rPr>
        <w:t xml:space="preserve"> back to </w:t>
      </w:r>
      <w:r w:rsidRPr="00B16664">
        <w:rPr>
          <w:rFonts w:ascii="Times New Roman" w:hAnsi="Times New Roman" w:cs="Times New Roman"/>
          <w:i/>
          <w:iCs/>
          <w:sz w:val="20"/>
          <w:szCs w:val="20"/>
        </w:rPr>
        <w:t>kill</w:t>
      </w:r>
      <w:r w:rsidRPr="00B16664">
        <w:rPr>
          <w:rFonts w:ascii="Times New Roman" w:hAnsi="Times New Roman" w:cs="Times New Roman"/>
          <w:sz w:val="20"/>
          <w:szCs w:val="20"/>
        </w:rPr>
        <w:t>. RCR measures the completeness of this recovery process by quantifying what fraction of the detected tokens were successfully recovered. A recovery was counted as successful only when the output differed from the obfuscated input and produced a valid alphabetic result</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tokens where the recovery function returned no change or produced a non-alphabetic output were excluded from the numerator:</w:t>
      </w:r>
    </w:p>
    <w:p w14:paraId="485817CB" w14:textId="40B4F3A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RCR=</m:t>
          </m:r>
          <m:f>
            <m:fPr>
              <m:ctrlPr>
                <w:rPr>
                  <w:rFonts w:ascii="Cambria Math" w:hAnsi="Cambria Math" w:cs="Times New Roman"/>
                  <w:sz w:val="20"/>
                  <w:szCs w:val="20"/>
                </w:rPr>
              </m:ctrlPr>
            </m:fPr>
            <m:num>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r>
                <w:rPr>
                  <w:rFonts w:ascii="Cambria Math" w:hAnsi="Cambria Math" w:cs="Times New Roman"/>
                  <w:sz w:val="20"/>
                  <w:szCs w:val="20"/>
                </w:rPr>
                <m:t>∣</m:t>
              </m:r>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det</m:t>
                  </m:r>
                </m:sub>
              </m:sSub>
              <m:r>
                <w:rPr>
                  <w:rFonts w:ascii="Cambria Math" w:hAnsi="Cambria Math" w:cs="Times New Roman"/>
                  <w:sz w:val="20"/>
                  <w:szCs w:val="20"/>
                </w:rPr>
                <m:t>∣</m:t>
              </m:r>
            </m:den>
          </m:f>
        </m:oMath>
      </m:oMathPara>
    </w:p>
    <w:p w14:paraId="66E21948" w14:textId="4D07C07B"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det</m:t>
            </m:r>
          </m:sub>
        </m:sSub>
      </m:oMath>
      <w:r w:rsidRPr="00B16664">
        <w:rPr>
          <w:rFonts w:ascii="Times New Roman" w:hAnsi="Times New Roman" w:cs="Times New Roman"/>
          <w:sz w:val="20"/>
          <w:szCs w:val="20"/>
        </w:rPr>
        <w:t xml:space="preserve">is the total count of detected obfuscated tokens and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oMath>
      <w:r w:rsidRPr="00B16664">
        <w:rPr>
          <w:rFonts w:ascii="Times New Roman" w:hAnsi="Times New Roman" w:cs="Times New Roman"/>
          <w:sz w:val="20"/>
          <w:szCs w:val="20"/>
        </w:rPr>
        <w:t>is the count of those that were successfully recovered. In the audit procedure, every detected token was passed through the recovery function and evaluated against this criterion. RCR was computed per dataset.</w:t>
      </w:r>
    </w:p>
    <w:p w14:paraId="0AF0C4B0" w14:textId="77777777" w:rsidR="00392FB9" w:rsidRPr="00B16664" w:rsidRDefault="00392FB9" w:rsidP="000C0193">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Token Recovery Accuracy (TRA)</w:t>
      </w:r>
    </w:p>
    <w:p w14:paraId="51B64C22" w14:textId="6FEB94C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RCR confirms that tokens were recovered</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but it does not verify whether they were recovered correctly. TRA addresses this by measuring what fraction of the recovered tokens were restored to the specific word that existed before obfuscation was applied, rather than to just any valid word. A recovery of </w:t>
      </w:r>
      <w:proofErr w:type="spellStart"/>
      <w:r w:rsidRPr="00B16664">
        <w:rPr>
          <w:rFonts w:ascii="Times New Roman" w:hAnsi="Times New Roman" w:cs="Times New Roman"/>
          <w:i/>
          <w:iCs/>
          <w:sz w:val="20"/>
          <w:szCs w:val="20"/>
        </w:rPr>
        <w:t>h@te</w:t>
      </w:r>
      <w:proofErr w:type="spellEnd"/>
      <w:r w:rsidRPr="00B16664">
        <w:rPr>
          <w:rFonts w:ascii="Times New Roman" w:hAnsi="Times New Roman" w:cs="Times New Roman"/>
          <w:sz w:val="20"/>
          <w:szCs w:val="20"/>
        </w:rPr>
        <w:t xml:space="preserve"> to </w:t>
      </w:r>
      <w:r w:rsidRPr="00B16664">
        <w:rPr>
          <w:rFonts w:ascii="Times New Roman" w:hAnsi="Times New Roman" w:cs="Times New Roman"/>
          <w:i/>
          <w:iCs/>
          <w:sz w:val="20"/>
          <w:szCs w:val="20"/>
        </w:rPr>
        <w:t>hate</w:t>
      </w:r>
      <w:r w:rsidRPr="00B16664">
        <w:rPr>
          <w:rFonts w:ascii="Times New Roman" w:hAnsi="Times New Roman" w:cs="Times New Roman"/>
          <w:sz w:val="20"/>
          <w:szCs w:val="20"/>
        </w:rPr>
        <w:t xml:space="preserve"> is correct; a recovery of </w:t>
      </w:r>
      <w:proofErr w:type="spellStart"/>
      <w:r w:rsidRPr="00B16664">
        <w:rPr>
          <w:rFonts w:ascii="Times New Roman" w:hAnsi="Times New Roman" w:cs="Times New Roman"/>
          <w:i/>
          <w:iCs/>
          <w:sz w:val="20"/>
          <w:szCs w:val="20"/>
        </w:rPr>
        <w:t>h@te</w:t>
      </w:r>
      <w:proofErr w:type="spellEnd"/>
      <w:r w:rsidRPr="00B16664">
        <w:rPr>
          <w:rFonts w:ascii="Times New Roman" w:hAnsi="Times New Roman" w:cs="Times New Roman"/>
          <w:sz w:val="20"/>
          <w:szCs w:val="20"/>
        </w:rPr>
        <w:t xml:space="preserve"> to </w:t>
      </w:r>
      <w:r w:rsidRPr="00B16664">
        <w:rPr>
          <w:rFonts w:ascii="Times New Roman" w:hAnsi="Times New Roman" w:cs="Times New Roman"/>
          <w:i/>
          <w:iCs/>
          <w:sz w:val="20"/>
          <w:szCs w:val="20"/>
        </w:rPr>
        <w:t>have</w:t>
      </w:r>
      <w:r w:rsidRPr="00B16664">
        <w:rPr>
          <w:rFonts w:ascii="Times New Roman" w:hAnsi="Times New Roman" w:cs="Times New Roman"/>
          <w:sz w:val="20"/>
          <w:szCs w:val="20"/>
        </w:rPr>
        <w:t xml:space="preserve"> is a recovery that completed but arrived at the wrong word:</w:t>
      </w:r>
    </w:p>
    <w:p w14:paraId="59939708" w14:textId="3D700FB7"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TRA=</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w∈</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acc>
                    <m:accPr>
                      <m:ctrlPr>
                        <w:rPr>
                          <w:rFonts w:ascii="Cambria Math" w:hAnsi="Cambria Math" w:cs="Times New Roman"/>
                          <w:sz w:val="20"/>
                          <w:szCs w:val="20"/>
                        </w:rPr>
                      </m:ctrlPr>
                    </m:accPr>
                    <m:e>
                      <m:r>
                        <w:rPr>
                          <w:rFonts w:ascii="Cambria Math" w:hAnsi="Cambria Math" w:cs="Times New Roman"/>
                          <w:sz w:val="20"/>
                          <w:szCs w:val="20"/>
                        </w:rPr>
                        <m:t>w</m:t>
                      </m:r>
                    </m:e>
                  </m:acc>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m:t>
                      </m:r>
                    </m:sup>
                  </m:sSup>
                </m:e>
              </m:d>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r>
                <w:rPr>
                  <w:rFonts w:ascii="Cambria Math" w:hAnsi="Cambria Math" w:cs="Times New Roman"/>
                  <w:sz w:val="20"/>
                  <w:szCs w:val="20"/>
                </w:rPr>
                <m:t>∣</m:t>
              </m:r>
            </m:den>
          </m:f>
        </m:oMath>
      </m:oMathPara>
    </w:p>
    <w:p w14:paraId="7AAD2D71" w14:textId="1D77E19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acc>
          <m:accPr>
            <m:ctrlPr>
              <w:rPr>
                <w:rFonts w:ascii="Cambria Math" w:hAnsi="Cambria Math" w:cs="Times New Roman"/>
                <w:sz w:val="20"/>
                <w:szCs w:val="20"/>
              </w:rPr>
            </m:ctrlPr>
          </m:accPr>
          <m:e>
            <m:r>
              <w:rPr>
                <w:rFonts w:ascii="Cambria Math" w:hAnsi="Cambria Math" w:cs="Times New Roman"/>
                <w:sz w:val="20"/>
                <w:szCs w:val="20"/>
              </w:rPr>
              <m:t>w</m:t>
            </m:r>
          </m:e>
        </m:acc>
      </m:oMath>
      <w:r w:rsidRPr="00B16664">
        <w:rPr>
          <w:rFonts w:ascii="Times New Roman" w:hAnsi="Times New Roman" w:cs="Times New Roman"/>
          <w:sz w:val="20"/>
          <w:szCs w:val="20"/>
        </w:rPr>
        <w:t xml:space="preserve">is the recovered form produced by ObfReX and </w:t>
      </w:r>
      <m:oMath>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m:t>
            </m:r>
          </m:sup>
        </m:sSup>
      </m:oMath>
      <w:r w:rsidRPr="00B16664">
        <w:rPr>
          <w:rFonts w:ascii="Times New Roman" w:hAnsi="Times New Roman" w:cs="Times New Roman"/>
          <w:sz w:val="20"/>
          <w:szCs w:val="20"/>
        </w:rPr>
        <w:t>is the known correct pre-injection word. Because the audit procedure used controlled injection where the clean word before obfuscation was known, TRA was computed by directly comparing the recovery output against the pre-injection form. A match counted as a correct recovery, and TRA is the proportion of such correct recoveries among all recovered tokens.</w:t>
      </w:r>
    </w:p>
    <w:p w14:paraId="60B5427B" w14:textId="77777777" w:rsidR="00392FB9" w:rsidRPr="00B16664" w:rsidRDefault="00392FB9" w:rsidP="000C0193">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Semantic Shift Rate (SSR)</w:t>
      </w:r>
    </w:p>
    <w:p w14:paraId="24C46165" w14:textId="47C1DDD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SSR captures a specific class of recovery error that TRA also identifies but from a different perspective</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it measures the rate at which the recovery process introduced a meaning distortion by recovering to the wrong word. When </w:t>
      </w:r>
      <w:proofErr w:type="spellStart"/>
      <w:r w:rsidRPr="00B16664">
        <w:rPr>
          <w:rFonts w:ascii="Times New Roman" w:hAnsi="Times New Roman" w:cs="Times New Roman"/>
          <w:sz w:val="20"/>
          <w:szCs w:val="20"/>
        </w:rPr>
        <w:t>ObfReX</w:t>
      </w:r>
      <w:proofErr w:type="spellEnd"/>
      <w:r w:rsidRPr="00B16664">
        <w:rPr>
          <w:rFonts w:ascii="Times New Roman" w:hAnsi="Times New Roman" w:cs="Times New Roman"/>
          <w:sz w:val="20"/>
          <w:szCs w:val="20"/>
        </w:rPr>
        <w:t xml:space="preserve"> produces output that differs from the obfuscated input but does not match the known correct pre-injection </w:t>
      </w:r>
      <w:r w:rsidRPr="00B16664">
        <w:rPr>
          <w:rFonts w:ascii="Times New Roman" w:hAnsi="Times New Roman" w:cs="Times New Roman"/>
          <w:sz w:val="20"/>
          <w:szCs w:val="20"/>
        </w:rPr>
        <w:lastRenderedPageBreak/>
        <w:t xml:space="preserve">word, the recovery changed the token but introduced a semantic error. For example, if </w:t>
      </w:r>
      <w:proofErr w:type="spellStart"/>
      <w:r w:rsidRPr="00B16664">
        <w:rPr>
          <w:rFonts w:ascii="Times New Roman" w:hAnsi="Times New Roman" w:cs="Times New Roman"/>
          <w:i/>
          <w:iCs/>
          <w:sz w:val="20"/>
          <w:szCs w:val="20"/>
        </w:rPr>
        <w:t>h@te</w:t>
      </w:r>
      <w:proofErr w:type="spellEnd"/>
      <w:r w:rsidRPr="00B16664">
        <w:rPr>
          <w:rFonts w:ascii="Times New Roman" w:hAnsi="Times New Roman" w:cs="Times New Roman"/>
          <w:sz w:val="20"/>
          <w:szCs w:val="20"/>
        </w:rPr>
        <w:t xml:space="preserve"> is recovered as </w:t>
      </w:r>
      <w:r w:rsidRPr="00B16664">
        <w:rPr>
          <w:rFonts w:ascii="Times New Roman" w:hAnsi="Times New Roman" w:cs="Times New Roman"/>
          <w:i/>
          <w:iCs/>
          <w:sz w:val="20"/>
          <w:szCs w:val="20"/>
        </w:rPr>
        <w:t>have</w:t>
      </w:r>
      <w:r w:rsidRPr="00B16664">
        <w:rPr>
          <w:rFonts w:ascii="Times New Roman" w:hAnsi="Times New Roman" w:cs="Times New Roman"/>
          <w:sz w:val="20"/>
          <w:szCs w:val="20"/>
        </w:rPr>
        <w:t>, the sentence meaning is completely altered even though the token was technically recovered:</w:t>
      </w:r>
    </w:p>
    <w:p w14:paraId="1CD92B12" w14:textId="16B4B9E9"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SSR=</m:t>
          </m:r>
          <m:f>
            <m:fPr>
              <m:ctrlPr>
                <w:rPr>
                  <w:rFonts w:ascii="Cambria Math" w:hAnsi="Cambria Math" w:cs="Times New Roman"/>
                  <w:sz w:val="20"/>
                  <w:szCs w:val="20"/>
                </w:rPr>
              </m:ctrlPr>
            </m:fPr>
            <m:num>
              <m:r>
                <m:rPr>
                  <m:nor/>
                </m:rPr>
                <w:rPr>
                  <w:rFonts w:ascii="Times New Roman" w:hAnsi="Times New Roman" w:cs="Times New Roman"/>
                  <w:sz w:val="20"/>
                  <w:szCs w:val="20"/>
                </w:rPr>
                <m:t>Number of recoveries where </m:t>
              </m:r>
              <m:acc>
                <m:accPr>
                  <m:ctrlPr>
                    <w:rPr>
                      <w:rFonts w:ascii="Cambria Math" w:hAnsi="Cambria Math" w:cs="Times New Roman"/>
                      <w:sz w:val="20"/>
                      <w:szCs w:val="20"/>
                    </w:rPr>
                  </m:ctrlPr>
                </m:accPr>
                <m:e>
                  <m:r>
                    <w:rPr>
                      <w:rFonts w:ascii="Cambria Math" w:hAnsi="Cambria Math" w:cs="Times New Roman"/>
                      <w:sz w:val="20"/>
                      <w:szCs w:val="20"/>
                    </w:rPr>
                    <m:t>w</m:t>
                  </m:r>
                </m:e>
              </m:acc>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m:t>
                  </m:r>
                </m:sup>
              </m:sSup>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rec</m:t>
                  </m:r>
                </m:sub>
              </m:sSub>
              <m:r>
                <w:rPr>
                  <w:rFonts w:ascii="Cambria Math" w:hAnsi="Cambria Math" w:cs="Times New Roman"/>
                  <w:sz w:val="20"/>
                  <w:szCs w:val="20"/>
                </w:rPr>
                <m:t>∣</m:t>
              </m:r>
            </m:den>
          </m:f>
        </m:oMath>
      </m:oMathPara>
    </w:p>
    <w:p w14:paraId="4D3E4BC2" w14:textId="054EA63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 semantic shift was recorded whenever a token was successfully recovered</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the output differed from the obfuscated input</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but the recovered form did not match the known correct pre-injection word. Lower SSR is better. This was computed from the same audit procedure and the same loop as TRA, using the mismatch between the recovery output and the pre-injection form as the shift indicator.</w:t>
      </w:r>
    </w:p>
    <w:p w14:paraId="69ED241F"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Errors Caught</w:t>
      </w:r>
    </w:p>
    <w:p w14:paraId="498FA083" w14:textId="0B8E99DB"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After </w:t>
      </w:r>
      <w:proofErr w:type="spellStart"/>
      <w:r w:rsidRPr="00B16664">
        <w:rPr>
          <w:rFonts w:ascii="Times New Roman" w:hAnsi="Times New Roman" w:cs="Times New Roman"/>
          <w:sz w:val="20"/>
          <w:szCs w:val="20"/>
        </w:rPr>
        <w:t>ObfReX</w:t>
      </w:r>
      <w:proofErr w:type="spellEnd"/>
      <w:r w:rsidRPr="00B16664">
        <w:rPr>
          <w:rFonts w:ascii="Times New Roman" w:hAnsi="Times New Roman" w:cs="Times New Roman"/>
          <w:sz w:val="20"/>
          <w:szCs w:val="20"/>
        </w:rPr>
        <w:t xml:space="preserve"> performs recovery, the LFA verification layer checks whether each recovery is faithful by computing the </w:t>
      </w:r>
      <w:proofErr w:type="spellStart"/>
      <w:r w:rsidRPr="00B16664">
        <w:rPr>
          <w:rFonts w:ascii="Times New Roman" w:hAnsi="Times New Roman" w:cs="Times New Roman"/>
          <w:sz w:val="20"/>
          <w:szCs w:val="20"/>
        </w:rPr>
        <w:t>Levenshtein</w:t>
      </w:r>
      <w:proofErr w:type="spellEnd"/>
      <w:r w:rsidRPr="00B16664">
        <w:rPr>
          <w:rFonts w:ascii="Times New Roman" w:hAnsi="Times New Roman" w:cs="Times New Roman"/>
          <w:sz w:val="20"/>
          <w:szCs w:val="20"/>
        </w:rPr>
        <w:t xml:space="preserve"> Distance between the obfuscated and recovered forms. LFA flags a token when its edit distance exceeds the acceptance threshold of 2, treating those cases as potentially problematic recoveries that require attention. Errors Caught therefore measures what fraction of all processed tokens were flagged by LFA</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serving as a proxy for the system's ability to intercept recovery errors before they propagate to downstream processing:</w:t>
      </w:r>
    </w:p>
    <w:p w14:paraId="260DA6F8" w14:textId="5EA22BF4"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Errors Caught (%)</m:t>
          </m:r>
          <m: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Count of tokens with </m:t>
              </m:r>
              <m:r>
                <w:rPr>
                  <w:rFonts w:ascii="Cambria Math" w:hAnsi="Cambria Math" w:cs="Times New Roman"/>
                  <w:sz w:val="20"/>
                  <w:szCs w:val="20"/>
                </w:rPr>
                <m:t>LD&gt;2</m:t>
              </m:r>
            </m:num>
            <m:den>
              <m:r>
                <m:rPr>
                  <m:nor/>
                </m:rPr>
                <w:rPr>
                  <w:rFonts w:ascii="Times New Roman" w:hAnsi="Times New Roman" w:cs="Times New Roman"/>
                  <w:sz w:val="20"/>
                  <w:szCs w:val="20"/>
                </w:rPr>
                <m:t>Total tokens processed</m:t>
              </m:r>
            </m:den>
          </m:f>
          <m:r>
            <w:rPr>
              <w:rFonts w:ascii="Cambria Math" w:hAnsi="Cambria Math" w:cs="Times New Roman"/>
              <w:sz w:val="20"/>
              <w:szCs w:val="20"/>
            </w:rPr>
            <m:t>×100</m:t>
          </m:r>
        </m:oMath>
      </m:oMathPara>
    </w:p>
    <w:p w14:paraId="35B17F67" w14:textId="0463EAE6"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After computing the </w:t>
      </w:r>
      <w:proofErr w:type="spellStart"/>
      <w:r w:rsidRPr="00B16664">
        <w:rPr>
          <w:rFonts w:ascii="Times New Roman" w:hAnsi="Times New Roman" w:cs="Times New Roman"/>
          <w:sz w:val="20"/>
          <w:szCs w:val="20"/>
        </w:rPr>
        <w:t>Levenshtein</w:t>
      </w:r>
      <w:proofErr w:type="spellEnd"/>
      <w:r w:rsidRPr="00B16664">
        <w:rPr>
          <w:rFonts w:ascii="Times New Roman" w:hAnsi="Times New Roman" w:cs="Times New Roman"/>
          <w:sz w:val="20"/>
          <w:szCs w:val="20"/>
        </w:rPr>
        <w:t xml:space="preserve"> Distance for every obfuscated-recovered token pair extracted from the recovery log, tokens with </w:t>
      </w:r>
      <m:oMath>
        <m:r>
          <w:rPr>
            <w:rFonts w:ascii="Cambria Math" w:hAnsi="Cambria Math" w:cs="Times New Roman"/>
            <w:sz w:val="20"/>
            <w:szCs w:val="20"/>
          </w:rPr>
          <m:t>LD&gt;2</m:t>
        </m:r>
      </m:oMath>
      <w:r w:rsidRPr="00B16664">
        <w:rPr>
          <w:rFonts w:ascii="Times New Roman" w:hAnsi="Times New Roman" w:cs="Times New Roman"/>
          <w:sz w:val="20"/>
          <w:szCs w:val="20"/>
        </w:rPr>
        <w:t>were counted as caught errors. This count was recorded per dataset and compared across the three verification configurations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LFA only, SDD only, and SPA combined to demonstrate how adding each verification layer improves the system's ability to catch problematic recoveries.</w:t>
      </w:r>
    </w:p>
    <w:p w14:paraId="7571740C"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Errors Missed</w:t>
      </w:r>
    </w:p>
    <w:p w14:paraId="1C7DE433" w14:textId="0F8863FB"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Errors Missed is the complementary measure to Errors Caught. It captures the inherent limitation of LFA's fixed threshold</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cases where the recovery changed a token but the change was small enough that the edit distance still fell within the acceptance range, causing LFA to pass the token through without flagging it even though the recovery may have introduced an error:</w:t>
      </w:r>
    </w:p>
    <w:p w14:paraId="24A84B7A" w14:textId="0E7D15FF"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Errors Missed (%)</m:t>
          </m:r>
          <m: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Count of tokens with </m:t>
              </m:r>
              <m:r>
                <w:rPr>
                  <w:rFonts w:ascii="Cambria Math" w:hAnsi="Cambria Math" w:cs="Times New Roman"/>
                  <w:sz w:val="20"/>
                  <w:szCs w:val="20"/>
                </w:rPr>
                <m:t>0&lt;LD≤2</m:t>
              </m:r>
            </m:num>
            <m:den>
              <m:r>
                <m:rPr>
                  <m:nor/>
                </m:rPr>
                <w:rPr>
                  <w:rFonts w:ascii="Times New Roman" w:hAnsi="Times New Roman" w:cs="Times New Roman"/>
                  <w:sz w:val="20"/>
                  <w:szCs w:val="20"/>
                </w:rPr>
                <m:t>Total tokens processed</m:t>
              </m:r>
            </m:den>
          </m:f>
          <m:r>
            <w:rPr>
              <w:rFonts w:ascii="Cambria Math" w:hAnsi="Cambria Math" w:cs="Times New Roman"/>
              <w:sz w:val="20"/>
              <w:szCs w:val="20"/>
            </w:rPr>
            <m:t>×100</m:t>
          </m:r>
        </m:oMath>
      </m:oMathPara>
    </w:p>
    <w:p w14:paraId="0BA090BE" w14:textId="07D5EBA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Tokens with </w:t>
      </w:r>
      <m:oMath>
        <m:r>
          <w:rPr>
            <w:rFonts w:ascii="Cambria Math" w:hAnsi="Cambria Math" w:cs="Times New Roman"/>
            <w:sz w:val="20"/>
            <w:szCs w:val="20"/>
          </w:rPr>
          <m:t>LD≤2</m:t>
        </m:r>
      </m:oMath>
      <w:r w:rsidRPr="00B16664">
        <w:rPr>
          <w:rFonts w:ascii="Times New Roman" w:hAnsi="Times New Roman" w:cs="Times New Roman"/>
          <w:sz w:val="20"/>
          <w:szCs w:val="20"/>
        </w:rPr>
        <w:t xml:space="preserve">but </w:t>
      </w:r>
      <m:oMath>
        <m:r>
          <w:rPr>
            <w:rFonts w:ascii="Cambria Math" w:hAnsi="Cambria Math" w:cs="Times New Roman"/>
            <w:sz w:val="20"/>
            <w:szCs w:val="20"/>
          </w:rPr>
          <m:t>LD&gt;0</m:t>
        </m:r>
      </m:oMath>
      <w:r w:rsidRPr="00B16664">
        <w:rPr>
          <w:rFonts w:ascii="Times New Roman" w:hAnsi="Times New Roman" w:cs="Times New Roman"/>
          <w:sz w:val="20"/>
          <w:szCs w:val="20"/>
        </w:rPr>
        <w:t>were treated as missed cases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the recovery produced some change, but the change was too small to trigger LFA's flag. This reflects the fundamental trade-off in threshold-based verification: setting the threshold too low catches more errors but also over-flags faithful recoveries, while setting it too high allows subtle errors to pass undetected.</w:t>
      </w:r>
    </w:p>
    <w:p w14:paraId="29DD74C9"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Correction Verification Accuracy (CVA)</w:t>
      </w:r>
    </w:p>
    <w:p w14:paraId="2FD5F97E" w14:textId="435E856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CVA provides an overall acceptance rate for each verification configuration</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quantifying what fraction of all processed tokens or sentences were judged as faithful by the verification system. The computation differs depending on which layer is being evaluated. For LFA, CVA is the fraction of tokens whose </w:t>
      </w:r>
      <w:proofErr w:type="spellStart"/>
      <w:r w:rsidRPr="00B16664">
        <w:rPr>
          <w:rFonts w:ascii="Times New Roman" w:hAnsi="Times New Roman" w:cs="Times New Roman"/>
          <w:sz w:val="20"/>
          <w:szCs w:val="20"/>
        </w:rPr>
        <w:t>Levenshtein</w:t>
      </w:r>
      <w:proofErr w:type="spellEnd"/>
      <w:r w:rsidRPr="00B16664">
        <w:rPr>
          <w:rFonts w:ascii="Times New Roman" w:hAnsi="Times New Roman" w:cs="Times New Roman"/>
          <w:sz w:val="20"/>
          <w:szCs w:val="20"/>
        </w:rPr>
        <w:t xml:space="preserve"> Distance fell within the acceptance threshold:</w:t>
      </w:r>
    </w:p>
    <w:p w14:paraId="3ED132A3" w14:textId="40169F11"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LFA</m:t>
              </m:r>
            </m:sub>
          </m:sSub>
          <m: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Count of tokens with </m:t>
              </m:r>
              <m:r>
                <w:rPr>
                  <w:rFonts w:ascii="Cambria Math" w:hAnsi="Cambria Math" w:cs="Times New Roman"/>
                  <w:sz w:val="20"/>
                  <w:szCs w:val="20"/>
                </w:rPr>
                <m:t>LD≤2</m:t>
              </m:r>
            </m:num>
            <m:den>
              <m:r>
                <m:rPr>
                  <m:nor/>
                </m:rPr>
                <w:rPr>
                  <w:rFonts w:ascii="Times New Roman" w:hAnsi="Times New Roman" w:cs="Times New Roman"/>
                  <w:sz w:val="20"/>
                  <w:szCs w:val="20"/>
                </w:rPr>
                <m:t>Total tokens processed</m:t>
              </m:r>
            </m:den>
          </m:f>
        </m:oMath>
      </m:oMathPara>
    </w:p>
    <w:p w14:paraId="7A906536"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For SDD, CVA is the fraction of sentence pairs whose Wasserstein Distance remained below the semantic drift threshold:</w:t>
      </w:r>
    </w:p>
    <w:p w14:paraId="1087CC32" w14:textId="3B88688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w:lastRenderedPageBreak/>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SDD</m:t>
              </m:r>
            </m:sub>
          </m:sSub>
          <m: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Count of sentences with </m:t>
              </m:r>
              <m:r>
                <w:rPr>
                  <w:rFonts w:ascii="Cambria Math" w:hAnsi="Cambria Math" w:cs="Times New Roman"/>
                  <w:sz w:val="20"/>
                  <w:szCs w:val="20"/>
                </w:rPr>
                <m:t>W&lt;0.15</m:t>
              </m:r>
            </m:num>
            <m:den>
              <m:r>
                <m:rPr>
                  <m:nor/>
                </m:rPr>
                <w:rPr>
                  <w:rFonts w:ascii="Times New Roman" w:hAnsi="Times New Roman" w:cs="Times New Roman"/>
                  <w:sz w:val="20"/>
                  <w:szCs w:val="20"/>
                </w:rPr>
                <m:t>Total sentences evaluated</m:t>
              </m:r>
            </m:den>
          </m:f>
        </m:oMath>
      </m:oMathPara>
    </w:p>
    <w:p w14:paraId="44B14C24"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For the combined SPA configuration, CVA was computed as the simple average of the LFA and SDD acceptance rates:</w:t>
      </w:r>
    </w:p>
    <w:p w14:paraId="60C2E0D6" w14:textId="7B1DC4DF"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SPA</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LFA</m:t>
                  </m:r>
                </m:sub>
              </m:sSub>
              <m:r>
                <w:rPr>
                  <w:rFonts w:ascii="Cambria Math" w:hAnsi="Cambria Math" w:cs="Times New Roman"/>
                  <w:sz w:val="20"/>
                  <w:szCs w:val="20"/>
                </w:rPr>
                <m:t>+CV</m:t>
              </m:r>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SDD</m:t>
                  </m:r>
                </m:sub>
              </m:sSub>
            </m:num>
            <m:den>
              <m:r>
                <w:rPr>
                  <w:rFonts w:ascii="Cambria Math" w:hAnsi="Cambria Math" w:cs="Times New Roman"/>
                  <w:sz w:val="20"/>
                  <w:szCs w:val="20"/>
                </w:rPr>
                <m:t>2</m:t>
              </m:r>
            </m:den>
          </m:f>
        </m:oMath>
      </m:oMathPara>
    </w:p>
    <w:p w14:paraId="1E819BC0" w14:textId="5BA23625"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CVA was computed per dataset for each verification configuration and reported in the SPA performance table.</w:t>
      </w:r>
    </w:p>
    <w:p w14:paraId="6D40DA35"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Downstream F1</w:t>
      </w:r>
    </w:p>
    <w:p w14:paraId="58CDDA52" w14:textId="56CAD0E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Downstream F1 provides practical validation that the verification pipeline actually improves text quality in a way that benefits offensive language classification, rather than simply filtering tokens without measurable downstream impact. After each verification configuration</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no verification, LFA only, SDD only, and SPA combined</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the verified and cleaned text was passed to a downstream classifier. A lightweight TF-IDF vectorizer combined with logistic regression was deliberately chosen as the downstream classifier to ensure that any improvement in Downstream F1 could be attributed purely to text quality improvement from verification rather than to classifier capacity. An 80/20 train-test split was applied within each verified dataset, and the macro F1-score of the classifier on the held-out portion was recorded as Downstream F1. Progressive improvement in this metric across verification configurations validates that each additional verification layer contributes meaningful cleaning benefit.</w:t>
      </w:r>
    </w:p>
    <w:p w14:paraId="6C3D6536"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proofErr w:type="spellStart"/>
      <w:r w:rsidRPr="00B16664">
        <w:rPr>
          <w:rFonts w:ascii="Times New Roman" w:hAnsi="Times New Roman" w:cs="Times New Roman"/>
          <w:b/>
          <w:bCs/>
          <w:sz w:val="20"/>
          <w:szCs w:val="20"/>
        </w:rPr>
        <w:t>Levenshtein</w:t>
      </w:r>
      <w:proofErr w:type="spellEnd"/>
      <w:r w:rsidRPr="00B16664">
        <w:rPr>
          <w:rFonts w:ascii="Times New Roman" w:hAnsi="Times New Roman" w:cs="Times New Roman"/>
          <w:b/>
          <w:bCs/>
          <w:sz w:val="20"/>
          <w:szCs w:val="20"/>
        </w:rPr>
        <w:t xml:space="preserve"> Distance (LD)</w:t>
      </w:r>
    </w:p>
    <w:p w14:paraId="0A60B844" w14:textId="59A57665" w:rsidR="00392FB9" w:rsidRPr="00B16664" w:rsidRDefault="00392FB9" w:rsidP="00392FB9">
      <w:pPr>
        <w:jc w:val="both"/>
        <w:rPr>
          <w:rFonts w:ascii="Times New Roman" w:hAnsi="Times New Roman" w:cs="Times New Roman"/>
          <w:sz w:val="20"/>
          <w:szCs w:val="20"/>
        </w:rPr>
      </w:pPr>
      <w:proofErr w:type="spellStart"/>
      <w:r w:rsidRPr="00B16664">
        <w:rPr>
          <w:rFonts w:ascii="Times New Roman" w:hAnsi="Times New Roman" w:cs="Times New Roman"/>
          <w:sz w:val="20"/>
          <w:szCs w:val="20"/>
        </w:rPr>
        <w:t>Levenshtein</w:t>
      </w:r>
      <w:proofErr w:type="spellEnd"/>
      <w:r w:rsidRPr="00B16664">
        <w:rPr>
          <w:rFonts w:ascii="Times New Roman" w:hAnsi="Times New Roman" w:cs="Times New Roman"/>
          <w:sz w:val="20"/>
          <w:szCs w:val="20"/>
        </w:rPr>
        <w:t xml:space="preserve"> Distance quantifies the minimum number of single-character edit operations</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insertion, deletion, or substitution</w:t>
      </w:r>
      <w:r w:rsidR="00C41C98">
        <w:rPr>
          <w:rFonts w:ascii="Times New Roman" w:hAnsi="Times New Roman" w:cs="Times New Roman"/>
          <w:sz w:val="20"/>
          <w:szCs w:val="20"/>
        </w:rPr>
        <w:t>,</w:t>
      </w:r>
      <w:r w:rsidRPr="00B16664">
        <w:rPr>
          <w:rFonts w:ascii="Times New Roman" w:hAnsi="Times New Roman" w:cs="Times New Roman"/>
          <w:sz w:val="20"/>
          <w:szCs w:val="20"/>
        </w:rPr>
        <w:t xml:space="preserve"> required to transform one string into another. It serves as the core computational primitive of the LFA verification layer, measuring the character-level difference between an obfuscated token and its recovered form to confirm whether the recovery was faithful. For example, recovering </w:t>
      </w:r>
      <w:proofErr w:type="spellStart"/>
      <w:r w:rsidRPr="00B16664">
        <w:rPr>
          <w:rFonts w:ascii="Times New Roman" w:hAnsi="Times New Roman" w:cs="Times New Roman"/>
          <w:i/>
          <w:iCs/>
          <w:sz w:val="20"/>
          <w:szCs w:val="20"/>
        </w:rPr>
        <w:t>h@te</w:t>
      </w:r>
      <w:proofErr w:type="spellEnd"/>
      <w:r w:rsidRPr="00B16664">
        <w:rPr>
          <w:rFonts w:ascii="Times New Roman" w:hAnsi="Times New Roman" w:cs="Times New Roman"/>
          <w:sz w:val="20"/>
          <w:szCs w:val="20"/>
        </w:rPr>
        <w:t xml:space="preserve"> to </w:t>
      </w:r>
      <w:r w:rsidRPr="00B16664">
        <w:rPr>
          <w:rFonts w:ascii="Times New Roman" w:hAnsi="Times New Roman" w:cs="Times New Roman"/>
          <w:i/>
          <w:iCs/>
          <w:sz w:val="20"/>
          <w:szCs w:val="20"/>
        </w:rPr>
        <w:t>hate</w:t>
      </w:r>
      <w:r w:rsidRPr="00B16664">
        <w:rPr>
          <w:rFonts w:ascii="Times New Roman" w:hAnsi="Times New Roman" w:cs="Times New Roman"/>
          <w:sz w:val="20"/>
          <w:szCs w:val="20"/>
        </w:rPr>
        <w:t xml:space="preserve"> requires a single substitution of @ with a, yielding </w:t>
      </w:r>
      <m:oMath>
        <m:r>
          <w:rPr>
            <w:rFonts w:ascii="Cambria Math" w:hAnsi="Cambria Math" w:cs="Times New Roman"/>
            <w:sz w:val="20"/>
            <w:szCs w:val="20"/>
          </w:rPr>
          <m:t>LD=1</m:t>
        </m:r>
      </m:oMath>
      <w:r w:rsidRPr="00B16664">
        <w:rPr>
          <w:rFonts w:ascii="Times New Roman" w:hAnsi="Times New Roman" w:cs="Times New Roman"/>
          <w:sz w:val="20"/>
          <w:szCs w:val="20"/>
        </w:rPr>
        <w:t>, which is well within the acceptance threshold:</w:t>
      </w:r>
    </w:p>
    <w:p w14:paraId="3B89AEB1" w14:textId="737010A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i</m:t>
                    </m:r>
                  </m:e>
                  <m:e>
                    <m:r>
                      <m:rPr>
                        <m:nor/>
                      </m:rPr>
                      <w:rPr>
                        <w:rFonts w:ascii="Times New Roman" w:hAnsi="Times New Roman" w:cs="Times New Roman"/>
                        <w:sz w:val="20"/>
                        <w:szCs w:val="20"/>
                      </w:rPr>
                      <m:t>if </m:t>
                    </m:r>
                    <m:r>
                      <w:rPr>
                        <w:rFonts w:ascii="Cambria Math" w:hAnsi="Cambria Math" w:cs="Times New Roman"/>
                        <w:sz w:val="20"/>
                        <w:szCs w:val="20"/>
                      </w:rPr>
                      <m:t>j=0</m:t>
                    </m:r>
                  </m:e>
                </m:mr>
                <m:mr>
                  <m:e>
                    <m:r>
                      <w:rPr>
                        <w:rFonts w:ascii="Cambria Math" w:hAnsi="Cambria Math" w:cs="Times New Roman"/>
                        <w:sz w:val="20"/>
                        <w:szCs w:val="20"/>
                      </w:rPr>
                      <m:t>j</m:t>
                    </m:r>
                  </m:e>
                  <m:e>
                    <m:r>
                      <m:rPr>
                        <m:nor/>
                      </m:rPr>
                      <w:rPr>
                        <w:rFonts w:ascii="Times New Roman" w:hAnsi="Times New Roman" w:cs="Times New Roman"/>
                        <w:sz w:val="20"/>
                        <w:szCs w:val="20"/>
                      </w:rPr>
                      <m:t>if </m:t>
                    </m:r>
                    <m:r>
                      <w:rPr>
                        <w:rFonts w:ascii="Cambria Math" w:hAnsi="Cambria Math" w:cs="Times New Roman"/>
                        <w:sz w:val="20"/>
                        <w:szCs w:val="20"/>
                      </w:rPr>
                      <m:t>i=0</m:t>
                    </m:r>
                  </m:e>
                </m:mr>
                <m:mr>
                  <m:e>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-1j-1</m:t>
                        </m:r>
                      </m:e>
                    </m:d>
                  </m:e>
                  <m:e>
                    <m:r>
                      <m:rPr>
                        <m:nor/>
                      </m:rPr>
                      <w:rPr>
                        <w:rFonts w:ascii="Times New Roman" w:hAnsi="Times New Roman" w:cs="Times New Roman"/>
                        <w:sz w:val="20"/>
                        <w:szCs w:val="20"/>
                      </w:rPr>
                      <m:t>if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d>
                      <m:dPr>
                        <m:begChr m:val="["/>
                        <m:endChr m:val="]"/>
                        <m:ctrlPr>
                          <w:rPr>
                            <w:rFonts w:ascii="Cambria Math" w:hAnsi="Cambria Math" w:cs="Times New Roman"/>
                            <w:sz w:val="20"/>
                            <w:szCs w:val="20"/>
                          </w:rPr>
                        </m:ctrlPr>
                      </m:dPr>
                      <m:e>
                        <m:r>
                          <w:rPr>
                            <w:rFonts w:ascii="Cambria Math" w:hAnsi="Cambria Math" w:cs="Times New Roman"/>
                            <w:sz w:val="20"/>
                            <w:szCs w:val="20"/>
                          </w:rPr>
                          <m:t>i</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d>
                      <m:dPr>
                        <m:begChr m:val="["/>
                        <m:endChr m:val="]"/>
                        <m:ctrlPr>
                          <w:rPr>
                            <w:rFonts w:ascii="Cambria Math" w:hAnsi="Cambria Math" w:cs="Times New Roman"/>
                            <w:sz w:val="20"/>
                            <w:szCs w:val="20"/>
                          </w:rPr>
                        </m:ctrlPr>
                      </m:dPr>
                      <m:e>
                        <m:r>
                          <w:rPr>
                            <w:rFonts w:ascii="Cambria Math" w:hAnsi="Cambria Math" w:cs="Times New Roman"/>
                            <w:sz w:val="20"/>
                            <w:szCs w:val="20"/>
                          </w:rPr>
                          <m:t>j</m:t>
                        </m:r>
                      </m:e>
                    </m:d>
                  </m:e>
                </m:mr>
                <m:mr>
                  <m:e>
                    <m:r>
                      <w:rPr>
                        <w:rFonts w:ascii="Cambria Math" w:hAnsi="Cambria Math" w:cs="Times New Roman"/>
                        <w:sz w:val="20"/>
                        <w:szCs w:val="20"/>
                      </w:rPr>
                      <m:t>1+</m:t>
                    </m:r>
                    <m:r>
                      <m:rPr>
                        <m:sty m:val="p"/>
                      </m:rPr>
                      <w:rPr>
                        <w:rFonts w:ascii="Cambria Math" w:hAnsi="Cambria Math" w:cs="Times New Roman"/>
                        <w:sz w:val="20"/>
                        <w:szCs w:val="20"/>
                      </w:rPr>
                      <m:t>min</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L</m:t>
                        </m:r>
                      </m:e>
                      <m:e>
                        <m:r>
                          <w:rPr>
                            <w:rFonts w:ascii="Cambria Math" w:hAnsi="Cambria Math" w:cs="Times New Roman"/>
                            <w:sz w:val="20"/>
                            <w:szCs w:val="20"/>
                          </w:rPr>
                          <m:t>D</m:t>
                        </m:r>
                      </m:e>
                      <m:e>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m:t>
                            </m:r>
                          </m:e>
                        </m:d>
                        <m:r>
                          <m:rPr>
                            <m:nor/>
                          </m:rPr>
                          <w:rPr>
                            <w:rFonts w:ascii="Times New Roman" w:hAnsi="Times New Roman" w:cs="Times New Roman"/>
                            <w:sz w:val="20"/>
                            <w:szCs w:val="20"/>
                          </w:rPr>
                          <m:t> </m:t>
                        </m:r>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j-1</m:t>
                            </m:r>
                          </m:e>
                        </m:d>
                        <m:r>
                          <m:rPr>
                            <m:nor/>
                          </m:rPr>
                          <w:rPr>
                            <w:rFonts w:ascii="Times New Roman" w:hAnsi="Times New Roman" w:cs="Times New Roman"/>
                            <w:sz w:val="20"/>
                            <w:szCs w:val="20"/>
                          </w:rPr>
                          <m:t> </m:t>
                        </m:r>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-1j-1</m:t>
                            </m:r>
                          </m:e>
                        </m:d>
                      </m:e>
                    </m:d>
                  </m:e>
                  <m:e>
                    <m:r>
                      <m:rPr>
                        <m:nor/>
                      </m:rPr>
                      <w:rPr>
                        <w:rFonts w:ascii="Times New Roman" w:hAnsi="Times New Roman" w:cs="Times New Roman"/>
                        <w:sz w:val="20"/>
                        <w:szCs w:val="20"/>
                      </w:rPr>
                      <m:t>otherwise</m:t>
                    </m:r>
                  </m:e>
                </m:mr>
              </m:m>
            </m:e>
          </m:d>
        </m:oMath>
      </m:oMathPara>
    </w:p>
    <w:p w14:paraId="07B6CEAD" w14:textId="42EF702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oMath>
      <w:r w:rsidRPr="00B16664">
        <w:rPr>
          <w:rFonts w:ascii="Times New Roman" w:hAnsi="Times New Roman" w:cs="Times New Roman"/>
          <w:sz w:val="20"/>
          <w:szCs w:val="20"/>
        </w:rPr>
        <w:t xml:space="preserve">is the obfuscated word,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oMath>
      <w:r w:rsidRPr="00B16664">
        <w:rPr>
          <w:rFonts w:ascii="Times New Roman" w:hAnsi="Times New Roman" w:cs="Times New Roman"/>
          <w:sz w:val="20"/>
          <w:szCs w:val="20"/>
        </w:rPr>
        <w:t xml:space="preserve">is the recovered word, </w:t>
      </w:r>
      <m:oMath>
        <m:r>
          <w:rPr>
            <w:rFonts w:ascii="Cambria Math" w:hAnsi="Cambria Math" w:cs="Times New Roman"/>
            <w:sz w:val="20"/>
            <w:szCs w:val="20"/>
          </w:rPr>
          <m:t>i</m:t>
        </m:r>
      </m:oMath>
      <w:r w:rsidRPr="00B16664">
        <w:rPr>
          <w:rFonts w:ascii="Times New Roman" w:hAnsi="Times New Roman" w:cs="Times New Roman"/>
          <w:sz w:val="20"/>
          <w:szCs w:val="20"/>
        </w:rPr>
        <w:t xml:space="preserve">and </w:t>
      </w:r>
      <m:oMath>
        <m:r>
          <w:rPr>
            <w:rFonts w:ascii="Cambria Math" w:hAnsi="Cambria Math" w:cs="Times New Roman"/>
            <w:sz w:val="20"/>
            <w:szCs w:val="20"/>
          </w:rPr>
          <m:t>j</m:t>
        </m:r>
      </m:oMath>
      <w:r w:rsidRPr="00B16664">
        <w:rPr>
          <w:rFonts w:ascii="Times New Roman" w:hAnsi="Times New Roman" w:cs="Times New Roman"/>
          <w:sz w:val="20"/>
          <w:szCs w:val="20"/>
        </w:rPr>
        <w:t xml:space="preserve">index their respective characters,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m:t>
            </m:r>
          </m:e>
        </m:d>
      </m:oMath>
      <w:r w:rsidRPr="00B16664">
        <w:rPr>
          <w:rFonts w:ascii="Times New Roman" w:hAnsi="Times New Roman" w:cs="Times New Roman"/>
          <w:sz w:val="20"/>
          <w:szCs w:val="20"/>
        </w:rPr>
        <w:t xml:space="preserve">represents the cost of a deletion,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j-1</m:t>
            </m:r>
          </m:e>
        </m:d>
      </m:oMath>
      <w:r w:rsidRPr="00B16664">
        <w:rPr>
          <w:rFonts w:ascii="Times New Roman" w:hAnsi="Times New Roman" w:cs="Times New Roman"/>
          <w:sz w:val="20"/>
          <w:szCs w:val="20"/>
        </w:rPr>
        <w:t xml:space="preserve">the cost of an insertion, and </w:t>
      </w:r>
      <m:oMath>
        <m:r>
          <w:rPr>
            <w:rFonts w:ascii="Cambria Math" w:hAnsi="Cambria Math" w:cs="Times New Roman"/>
            <w:sz w:val="20"/>
            <w:szCs w:val="20"/>
          </w:rPr>
          <m:t>LD</m:t>
        </m:r>
        <m:d>
          <m:dPr>
            <m:sepChr m:val=","/>
            <m:ctrlPr>
              <w:rPr>
                <w:rFonts w:ascii="Cambria Math" w:hAnsi="Cambria Math" w:cs="Times New Roman"/>
                <w:sz w:val="20"/>
                <w:szCs w:val="20"/>
              </w:rPr>
            </m:ctrlPr>
          </m:dPr>
          <m:e>
            <m:r>
              <w:rPr>
                <w:rFonts w:ascii="Cambria Math" w:hAnsi="Cambria Math" w:cs="Times New Roman"/>
                <w:sz w:val="20"/>
                <w:szCs w:val="20"/>
              </w:rPr>
              <m:t>i</m:t>
            </m:r>
          </m:e>
          <m:e>
            <m:r>
              <w:rPr>
                <w:rFonts w:ascii="Cambria Math" w:hAnsi="Cambria Math" w:cs="Times New Roman"/>
                <w:sz w:val="20"/>
                <w:szCs w:val="20"/>
              </w:rPr>
              <m:t>-1j-1</m:t>
            </m:r>
          </m:e>
        </m:d>
      </m:oMath>
      <w:r w:rsidRPr="00B16664">
        <w:rPr>
          <w:rFonts w:ascii="Times New Roman" w:hAnsi="Times New Roman" w:cs="Times New Roman"/>
          <w:sz w:val="20"/>
          <w:szCs w:val="20"/>
        </w:rPr>
        <w:t xml:space="preserve">the cost of a substitution. When two characters match, no operation is incurred and the distance carries over from the previous subproblem. When they differ, the minimum cost operation is selected and one is added to its cost. The algorithm was implemented using full dynamic programming, constructing a complete </w:t>
      </w:r>
      <m:oMath>
        <m:d>
          <m:dPr>
            <m:ctrlPr>
              <w:rPr>
                <w:rFonts w:ascii="Cambria Math" w:hAnsi="Cambria Math" w:cs="Times New Roman"/>
                <w:sz w:val="20"/>
                <w:szCs w:val="20"/>
              </w:rPr>
            </m:ctrlPr>
          </m:dPr>
          <m:e>
            <m:r>
              <w:rPr>
                <w:rFonts w:ascii="Cambria Math" w:hAnsi="Cambria Math" w:cs="Times New Roman"/>
                <w:sz w:val="20"/>
                <w:szCs w:val="20"/>
              </w:rPr>
              <m:t>m+1</m:t>
            </m:r>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n+1</m:t>
            </m:r>
          </m:e>
        </m:d>
      </m:oMath>
      <w:r w:rsidRPr="00B16664">
        <w:rPr>
          <w:rFonts w:ascii="Times New Roman" w:hAnsi="Times New Roman" w:cs="Times New Roman"/>
          <w:sz w:val="20"/>
          <w:szCs w:val="20"/>
        </w:rPr>
        <w:t xml:space="preserve">distance matrix where </w:t>
      </w:r>
      <m:oMath>
        <m:r>
          <w:rPr>
            <w:rFonts w:ascii="Cambria Math" w:hAnsi="Cambria Math" w:cs="Times New Roman"/>
            <w:sz w:val="20"/>
            <w:szCs w:val="20"/>
          </w:rPr>
          <m:t>m</m:t>
        </m:r>
      </m:oMath>
      <w:r w:rsidRPr="00B16664">
        <w:rPr>
          <w:rFonts w:ascii="Times New Roman" w:hAnsi="Times New Roman" w:cs="Times New Roman"/>
          <w:sz w:val="20"/>
          <w:szCs w:val="20"/>
        </w:rPr>
        <w:t xml:space="preserve">and </w:t>
      </w:r>
      <m:oMath>
        <m:r>
          <w:rPr>
            <w:rFonts w:ascii="Cambria Math" w:hAnsi="Cambria Math" w:cs="Times New Roman"/>
            <w:sz w:val="20"/>
            <w:szCs w:val="20"/>
          </w:rPr>
          <m:t>n</m:t>
        </m:r>
      </m:oMath>
      <w:r w:rsidRPr="00B16664">
        <w:rPr>
          <w:rFonts w:ascii="Times New Roman" w:hAnsi="Times New Roman" w:cs="Times New Roman"/>
          <w:sz w:val="20"/>
          <w:szCs w:val="20"/>
        </w:rPr>
        <w:t xml:space="preserve">are the lengths of the two strings. A normalized score was additionally derived as </w:t>
      </w:r>
      <m:oMath>
        <m:r>
          <w:rPr>
            <w:rFonts w:ascii="Cambria Math" w:hAnsi="Cambria Math" w:cs="Times New Roman"/>
            <w:sz w:val="20"/>
            <w:szCs w:val="20"/>
          </w:rPr>
          <m:t>LFA=1-LD/</m:t>
        </m:r>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w:rPr>
                <w:rFonts w:ascii="Cambria Math" w:hAnsi="Cambria Math" w:cs="Times New Roman"/>
                <w:sz w:val="20"/>
                <w:szCs w:val="20"/>
              </w:rPr>
              <m:t>∣</m:t>
            </m:r>
          </m:e>
        </m:d>
      </m:oMath>
      <w:r w:rsidRPr="00B16664">
        <w:rPr>
          <w:rFonts w:ascii="Times New Roman" w:hAnsi="Times New Roman" w:cs="Times New Roman"/>
          <w:sz w:val="20"/>
          <w:szCs w:val="20"/>
        </w:rPr>
        <w:t xml:space="preserve">to produce a length-invariant fidelity score where values closer to </w:t>
      </w:r>
      <m:oMath>
        <m:r>
          <w:rPr>
            <w:rFonts w:ascii="Cambria Math" w:hAnsi="Cambria Math" w:cs="Times New Roman"/>
            <w:sz w:val="20"/>
            <w:szCs w:val="20"/>
          </w:rPr>
          <m:t>1.0</m:t>
        </m:r>
      </m:oMath>
      <w:r w:rsidRPr="00B16664">
        <w:rPr>
          <w:rFonts w:ascii="Times New Roman" w:hAnsi="Times New Roman" w:cs="Times New Roman"/>
          <w:sz w:val="20"/>
          <w:szCs w:val="20"/>
        </w:rPr>
        <w:t xml:space="preserve">indicate more faithful recovery. The decision rule applied was </w:t>
      </w:r>
      <m:oMath>
        <m:r>
          <w:rPr>
            <w:rFonts w:ascii="Cambria Math" w:hAnsi="Cambria Math" w:cs="Times New Roman"/>
            <w:sz w:val="20"/>
            <w:szCs w:val="20"/>
          </w:rPr>
          <m:t>LD≤2⇒</m:t>
        </m:r>
        <m:r>
          <m:rPr>
            <m:nor/>
          </m:rPr>
          <w:rPr>
            <w:rFonts w:ascii="Times New Roman" w:hAnsi="Times New Roman" w:cs="Times New Roman"/>
            <w:sz w:val="20"/>
            <w:szCs w:val="20"/>
          </w:rPr>
          <m:t>Accept</m:t>
        </m:r>
      </m:oMath>
      <w:r w:rsidRPr="00B16664">
        <w:rPr>
          <w:rFonts w:ascii="Times New Roman" w:hAnsi="Times New Roman" w:cs="Times New Roman"/>
          <w:sz w:val="20"/>
          <w:szCs w:val="20"/>
        </w:rPr>
        <w:t xml:space="preserve">and </w:t>
      </w:r>
      <m:oMath>
        <m:r>
          <w:rPr>
            <w:rFonts w:ascii="Cambria Math" w:hAnsi="Cambria Math" w:cs="Times New Roman"/>
            <w:sz w:val="20"/>
            <w:szCs w:val="20"/>
          </w:rPr>
          <m:t>LD≥3⇒</m:t>
        </m:r>
        <m:r>
          <m:rPr>
            <m:nor/>
          </m:rPr>
          <w:rPr>
            <w:rFonts w:ascii="Times New Roman" w:hAnsi="Times New Roman" w:cs="Times New Roman"/>
            <w:sz w:val="20"/>
            <w:szCs w:val="20"/>
          </w:rPr>
          <m:t>Flag</m:t>
        </m:r>
      </m:oMath>
      <w:r w:rsidRPr="00B16664">
        <w:rPr>
          <w:rFonts w:ascii="Times New Roman" w:hAnsi="Times New Roman" w:cs="Times New Roman"/>
          <w:sz w:val="20"/>
          <w:szCs w:val="20"/>
        </w:rPr>
        <w:t>.</w:t>
      </w:r>
    </w:p>
    <w:p w14:paraId="0B237401"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Wasserstein Distance (W)</w:t>
      </w:r>
    </w:p>
    <w:p w14:paraId="6A2603D5"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LFA operates at the token level and verifies individual word recoveries. However, even when all individual tokens pass the LFA threshold, the overall meaning of a sentence can still be distorted if multiple small changes combine to shift the semantic content. SDD addresses this gap by verifying meaning preservation at the full sentence level. It works by encoding both the obfuscated sentence and the recovered sentence through a frozen BERT model, producing token-level embedding matrices for each, and then measuring the minimum cost of transporting one embedding distribution to match the other. When both sentences carry the same meaning, their BERT embeddings will be </w:t>
      </w:r>
      <w:r w:rsidRPr="00B16664">
        <w:rPr>
          <w:rFonts w:ascii="Times New Roman" w:hAnsi="Times New Roman" w:cs="Times New Roman"/>
          <w:sz w:val="20"/>
          <w:szCs w:val="20"/>
        </w:rPr>
        <w:lastRenderedPageBreak/>
        <w:t>geometrically close and the transport cost will be low. When the recovery shifted the meaning, the embeddings will diverge and the distance will be high:</w:t>
      </w:r>
    </w:p>
    <w:p w14:paraId="4F6DE86E" w14:textId="76AE8F7C"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W=</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i,j</m:t>
                  </m:r>
                </m:sub>
                <m:sup/>
                <m:e>
                  <m:sSub>
                    <m:sSubPr>
                      <m:ctrlPr>
                        <w:rPr>
                          <w:rFonts w:ascii="Cambria Math" w:hAnsi="Cambria Math" w:cs="Times New Roman"/>
                          <w:sz w:val="20"/>
                          <w:szCs w:val="20"/>
                        </w:rPr>
                      </m:ctrlPr>
                    </m:sSubPr>
                    <m:e>
                      <m:r>
                        <w:rPr>
                          <w:rFonts w:ascii="Cambria Math" w:hAnsi="Cambria Math" w:cs="Times New Roman"/>
                          <w:sz w:val="20"/>
                          <w:szCs w:val="20"/>
                        </w:rPr>
                        <m:t>γ</m:t>
                      </m:r>
                    </m:e>
                    <m:sub>
                      <m:r>
                        <w:rPr>
                          <w:rFonts w:ascii="Cambria Math" w:hAnsi="Cambria Math" w:cs="Times New Roman"/>
                          <w:sz w:val="20"/>
                          <w:szCs w:val="20"/>
                        </w:rPr>
                        <m:t>ij</m:t>
                      </m:r>
                    </m:sub>
                  </m:sSub>
                </m:e>
              </m:nary>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num>
            <m:den>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den>
          </m:f>
        </m:oMath>
      </m:oMathPara>
    </w:p>
    <w:p w14:paraId="6B493905" w14:textId="658E0E26"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γ</m:t>
            </m:r>
          </m:e>
          <m:sub>
            <m:r>
              <w:rPr>
                <w:rFonts w:ascii="Cambria Math" w:hAnsi="Cambria Math" w:cs="Times New Roman"/>
                <w:sz w:val="20"/>
                <w:szCs w:val="20"/>
              </w:rPr>
              <m:t>ij</m:t>
            </m:r>
          </m:sub>
        </m:sSub>
      </m:oMath>
      <w:r w:rsidRPr="00B16664">
        <w:rPr>
          <w:rFonts w:ascii="Times New Roman" w:hAnsi="Times New Roman" w:cs="Times New Roman"/>
          <w:sz w:val="20"/>
          <w:szCs w:val="20"/>
        </w:rPr>
        <w:t xml:space="preserve">is the optimal transport assignment between the token embeddings of the two sentences, </w:t>
      </w:r>
      <m:oMath>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obf</m:t>
                </m:r>
              </m:e>
              <m:sub>
                <m:r>
                  <w:rPr>
                    <w:rFonts w:ascii="Cambria Math" w:hAnsi="Cambria Math" w:cs="Times New Roman"/>
                    <w:sz w:val="20"/>
                    <w:szCs w:val="20"/>
                  </w:rPr>
                  <m:t>i</m:t>
                </m:r>
              </m:sub>
            </m:sSub>
          </m:sub>
        </m:sSub>
        <m:r>
          <w:rPr>
            <w:rFonts w:ascii="Cambria Math" w:hAnsi="Cambria Math" w:cs="Times New Roman"/>
            <w:sz w:val="20"/>
            <w:szCs w:val="20"/>
          </w:rPr>
          <m:t>-em</m:t>
        </m:r>
        <m:sSub>
          <m:sSubPr>
            <m:ctrlPr>
              <w:rPr>
                <w:rFonts w:ascii="Cambria Math" w:hAnsi="Cambria Math" w:cs="Times New Roman"/>
                <w:sz w:val="20"/>
                <w:szCs w:val="20"/>
              </w:rPr>
            </m:ctrlPr>
          </m:sSubPr>
          <m:e>
            <m:r>
              <w:rPr>
                <w:rFonts w:ascii="Cambria Math" w:hAnsi="Cambria Math" w:cs="Times New Roman"/>
                <w:sz w:val="20"/>
                <w:szCs w:val="20"/>
              </w:rPr>
              <m:t>b</m:t>
            </m:r>
          </m:e>
          <m:sub>
            <m:sSub>
              <m:sSubPr>
                <m:ctrlPr>
                  <w:rPr>
                    <w:rFonts w:ascii="Cambria Math" w:hAnsi="Cambria Math" w:cs="Times New Roman"/>
                    <w:sz w:val="20"/>
                    <w:szCs w:val="20"/>
                  </w:rPr>
                </m:ctrlPr>
              </m:sSubPr>
              <m:e>
                <m:r>
                  <m:rPr>
                    <m:nor/>
                  </m:rPr>
                  <w:rPr>
                    <w:rFonts w:ascii="Times New Roman" w:hAnsi="Times New Roman" w:cs="Times New Roman"/>
                    <w:sz w:val="20"/>
                    <w:szCs w:val="20"/>
                  </w:rPr>
                  <m:t>rec</m:t>
                </m:r>
              </m:e>
              <m:sub>
                <m:r>
                  <w:rPr>
                    <w:rFonts w:ascii="Cambria Math" w:hAnsi="Cambria Math" w:cs="Times New Roman"/>
                    <w:sz w:val="20"/>
                    <w:szCs w:val="20"/>
                  </w:rPr>
                  <m:t>j</m:t>
                </m:r>
              </m:sub>
            </m:sSub>
          </m:sub>
        </m:sSub>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B16664">
        <w:rPr>
          <w:rFonts w:ascii="Times New Roman" w:hAnsi="Times New Roman" w:cs="Times New Roman"/>
          <w:sz w:val="20"/>
          <w:szCs w:val="20"/>
        </w:rPr>
        <w:t xml:space="preserve">is the L2 distance between each matched pair of token embeddings, and </w:t>
      </w:r>
      <m:oMath>
        <m:r>
          <m:rPr>
            <m:sty m:val="p"/>
          </m:rPr>
          <w:rPr>
            <w:rFonts w:ascii="Cambria Math" w:hAnsi="Cambria Math" w:cs="Times New Roman"/>
            <w:sz w:val="20"/>
            <w:szCs w:val="20"/>
          </w:rPr>
          <m:t>max</m:t>
        </m:r>
        <m:r>
          <w:rPr>
            <w:rFonts w:ascii="Cambria Math" w:hAnsi="Cambria Math" w:cs="Times New Roman"/>
            <w:sz w:val="20"/>
            <w:szCs w:val="20"/>
          </w:rPr>
          <m:t>⁡</m:t>
        </m:r>
        <m:d>
          <m:dPr>
            <m:sepChr m:val=","/>
            <m:ctrlPr>
              <w:rPr>
                <w:rFonts w:ascii="Cambria Math" w:hAnsi="Cambria Math" w:cs="Times New Roman"/>
                <w:sz w:val="20"/>
                <w:szCs w:val="20"/>
              </w:rPr>
            </m:ctrlPr>
          </m:dPr>
          <m:e>
            <m:r>
              <w:rPr>
                <w:rFonts w:ascii="Cambria Math" w:hAnsi="Cambria Math" w:cs="Times New Roman"/>
                <w:sz w:val="20"/>
                <w:szCs w:val="20"/>
              </w:rPr>
              <m:t>m</m:t>
            </m:r>
          </m:e>
          <m:e>
            <m:r>
              <w:rPr>
                <w:rFonts w:ascii="Cambria Math" w:hAnsi="Cambria Math" w:cs="Times New Roman"/>
                <w:sz w:val="20"/>
                <w:szCs w:val="20"/>
              </w:rPr>
              <m:t>n</m:t>
            </m:r>
          </m:e>
        </m:d>
      </m:oMath>
      <w:r w:rsidRPr="00B16664">
        <w:rPr>
          <w:rFonts w:ascii="Times New Roman" w:hAnsi="Times New Roman" w:cs="Times New Roman"/>
          <w:sz w:val="20"/>
          <w:szCs w:val="20"/>
        </w:rPr>
        <w:t xml:space="preserve">normalizes by the length of the longer sentence to ensure fair comparison across sentence pairs of different lengths. Both sentences were encoded using a frozen BERT base uncased model with no gradient computation. For computational tractability, up to 500 sentence pairs per dataset were evaluated. The one-dimensional Wasserstein distance was computed using the scipy implementation. The acceptance threshold was set at </w:t>
      </w:r>
      <m:oMath>
        <m:r>
          <w:rPr>
            <w:rFonts w:ascii="Cambria Math" w:hAnsi="Cambria Math" w:cs="Times New Roman"/>
            <w:sz w:val="20"/>
            <w:szCs w:val="20"/>
          </w:rPr>
          <m:t>W&lt;0.15</m:t>
        </m:r>
      </m:oMath>
      <w:r w:rsidRPr="00B16664">
        <w:rPr>
          <w:rFonts w:ascii="Times New Roman" w:hAnsi="Times New Roman" w:cs="Times New Roman"/>
          <w:sz w:val="20"/>
          <w:szCs w:val="20"/>
        </w:rPr>
        <w:t xml:space="preserve">for meaning preserved and </w:t>
      </w:r>
      <m:oMath>
        <m:r>
          <w:rPr>
            <w:rFonts w:ascii="Cambria Math" w:hAnsi="Cambria Math" w:cs="Times New Roman"/>
            <w:sz w:val="20"/>
            <w:szCs w:val="20"/>
          </w:rPr>
          <m:t>W≥0.15</m:t>
        </m:r>
      </m:oMath>
      <w:r w:rsidRPr="00B16664">
        <w:rPr>
          <w:rFonts w:ascii="Times New Roman" w:hAnsi="Times New Roman" w:cs="Times New Roman"/>
          <w:sz w:val="20"/>
          <w:szCs w:val="20"/>
        </w:rPr>
        <w:t>for semantic drift detected.</w:t>
      </w:r>
    </w:p>
    <w:p w14:paraId="731D59BE"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Mutual Information Estimate (MIE)</w:t>
      </w:r>
    </w:p>
    <w:p w14:paraId="4808C1A3" w14:textId="345387CB"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During SICL training, the model learns to produce embeddings where sentences with the same offensive intent are geometrically close and sentences with different intent are far apart. MIE quantifies how much intent-relevant information is actually encoded in the learned embeddings at each training stage. It is grounded in the mathematical relationship between the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objective and mutual information</w:t>
      </w:r>
      <w:r w:rsidR="009C24B2">
        <w:rPr>
          <w:rFonts w:ascii="Times New Roman" w:hAnsi="Times New Roman" w:cs="Times New Roman"/>
          <w:sz w:val="20"/>
          <w:szCs w:val="20"/>
        </w:rPr>
        <w:t>,</w:t>
      </w:r>
      <w:r w:rsidRPr="00B16664">
        <w:rPr>
          <w:rFonts w:ascii="Times New Roman" w:hAnsi="Times New Roman" w:cs="Times New Roman"/>
          <w:sz w:val="20"/>
          <w:szCs w:val="20"/>
        </w:rPr>
        <w:t xml:space="preserve"> minimizing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is provably equivalent to maximizing a lower bound on the mutual information between an anchor embedding and its paired positive embedding. As training progresses and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decreases, MIE increases, confirming that embeddings are capturing progressively more intent-discriminative information:</w:t>
      </w:r>
    </w:p>
    <w:p w14:paraId="12F96E8C" w14:textId="15C1C09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MIE=</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m:t>
              </m:r>
            </m:e>
          </m:d>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oMath>
      </m:oMathPara>
    </w:p>
    <w:p w14:paraId="15765A90" w14:textId="0811231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N</m:t>
        </m:r>
      </m:oMath>
      <w:r w:rsidRPr="00B16664">
        <w:rPr>
          <w:rFonts w:ascii="Times New Roman" w:hAnsi="Times New Roman" w:cs="Times New Roman"/>
          <w:sz w:val="20"/>
          <w:szCs w:val="20"/>
        </w:rPr>
        <w:t xml:space="preserve">is the training batch size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oMath>
      <w:r w:rsidRPr="00B16664">
        <w:rPr>
          <w:rFonts w:ascii="Times New Roman" w:hAnsi="Times New Roman" w:cs="Times New Roman"/>
          <w:sz w:val="20"/>
          <w:szCs w:val="20"/>
        </w:rPr>
        <w:t xml:space="preserve">is the average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recorded at the end of each training stage. After each of the four training stages</w:t>
      </w:r>
      <w:r w:rsidR="009C24B2">
        <w:rPr>
          <w:rFonts w:ascii="Times New Roman" w:hAnsi="Times New Roman" w:cs="Times New Roman"/>
          <w:sz w:val="20"/>
          <w:szCs w:val="20"/>
        </w:rPr>
        <w:t>,</w:t>
      </w:r>
      <w:r w:rsidRPr="00B16664">
        <w:rPr>
          <w:rFonts w:ascii="Times New Roman" w:hAnsi="Times New Roman" w:cs="Times New Roman"/>
          <w:sz w:val="20"/>
          <w:szCs w:val="20"/>
        </w:rPr>
        <w:t xml:space="preserve"> Baseline, plus STC, plus CICA, and Full </w:t>
      </w:r>
      <w:proofErr w:type="spellStart"/>
      <w:proofErr w:type="gramStart"/>
      <w:r w:rsidRPr="00B16664">
        <w:rPr>
          <w:rFonts w:ascii="Times New Roman" w:hAnsi="Times New Roman" w:cs="Times New Roman"/>
          <w:sz w:val="20"/>
          <w:szCs w:val="20"/>
        </w:rPr>
        <w:t>SICL</w:t>
      </w:r>
      <w:r w:rsidR="009C24B2">
        <w:rPr>
          <w:rFonts w:ascii="Times New Roman" w:hAnsi="Times New Roman" w:cs="Times New Roman"/>
          <w:sz w:val="20"/>
          <w:szCs w:val="20"/>
        </w:rPr>
        <w:t>,</w:t>
      </w:r>
      <w:r w:rsidRPr="00B16664">
        <w:rPr>
          <w:rFonts w:ascii="Times New Roman" w:hAnsi="Times New Roman" w:cs="Times New Roman"/>
          <w:sz w:val="20"/>
          <w:szCs w:val="20"/>
        </w:rPr>
        <w:t>the</w:t>
      </w:r>
      <w:proofErr w:type="spellEnd"/>
      <w:proofErr w:type="gramEnd"/>
      <w:r w:rsidRPr="00B16664">
        <w:rPr>
          <w:rFonts w:ascii="Times New Roman" w:hAnsi="Times New Roman" w:cs="Times New Roman"/>
          <w:sz w:val="20"/>
          <w:szCs w:val="20"/>
        </w:rPr>
        <w:t xml:space="preserve"> average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from the final epoch of that stage was used alongside the configured batch size to compute MIE, and the result was recorded in the embedding quality table.</w:t>
      </w:r>
    </w:p>
    <w:p w14:paraId="787CFC42"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Embedding Space Uniformity (ESU)</w:t>
      </w:r>
    </w:p>
    <w:p w14:paraId="6DE667C9" w14:textId="7CEC4CB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 known failure mode in contrastive learning is embedding collapse, where all embeddings converge to a narrow region of the hypersphere rather than being distributed across the full surface. When this happens, the model loses its ability to distinguish between different sentences because all representations are too geometrically similar. ESU detects this by measuring how uniformly the learned embeddings are spread across the unit hypersphere</w:t>
      </w:r>
      <w:r w:rsidR="009C24B2">
        <w:rPr>
          <w:rFonts w:ascii="Times New Roman" w:hAnsi="Times New Roman" w:cs="Times New Roman"/>
          <w:sz w:val="20"/>
          <w:szCs w:val="20"/>
        </w:rPr>
        <w:t>,</w:t>
      </w:r>
      <w:r w:rsidRPr="00B16664">
        <w:rPr>
          <w:rFonts w:ascii="Times New Roman" w:hAnsi="Times New Roman" w:cs="Times New Roman"/>
          <w:sz w:val="20"/>
          <w:szCs w:val="20"/>
        </w:rPr>
        <w:t xml:space="preserve"> a more uniform distribution indicates that the embedding space is being fully utilized:</w:t>
      </w:r>
    </w:p>
    <w:p w14:paraId="3B2874F1" w14:textId="525AAF91"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ESU=</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double-struck"/>
                    </m:rPr>
                    <w:rPr>
                      <w:rFonts w:ascii="Cambria Math" w:hAnsi="Cambria Math" w:cs="Times New Roman"/>
                      <w:sz w:val="20"/>
                      <w:szCs w:val="20"/>
                    </w:rPr>
                    <m:t>E</m:t>
                  </m:r>
                </m:e>
                <m: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ub>
              </m:sSub>
              <m:r>
                <m:rPr>
                  <m:nor/>
                </m:rPr>
                <w:rPr>
                  <w:rFonts w:ascii="Times New Roman" w:hAnsi="Times New Roman" w:cs="Times New Roman"/>
                  <w:sz w:val="20"/>
                  <w:szCs w:val="20"/>
                </w:rPr>
                <m:t> </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sup>
                  </m:sSup>
                </m:e>
              </m:d>
            </m:e>
          </m:d>
        </m:oMath>
      </m:oMathPara>
    </w:p>
    <w:p w14:paraId="1E218F8D" w14:textId="7F18E70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oMath>
      <w:r w:rsidRPr="00B16664">
        <w:rPr>
          <w:rFonts w:ascii="Times New Roman" w:hAnsi="Times New Roman" w:cs="Times New Roman"/>
          <w:sz w:val="20"/>
          <w:szCs w:val="20"/>
        </w:rPr>
        <w:t xml:space="preserve">are L2-normalized embedding vectors sampled from the test set. The full pairwise similarity matrix was computed from the test embeddings. Squared L2 distances were derived using the identity </w:t>
      </w:r>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=2-2</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oMath>
      <w:r w:rsidRPr="00B16664">
        <w:rPr>
          <w:rFonts w:ascii="Times New Roman" w:hAnsi="Times New Roman" w:cs="Times New Roman"/>
          <w:sz w:val="20"/>
          <w:szCs w:val="20"/>
        </w:rPr>
        <w:t xml:space="preserve">, which holds exactly for unit-norm vectors, avoiding redundant distance computation. The exponential was applied element-wise and averaged, and then the logarithm was taken to produce the ESU score. A more negative value indicates better </w:t>
      </w:r>
      <w:proofErr w:type="gramStart"/>
      <w:r w:rsidRPr="00B16664">
        <w:rPr>
          <w:rFonts w:ascii="Times New Roman" w:hAnsi="Times New Roman" w:cs="Times New Roman"/>
          <w:sz w:val="20"/>
          <w:szCs w:val="20"/>
        </w:rPr>
        <w:t>uniformity</w:t>
      </w:r>
      <w:r w:rsidR="009C24B2">
        <w:rPr>
          <w:rFonts w:ascii="Times New Roman" w:hAnsi="Times New Roman" w:cs="Times New Roman"/>
          <w:sz w:val="20"/>
          <w:szCs w:val="20"/>
        </w:rPr>
        <w:t>,</w:t>
      </w:r>
      <w:proofErr w:type="gramEnd"/>
      <w:r w:rsidRPr="00B16664">
        <w:rPr>
          <w:rFonts w:ascii="Times New Roman" w:hAnsi="Times New Roman" w:cs="Times New Roman"/>
          <w:sz w:val="20"/>
          <w:szCs w:val="20"/>
        </w:rPr>
        <w:t xml:space="preserve"> embeddings are well spread across the sphere. This was computed at each of the four training stages to track whether SICL progressively prevents embedding collapse.</w:t>
      </w:r>
    </w:p>
    <w:p w14:paraId="088CE706"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Embedding Alignment Score (EAS)</w:t>
      </w:r>
    </w:p>
    <w:p w14:paraId="208779A5" w14:textId="6A9F410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lastRenderedPageBreak/>
        <w:t>While ESU measures global spread across the sphere, EAS measures a complementary property how tightly embeddings from the same intent class cluster together. High alignment means that sentences carrying the same offensive or non-offensive intent are geometrically close to each other, indicating that the model has learned consistent representations for same-intent inputs rather than assigning arbitrary directions to them:</w:t>
      </w:r>
    </w:p>
    <w:p w14:paraId="085265B8" w14:textId="2644E13A"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EAS=-</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E</m:t>
              </m:r>
            </m:e>
            <m: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r>
                <w:rPr>
                  <w:rFonts w:ascii="Cambria Math" w:hAnsi="Cambria Math" w:cs="Times New Roman"/>
                  <w:sz w:val="20"/>
                  <w:szCs w:val="20"/>
                </w:rPr>
                <m:t>∼</m:t>
              </m:r>
              <m:r>
                <m:rPr>
                  <m:nor/>
                </m:rPr>
                <w:rPr>
                  <w:rFonts w:ascii="Times New Roman" w:hAnsi="Times New Roman" w:cs="Times New Roman"/>
                  <w:sz w:val="20"/>
                  <w:szCs w:val="20"/>
                </w:rPr>
                <m:t>same class</m:t>
              </m:r>
            </m:sub>
          </m:sSub>
          <m:r>
            <m:rPr>
              <m:nor/>
            </m:rPr>
            <w:rPr>
              <w:rFonts w:ascii="Times New Roman" w:hAnsi="Times New Roman" w:cs="Times New Roman"/>
              <w:sz w:val="20"/>
              <w:szCs w:val="20"/>
            </w:rPr>
            <m:t> </m:t>
          </m:r>
          <m:d>
            <m:dPr>
              <m:begChr m:val="["/>
              <m:endChr m:val="]"/>
              <m:ctrlPr>
                <w:rPr>
                  <w:rFonts w:ascii="Cambria Math" w:hAnsi="Cambria Math" w:cs="Times New Roman"/>
                  <w:sz w:val="20"/>
                  <w:szCs w:val="20"/>
                </w:rPr>
              </m:ctrlPr>
            </m:dPr>
            <m:e>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e>
          </m:d>
        </m:oMath>
      </m:oMathPara>
    </w:p>
    <w:p w14:paraId="2A1C0514" w14:textId="17AA954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The negative sign is applied so that higher</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less negative</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EAS values correspond to better alignment, maintaining a consistent interpretation where higher is better across all reported metrics. Same-label embedding pairs were sampled from the test set</w:t>
      </w:r>
      <w:r w:rsidR="00B5242C">
        <w:rPr>
          <w:rFonts w:ascii="Times New Roman" w:hAnsi="Times New Roman" w:cs="Times New Roman"/>
          <w:sz w:val="20"/>
          <w:szCs w:val="20"/>
        </w:rPr>
        <w:t xml:space="preserve">, </w:t>
      </w:r>
      <w:r w:rsidRPr="00B16664">
        <w:rPr>
          <w:rFonts w:ascii="Times New Roman" w:hAnsi="Times New Roman" w:cs="Times New Roman"/>
          <w:sz w:val="20"/>
          <w:szCs w:val="20"/>
        </w:rPr>
        <w:t>up to fifty pairs per class for computational efficiency</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and the average squared L2 distance between them was computed and negated. EAS was evaluated at each training stage to confirm that SICL progressively tightens same-intent clusters.</w:t>
      </w:r>
    </w:p>
    <w:p w14:paraId="0FFB889D"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Intent Cluster Accuracy (ICA)</w:t>
      </w:r>
    </w:p>
    <w:p w14:paraId="3FB4B94A"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ICA provides a practical downstream evaluation of embedding quality by testing whether a simple linear classifier trained on the learned embeddings can accurately separate offensive from non-offensive sentences. The reasoning is that if the backbone has learned a geometrically meaningful intent representation, even a linear decision boundary should be sufficient to achieve high classification accuracy. If ICA is high, it confirms that the embedding space encodes intent in a linearly separable structure:</w:t>
      </w:r>
    </w:p>
    <w:p w14:paraId="133525F3" w14:textId="0D606ACB"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ICA=</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test</m:t>
                  </m:r>
                </m:sub>
              </m:sSub>
              <m:r>
                <w:rPr>
                  <w:rFonts w:ascii="Cambria Math" w:hAnsi="Cambria Math" w:cs="Times New Roman"/>
                  <w:sz w:val="20"/>
                  <w:szCs w:val="20"/>
                </w:rPr>
                <m:t>∣</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test</m:t>
                  </m:r>
                </m:sub>
              </m:sSub>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oMath>
      </m:oMathPara>
    </w:p>
    <w:p w14:paraId="3442FDCD" w14:textId="25EFD22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is the label predicted by logistic regression and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oMath>
      <w:r w:rsidRPr="00B16664">
        <w:rPr>
          <w:rFonts w:ascii="Times New Roman" w:hAnsi="Times New Roman" w:cs="Times New Roman"/>
          <w:sz w:val="20"/>
          <w:szCs w:val="20"/>
        </w:rPr>
        <w:t>is the true label. An 80/20 split was applied to the test-set embeddings at each training stage. Logistic regression was fitted on the 80% training portion and its classification accuracy was evaluated on the remaining 20%. Progressive improvement in ICA across training stages confirms that SICL makes the embedding space progressively more linearly separable by intent.</w:t>
      </w:r>
    </w:p>
    <w:p w14:paraId="090F70D3"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proofErr w:type="spellStart"/>
      <w:r w:rsidRPr="00B16664">
        <w:rPr>
          <w:rFonts w:ascii="Times New Roman" w:hAnsi="Times New Roman" w:cs="Times New Roman"/>
          <w:b/>
          <w:bCs/>
          <w:sz w:val="20"/>
          <w:szCs w:val="20"/>
        </w:rPr>
        <w:t>InfoNCE</w:t>
      </w:r>
      <w:proofErr w:type="spellEnd"/>
      <w:r w:rsidRPr="00B16664">
        <w:rPr>
          <w:rFonts w:ascii="Times New Roman" w:hAnsi="Times New Roman" w:cs="Times New Roman"/>
          <w:b/>
          <w:bCs/>
          <w:sz w:val="20"/>
          <w:szCs w:val="20"/>
        </w:rPr>
        <w:t xml:space="preserve"> Loss</w:t>
      </w:r>
    </w:p>
    <w:p w14:paraId="30680FD7" w14:textId="21EC7C41" w:rsidR="00392FB9" w:rsidRPr="00B16664" w:rsidRDefault="00392FB9" w:rsidP="00392FB9">
      <w:pPr>
        <w:jc w:val="both"/>
        <w:rPr>
          <w:rFonts w:ascii="Times New Roman" w:hAnsi="Times New Roman" w:cs="Times New Roman"/>
          <w:sz w:val="20"/>
          <w:szCs w:val="20"/>
        </w:rPr>
      </w:pP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is the primary contrastive training objective of the CICA sub-module within SICL. Unlike triplet loss which compares one anchor against a single positive and negative at a time,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treats every other sample in the training batch simultaneously as a negative for the anchor</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providing a much richer and more stable gradient signal per training step. The loss is minimized when the anchor assigns highest similarity to its paired positive and lowest similarity to all other batch samples:</w:t>
      </w:r>
    </w:p>
    <w:p w14:paraId="233485FF" w14:textId="7C5D6180" w:rsidR="00392FB9" w:rsidRPr="00B16664" w:rsidRDefault="00000000" w:rsidP="00392FB9">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e>
                          <m:r>
                            <m:rPr>
                              <m:nor/>
                            </m:rPr>
                            <w:rPr>
                              <w:rFonts w:ascii="Times New Roman" w:hAnsi="Times New Roman"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w:rPr>
                                  <w:rFonts w:ascii="Cambria Math" w:hAnsi="Cambria Math" w:cs="Times New Roman"/>
                                  <w:sz w:val="20"/>
                                  <w:szCs w:val="20"/>
                                </w:rPr>
                                <m:t>+</m:t>
                              </m:r>
                            </m:sup>
                          </m:sSubSup>
                        </m:e>
                      </m:d>
                      <m:r>
                        <w:rPr>
                          <w:rFonts w:ascii="Cambria Math" w:hAnsi="Cambria Math" w:cs="Times New Roman"/>
                          <w:sz w:val="20"/>
                          <w:szCs w:val="20"/>
                        </w:rPr>
                        <m:t>/τ</m:t>
                      </m:r>
                    </m:e>
                  </m:d>
                </m:num>
                <m:den>
                  <m:func>
                    <m:funcPr>
                      <m:ctrlPr>
                        <w:rPr>
                          <w:rFonts w:ascii="Cambria Math" w:hAnsi="Cambria Math" w:cs="Times New Roman"/>
                          <w:sz w:val="20"/>
                          <w:szCs w:val="20"/>
                        </w:rPr>
                      </m:ctrlPr>
                    </m:funcPr>
                    <m:fNa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r>
                            <m:rPr>
                              <m:sty m:val="p"/>
                            </m:rPr>
                            <w:rPr>
                              <w:rFonts w:ascii="Cambria Math" w:hAnsi="Cambria Math" w:cs="Times New Roman"/>
                              <w:sz w:val="20"/>
                              <w:szCs w:val="20"/>
                            </w:rPr>
                            <m:t>exp</m:t>
                          </m:r>
                        </m:e>
                      </m:nary>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r>
                        <m:rPr>
                          <m:nor/>
                        </m:rPr>
                        <w:rPr>
                          <w:rFonts w:ascii="Times New Roman" w:hAnsi="Times New Roman" w:cs="Times New Roman"/>
                          <w:sz w:val="20"/>
                          <w:szCs w:val="20"/>
                        </w:rPr>
                        <m:t>sim</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e>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r>
                        <w:rPr>
                          <w:rFonts w:ascii="Cambria Math" w:hAnsi="Cambria Math" w:cs="Times New Roman"/>
                          <w:sz w:val="20"/>
                          <w:szCs w:val="20"/>
                        </w:rPr>
                        <m:t>/τ</m:t>
                      </m:r>
                    </m:e>
                  </m:d>
                </m:den>
              </m:f>
            </m:e>
          </m:func>
        </m:oMath>
      </m:oMathPara>
    </w:p>
    <w:p w14:paraId="329F635A" w14:textId="7D315E3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is the L2-normalized anchor embedding, </w:t>
      </w:r>
      <m:oMath>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w:rPr>
                <w:rFonts w:ascii="Cambria Math" w:hAnsi="Cambria Math" w:cs="Times New Roman"/>
                <w:sz w:val="20"/>
                <w:szCs w:val="20"/>
              </w:rPr>
              <m:t>+</m:t>
            </m:r>
          </m:sup>
        </m:sSubSup>
      </m:oMath>
      <w:r w:rsidRPr="00B16664">
        <w:rPr>
          <w:rFonts w:ascii="Times New Roman" w:hAnsi="Times New Roman" w:cs="Times New Roman"/>
          <w:sz w:val="20"/>
          <w:szCs w:val="20"/>
        </w:rPr>
        <w:t xml:space="preserve">is the paired positive embedding sharing the same offensive intent,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oMath>
      <w:r w:rsidRPr="00B16664">
        <w:rPr>
          <w:rFonts w:ascii="Times New Roman" w:hAnsi="Times New Roman" w:cs="Times New Roman"/>
          <w:sz w:val="20"/>
          <w:szCs w:val="20"/>
        </w:rPr>
        <w:t xml:space="preserve">represents all </w:t>
      </w:r>
      <m:oMath>
        <m:r>
          <w:rPr>
            <w:rFonts w:ascii="Cambria Math" w:hAnsi="Cambria Math" w:cs="Times New Roman"/>
            <w:sz w:val="20"/>
            <w:szCs w:val="20"/>
          </w:rPr>
          <m:t>N</m:t>
        </m:r>
      </m:oMath>
      <w:r w:rsidRPr="00B16664">
        <w:rPr>
          <w:rFonts w:ascii="Times New Roman" w:hAnsi="Times New Roman" w:cs="Times New Roman"/>
          <w:sz w:val="20"/>
          <w:szCs w:val="20"/>
        </w:rPr>
        <w:t xml:space="preserve">embeddings in the batch including the positive and all </w:t>
      </w:r>
      <m:oMath>
        <m:r>
          <w:rPr>
            <w:rFonts w:ascii="Cambria Math" w:hAnsi="Cambria Math" w:cs="Times New Roman"/>
            <w:sz w:val="20"/>
            <w:szCs w:val="20"/>
          </w:rPr>
          <m:t>N-1</m:t>
        </m:r>
      </m:oMath>
      <w:r w:rsidRPr="00B16664">
        <w:rPr>
          <w:rFonts w:ascii="Times New Roman" w:hAnsi="Times New Roman" w:cs="Times New Roman"/>
          <w:sz w:val="20"/>
          <w:szCs w:val="20"/>
        </w:rPr>
        <w:t xml:space="preserve">in-batch negatives, </w:t>
      </w:r>
      <m:oMath>
        <m:r>
          <w:rPr>
            <w:rFonts w:ascii="Cambria Math" w:hAnsi="Cambria Math" w:cs="Times New Roman"/>
            <w:sz w:val="20"/>
            <w:szCs w:val="20"/>
          </w:rPr>
          <m:t>τ=0.07</m:t>
        </m:r>
      </m:oMath>
      <w:r w:rsidRPr="00B16664">
        <w:rPr>
          <w:rFonts w:ascii="Times New Roman" w:hAnsi="Times New Roman" w:cs="Times New Roman"/>
          <w:sz w:val="20"/>
          <w:szCs w:val="20"/>
        </w:rPr>
        <w:t>is the temperature parameter that controls the sharpness of the distribution</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smaller values produce sharper, more discriminative gradients</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and </w:t>
      </w:r>
      <m:oMath>
        <m:r>
          <w:rPr>
            <w:rFonts w:ascii="Cambria Math" w:hAnsi="Cambria Math" w:cs="Times New Roman"/>
            <w:sz w:val="20"/>
            <w:szCs w:val="20"/>
          </w:rPr>
          <m:t>N</m:t>
        </m:r>
      </m:oMath>
      <w:r w:rsidRPr="00B16664">
        <w:rPr>
          <w:rFonts w:ascii="Times New Roman" w:hAnsi="Times New Roman" w:cs="Times New Roman"/>
          <w:sz w:val="20"/>
          <w:szCs w:val="20"/>
        </w:rPr>
        <w:t>is the batch size. The loss was computed on the projection head outputs by treating the first half of each batch as anchors and the second half as their corresponding positives. The average InfoNCE value across all batches in each epoch was recorded to track training convergence.</w:t>
      </w:r>
    </w:p>
    <w:p w14:paraId="27B3472B"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Intent Separation Score (ISS)</w:t>
      </w:r>
    </w:p>
    <w:p w14:paraId="23BDFD70" w14:textId="1580638E"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ISS measures the quality of cluster separation in the learned embedding space through a simple but informative ratio: how far apart are embeddings from different intent classes relative to how close together embeddings from the same intent class are. A high ISS indicates that the model has learned representations where same-intent sentences are tightly </w:t>
      </w:r>
      <w:r w:rsidRPr="00B16664">
        <w:rPr>
          <w:rFonts w:ascii="Times New Roman" w:hAnsi="Times New Roman" w:cs="Times New Roman"/>
          <w:sz w:val="20"/>
          <w:szCs w:val="20"/>
        </w:rPr>
        <w:lastRenderedPageBreak/>
        <w:t>grouped while different-intent sentences are well separated</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which is the structural property that enables accurate intent-based classification:</w:t>
      </w:r>
    </w:p>
    <w:p w14:paraId="4AB069BC" w14:textId="6DDCB58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ISS=</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inter</m:t>
                  </m:r>
                </m:sub>
              </m:sSub>
            </m:num>
            <m:den>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intra</m:t>
                  </m:r>
                </m:sub>
              </m:sSub>
            </m:den>
          </m:f>
        </m:oMath>
      </m:oMathPara>
    </w:p>
    <w:p w14:paraId="4821382E" w14:textId="3878B0F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inter</m:t>
            </m:r>
          </m:sub>
        </m:sSub>
      </m:oMath>
      <w:r w:rsidRPr="00B16664">
        <w:rPr>
          <w:rFonts w:ascii="Times New Roman" w:hAnsi="Times New Roman" w:cs="Times New Roman"/>
          <w:sz w:val="20"/>
          <w:szCs w:val="20"/>
        </w:rPr>
        <w:t xml:space="preserve">is the mean Euclidean distance between embeddings drawn from different classes,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intra</m:t>
            </m:r>
          </m:sub>
        </m:sSub>
      </m:oMath>
      <w:r w:rsidRPr="00B16664">
        <w:rPr>
          <w:rFonts w:ascii="Times New Roman" w:hAnsi="Times New Roman" w:cs="Times New Roman"/>
          <w:sz w:val="20"/>
          <w:szCs w:val="20"/>
        </w:rPr>
        <w:t>is the mean Euclidean distance between embeddings drawn from the same class. Pairwise distances were computed across a sliding window of consecutive embedding pairs</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both same-label and cross-label pairs</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and the ratio of their averages was taken. ISS was tracked alongside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in the training convergence table to provide a geometric perspective on how cluster separation develops during training.</w:t>
      </w:r>
    </w:p>
    <w:p w14:paraId="3D7521F1"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Mutual Information Bound (MIB)</w:t>
      </w:r>
    </w:p>
    <w:p w14:paraId="51A3DD3C" w14:textId="6C41C17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MIB is computed using the exact same formula as MIE and represents the same information-theoretic quantity</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the lower bound on mutual information between anchor and positive embeddings derived from the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objective:</w:t>
      </w:r>
    </w:p>
    <w:p w14:paraId="166B39F7" w14:textId="51AB65D2"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MIB=</m:t>
          </m:r>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m:t>
              </m:r>
            </m:e>
          </m:d>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m:rPr>
                  <m:nor/>
                </m:rPr>
                <w:rPr>
                  <w:rFonts w:ascii="Times New Roman" w:hAnsi="Times New Roman" w:cs="Times New Roman"/>
                  <w:sz w:val="20"/>
                  <w:szCs w:val="20"/>
                </w:rPr>
                <m:t>InfoNCE</m:t>
              </m:r>
            </m:sub>
          </m:sSub>
        </m:oMath>
      </m:oMathPara>
    </w:p>
    <w:p w14:paraId="289E52E6" w14:textId="13834EC4"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The distinction between MIB and MIE is purely one of reporting context. MIB is reported in the per-epoch training convergence table to show how mutual information grows epoch by epoch during CICA training, providing a training dynamics perspective. MIE is reported in the per-stage embedding quality table to compare embedding richness across the four training stages, providing a stage-level structural perspective. Both are computed from the same formula using the batch size and the corresponding average </w:t>
      </w:r>
      <w:proofErr w:type="spellStart"/>
      <w:r w:rsidRPr="00B16664">
        <w:rPr>
          <w:rFonts w:ascii="Times New Roman" w:hAnsi="Times New Roman" w:cs="Times New Roman"/>
          <w:sz w:val="20"/>
          <w:szCs w:val="20"/>
        </w:rPr>
        <w:t>InfoNCE</w:t>
      </w:r>
      <w:proofErr w:type="spellEnd"/>
      <w:r w:rsidRPr="00B16664">
        <w:rPr>
          <w:rFonts w:ascii="Times New Roman" w:hAnsi="Times New Roman" w:cs="Times New Roman"/>
          <w:sz w:val="20"/>
          <w:szCs w:val="20"/>
        </w:rPr>
        <w:t xml:space="preserve"> loss value.</w:t>
      </w:r>
    </w:p>
    <w:p w14:paraId="5CDF1B51"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Linear Evaluation Accuracy (LEA)</w:t>
      </w:r>
    </w:p>
    <w:p w14:paraId="7627E37D" w14:textId="518B1B55"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LEA evaluates embedding quality at each individual training epoch using the same linear probe methodology as ICA</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a logistic regression classifier is trained on the current embeddings and its classification accuracy is measured. The distinction from ICA is in reporting granularity: ICA compares embedding quality across the four training stages, while LEA tracks embedding quality epoch by epoch within the CICA training phase to provide a fine-grained view of how linear separability evolves during contrastive training:</w:t>
      </w:r>
    </w:p>
    <w:p w14:paraId="734F3648" w14:textId="2F716CBA"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LEA=</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test</m:t>
                  </m:r>
                </m:sub>
              </m:sSub>
              <m:r>
                <w:rPr>
                  <w:rFonts w:ascii="Cambria Math" w:hAnsi="Cambria Math" w:cs="Times New Roman"/>
                  <w:sz w:val="20"/>
                  <w:szCs w:val="20"/>
                </w:rPr>
                <m:t>∣</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test</m:t>
                  </m:r>
                </m:sub>
              </m:sSub>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oMath>
      </m:oMathPara>
    </w:p>
    <w:p w14:paraId="46FE77DC" w14:textId="12D4899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After each training epoch, the test embeddings were extracted from the current model state, an 80/20 split was applied to these embeddings, logistic regression was fitted and evaluated, and the resulting accuracy was logged as the LEA for that epoch. Consistent improvement in LEA across epochs confirms that each additional epoch of contrastive training produces embeddings that are more linearly separable by intent.</w:t>
      </w:r>
    </w:p>
    <w:p w14:paraId="2B491A79"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proofErr w:type="spellStart"/>
      <w:r w:rsidRPr="00B16664">
        <w:rPr>
          <w:rFonts w:ascii="Times New Roman" w:hAnsi="Times New Roman" w:cs="Times New Roman"/>
          <w:b/>
          <w:bCs/>
          <w:sz w:val="20"/>
          <w:szCs w:val="20"/>
        </w:rPr>
        <w:t>vMF</w:t>
      </w:r>
      <w:proofErr w:type="spellEnd"/>
      <w:r w:rsidRPr="00B16664">
        <w:rPr>
          <w:rFonts w:ascii="Times New Roman" w:hAnsi="Times New Roman" w:cs="Times New Roman"/>
          <w:b/>
          <w:bCs/>
          <w:sz w:val="20"/>
          <w:szCs w:val="20"/>
        </w:rPr>
        <w:t xml:space="preserve"> Concentration Parameter κ</w:t>
      </w:r>
    </w:p>
    <w:p w14:paraId="2E896ED9" w14:textId="66BE117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When embeddings are L2-normalized they reside on the surface of a unit hypersphere, and the Von Mises-Fisher distribution is the natural probability distribution for data on this surface</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it is the spherical analogue of the Gaussian distribution. The concentration parameter κ quantifies how tightly the embeddings of each intent class are packed around their class center on the hypersphere. A large κ indicates that embeddings are densely concentrated around the cluster mean, forming a tight, well-defined cluster. A small κ indicates that embeddings are dispersed across a broad region of the sphere, forming a loose or ill-defined cluster. κ was estimated via Maximum Likelihood Estimation using the mean resultant length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B16664">
        <w:rPr>
          <w:rFonts w:ascii="Times New Roman" w:hAnsi="Times New Roman" w:cs="Times New Roman"/>
          <w:sz w:val="20"/>
          <w:szCs w:val="20"/>
        </w:rPr>
        <w:t>:</w:t>
      </w:r>
    </w:p>
    <w:p w14:paraId="696E3AF8" w14:textId="7EAF21F2" w:rsidR="00392FB9" w:rsidRPr="00B16664" w:rsidRDefault="00000000" w:rsidP="00392FB9">
      <w:pPr>
        <w:jc w:val="both"/>
        <w:rPr>
          <w:rFonts w:ascii="Times New Roman" w:hAnsi="Times New Roman" w:cs="Times New Roman"/>
          <w:sz w:val="20"/>
          <w:szCs w:val="20"/>
        </w:rPr>
      </w:pPr>
      <m:oMathPara>
        <m:oMath>
          <m:acc>
            <m:accPr>
              <m:chr m:val="̅"/>
              <m:ctrlPr>
                <w:rPr>
                  <w:rFonts w:ascii="Cambria Math" w:hAnsi="Cambria Math" w:cs="Times New Roman"/>
                  <w:sz w:val="20"/>
                  <w:szCs w:val="20"/>
                </w:rPr>
              </m:ctrlPr>
            </m:accPr>
            <m:e>
              <m:r>
                <w:rPr>
                  <w:rFonts w:ascii="Cambria Math" w:hAnsi="Cambria Math" w:cs="Times New Roman"/>
                  <w:sz w:val="20"/>
                  <w:szCs w:val="20"/>
                </w:rPr>
                <m:t>r</m:t>
              </m:r>
            </m:e>
          </m:acc>
          <m:r>
            <w:rPr>
              <w:rFonts w:ascii="Cambria Math" w:hAnsi="Cambria Math" w:cs="Times New Roman"/>
              <w:sz w:val="20"/>
              <w:szCs w:val="20"/>
            </w:rPr>
            <m:t>=</m:t>
          </m:r>
          <m:d>
            <m:dPr>
              <m:begChr m:val="∥"/>
              <m:endChr m:val="∥"/>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i∈c</m:t>
                  </m:r>
                </m:sub>
                <m:sup/>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nary>
            </m:e>
          </m:d>
          <m:r>
            <w:rPr>
              <w:rFonts w:ascii="Cambria Math" w:hAnsi="Cambria Math" w:cs="Times New Roman"/>
              <w:sz w:val="20"/>
              <w:szCs w:val="20"/>
            </w:rPr>
            <m:t>, </m:t>
          </m:r>
          <m:acc>
            <m:accPr>
              <m:ctrlPr>
                <w:rPr>
                  <w:rFonts w:ascii="Cambria Math" w:hAnsi="Cambria Math" w:cs="Times New Roman"/>
                  <w:sz w:val="20"/>
                  <w:szCs w:val="20"/>
                </w:rPr>
              </m:ctrlPr>
            </m:accPr>
            <m:e>
              <m:r>
                <w:rPr>
                  <w:rFonts w:ascii="Cambria Math" w:hAnsi="Cambria Math" w:cs="Times New Roman"/>
                  <w:sz w:val="20"/>
                  <w:szCs w:val="20"/>
                </w:rPr>
                <m:t>κ</m:t>
              </m:r>
            </m:e>
          </m:acc>
          <m:r>
            <w:rPr>
              <w:rFonts w:ascii="Cambria Math" w:hAnsi="Cambria Math" w:cs="Times New Roman"/>
              <w:sz w:val="20"/>
              <w:szCs w:val="20"/>
            </w:rPr>
            <m:t>≈</m:t>
          </m:r>
          <m:f>
            <m:fPr>
              <m:ctrlPr>
                <w:rPr>
                  <w:rFonts w:ascii="Cambria Math" w:hAnsi="Cambria Math" w:cs="Times New Roman"/>
                  <w:sz w:val="20"/>
                  <w:szCs w:val="20"/>
                </w:rPr>
              </m:ctrlPr>
            </m:fPr>
            <m:num>
              <m:acc>
                <m:accPr>
                  <m:chr m:val="̅"/>
                  <m:ctrlPr>
                    <w:rPr>
                      <w:rFonts w:ascii="Cambria Math" w:hAnsi="Cambria Math" w:cs="Times New Roman"/>
                      <w:sz w:val="20"/>
                      <w:szCs w:val="20"/>
                    </w:rPr>
                  </m:ctrlPr>
                </m:accPr>
                <m:e>
                  <m:r>
                    <w:rPr>
                      <w:rFonts w:ascii="Cambria Math" w:hAnsi="Cambria Math" w:cs="Times New Roman"/>
                      <w:sz w:val="20"/>
                      <w:szCs w:val="20"/>
                    </w:rPr>
                    <m:t>r</m:t>
                  </m:r>
                </m:e>
              </m:acc>
              <m:d>
                <m:dPr>
                  <m:ctrlPr>
                    <w:rPr>
                      <w:rFonts w:ascii="Cambria Math" w:hAnsi="Cambria Math" w:cs="Times New Roman"/>
                      <w:sz w:val="20"/>
                      <w:szCs w:val="20"/>
                    </w:rPr>
                  </m:ctrlPr>
                </m:dPr>
                <m:e>
                  <m:r>
                    <w:rPr>
                      <w:rFonts w:ascii="Cambria Math" w:hAnsi="Cambria Math" w:cs="Times New Roman"/>
                      <w:sz w:val="20"/>
                      <w:szCs w:val="20"/>
                    </w:rPr>
                    <m:t>d-</m:t>
                  </m:r>
                  <m:sSup>
                    <m:sSupPr>
                      <m:ctrlPr>
                        <w:rPr>
                          <w:rFonts w:ascii="Cambria Math" w:hAnsi="Cambria Math" w:cs="Times New Roman"/>
                          <w:sz w:val="20"/>
                          <w:szCs w:val="20"/>
                        </w:rPr>
                      </m:ctrlPr>
                    </m:sSupPr>
                    <m:e>
                      <m:acc>
                        <m:accPr>
                          <m:chr m:val="̅"/>
                          <m:ctrlPr>
                            <w:rPr>
                              <w:rFonts w:ascii="Cambria Math" w:hAnsi="Cambria Math" w:cs="Times New Roman"/>
                              <w:sz w:val="20"/>
                              <w:szCs w:val="20"/>
                            </w:rPr>
                          </m:ctrlPr>
                        </m:accPr>
                        <m:e>
                          <m:r>
                            <w:rPr>
                              <w:rFonts w:ascii="Cambria Math" w:hAnsi="Cambria Math" w:cs="Times New Roman"/>
                              <w:sz w:val="20"/>
                              <w:szCs w:val="20"/>
                            </w:rPr>
                            <m:t>r</m:t>
                          </m:r>
                        </m:e>
                      </m:acc>
                    </m:e>
                    <m:sup>
                      <m:r>
                        <w:rPr>
                          <w:rFonts w:ascii="Cambria Math" w:hAnsi="Cambria Math" w:cs="Times New Roman"/>
                          <w:sz w:val="20"/>
                          <w:szCs w:val="20"/>
                        </w:rPr>
                        <m:t>2</m:t>
                      </m:r>
                    </m:sup>
                  </m:sSup>
                </m:e>
              </m:d>
            </m:num>
            <m:den>
              <m:r>
                <w:rPr>
                  <w:rFonts w:ascii="Cambria Math" w:hAnsi="Cambria Math" w:cs="Times New Roman"/>
                  <w:sz w:val="20"/>
                  <w:szCs w:val="20"/>
                </w:rPr>
                <m:t>1-</m:t>
              </m:r>
              <m:sSup>
                <m:sSupPr>
                  <m:ctrlPr>
                    <w:rPr>
                      <w:rFonts w:ascii="Cambria Math" w:hAnsi="Cambria Math" w:cs="Times New Roman"/>
                      <w:sz w:val="20"/>
                      <w:szCs w:val="20"/>
                    </w:rPr>
                  </m:ctrlPr>
                </m:sSupPr>
                <m:e>
                  <m:acc>
                    <m:accPr>
                      <m:chr m:val="̅"/>
                      <m:ctrlPr>
                        <w:rPr>
                          <w:rFonts w:ascii="Cambria Math" w:hAnsi="Cambria Math" w:cs="Times New Roman"/>
                          <w:sz w:val="20"/>
                          <w:szCs w:val="20"/>
                        </w:rPr>
                      </m:ctrlPr>
                    </m:accPr>
                    <m:e>
                      <m:r>
                        <w:rPr>
                          <w:rFonts w:ascii="Cambria Math" w:hAnsi="Cambria Math" w:cs="Times New Roman"/>
                          <w:sz w:val="20"/>
                          <w:szCs w:val="20"/>
                        </w:rPr>
                        <m:t>r</m:t>
                      </m:r>
                    </m:e>
                  </m:acc>
                </m:e>
                <m:sup>
                  <m:r>
                    <w:rPr>
                      <w:rFonts w:ascii="Cambria Math" w:hAnsi="Cambria Math" w:cs="Times New Roman"/>
                      <w:sz w:val="20"/>
                      <w:szCs w:val="20"/>
                    </w:rPr>
                    <m:t>2</m:t>
                  </m:r>
                </m:sup>
              </m:sSup>
            </m:den>
          </m:f>
        </m:oMath>
      </m:oMathPara>
    </w:p>
    <w:p w14:paraId="59F4236C" w14:textId="2C0FC31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lastRenderedPageBreak/>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oMath>
      <w:r w:rsidRPr="00B16664">
        <w:rPr>
          <w:rFonts w:ascii="Times New Roman" w:hAnsi="Times New Roman" w:cs="Times New Roman"/>
          <w:sz w:val="20"/>
          <w:szCs w:val="20"/>
        </w:rPr>
        <w:t xml:space="preserve">is the number of samples in class </w:t>
      </w:r>
      <m:oMath>
        <m:r>
          <w:rPr>
            <w:rFonts w:ascii="Cambria Math" w:hAnsi="Cambria Math" w:cs="Times New Roman"/>
            <w:sz w:val="20"/>
            <w:szCs w:val="20"/>
          </w:rPr>
          <m:t>c</m:t>
        </m:r>
      </m:oMath>
      <w:r w:rsidRPr="00B1666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are the L2-normalized embeddings, and </w:t>
      </w:r>
      <m:oMath>
        <m:r>
          <w:rPr>
            <w:rFonts w:ascii="Cambria Math" w:hAnsi="Cambria Math" w:cs="Times New Roman"/>
            <w:sz w:val="20"/>
            <w:szCs w:val="20"/>
          </w:rPr>
          <m:t>d</m:t>
        </m:r>
      </m:oMath>
      <w:r w:rsidRPr="00B16664">
        <w:rPr>
          <w:rFonts w:ascii="Times New Roman" w:hAnsi="Times New Roman" w:cs="Times New Roman"/>
          <w:sz w:val="20"/>
          <w:szCs w:val="20"/>
        </w:rPr>
        <w:t xml:space="preserve">is the embedding dimension. When all embeddings in a class point in nearly the same direction, their average will have high magnitude,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B16664">
        <w:rPr>
          <w:rFonts w:ascii="Times New Roman" w:hAnsi="Times New Roman" w:cs="Times New Roman"/>
          <w:sz w:val="20"/>
          <w:szCs w:val="20"/>
        </w:rPr>
        <w:t xml:space="preserve">will approach </w:t>
      </w:r>
      <m:oMath>
        <m:r>
          <w:rPr>
            <w:rFonts w:ascii="Cambria Math" w:hAnsi="Cambria Math" w:cs="Times New Roman"/>
            <w:sz w:val="20"/>
            <w:szCs w:val="20"/>
          </w:rPr>
          <m:t>1</m:t>
        </m:r>
      </m:oMath>
      <w:r w:rsidRPr="00B16664">
        <w:rPr>
          <w:rFonts w:ascii="Times New Roman" w:hAnsi="Times New Roman" w:cs="Times New Roman"/>
          <w:sz w:val="20"/>
          <w:szCs w:val="20"/>
        </w:rPr>
        <w:t xml:space="preserve">, and </w:t>
      </w:r>
      <m:oMath>
        <m:acc>
          <m:accPr>
            <m:ctrlPr>
              <w:rPr>
                <w:rFonts w:ascii="Cambria Math" w:hAnsi="Cambria Math" w:cs="Times New Roman"/>
                <w:sz w:val="20"/>
                <w:szCs w:val="20"/>
              </w:rPr>
            </m:ctrlPr>
          </m:accPr>
          <m:e>
            <m:r>
              <w:rPr>
                <w:rFonts w:ascii="Cambria Math" w:hAnsi="Cambria Math" w:cs="Times New Roman"/>
                <w:sz w:val="20"/>
                <w:szCs w:val="20"/>
              </w:rPr>
              <m:t>κ</m:t>
            </m:r>
          </m:e>
        </m:acc>
      </m:oMath>
      <w:r w:rsidRPr="00B16664">
        <w:rPr>
          <w:rFonts w:ascii="Times New Roman" w:hAnsi="Times New Roman" w:cs="Times New Roman"/>
          <w:sz w:val="20"/>
          <w:szCs w:val="20"/>
        </w:rPr>
        <w:t xml:space="preserve">will be large. When embeddings are scattered,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B16664">
        <w:rPr>
          <w:rFonts w:ascii="Times New Roman" w:hAnsi="Times New Roman" w:cs="Times New Roman"/>
          <w:sz w:val="20"/>
          <w:szCs w:val="20"/>
        </w:rPr>
        <w:t xml:space="preserve">will be small and </w:t>
      </w:r>
      <m:oMath>
        <m:acc>
          <m:accPr>
            <m:ctrlPr>
              <w:rPr>
                <w:rFonts w:ascii="Cambria Math" w:hAnsi="Cambria Math" w:cs="Times New Roman"/>
                <w:sz w:val="20"/>
                <w:szCs w:val="20"/>
              </w:rPr>
            </m:ctrlPr>
          </m:accPr>
          <m:e>
            <m:r>
              <w:rPr>
                <w:rFonts w:ascii="Cambria Math" w:hAnsi="Cambria Math" w:cs="Times New Roman"/>
                <w:sz w:val="20"/>
                <w:szCs w:val="20"/>
              </w:rPr>
              <m:t>κ</m:t>
            </m:r>
          </m:e>
        </m:acc>
      </m:oMath>
      <w:r w:rsidRPr="00B16664">
        <w:rPr>
          <w:rFonts w:ascii="Times New Roman" w:hAnsi="Times New Roman" w:cs="Times New Roman"/>
          <w:sz w:val="20"/>
          <w:szCs w:val="20"/>
        </w:rPr>
        <w:t xml:space="preserve">will approach zero. The test embeddings were separated into offensive and non-offensive groups, the mean vector and its L2 magnitude were computed for each group independently, and </w:t>
      </w:r>
      <m:oMath>
        <m:acc>
          <m:accPr>
            <m:ctrlPr>
              <w:rPr>
                <w:rFonts w:ascii="Cambria Math" w:hAnsi="Cambria Math" w:cs="Times New Roman"/>
                <w:sz w:val="20"/>
                <w:szCs w:val="20"/>
              </w:rPr>
            </m:ctrlPr>
          </m:accPr>
          <m:e>
            <m:r>
              <w:rPr>
                <w:rFonts w:ascii="Cambria Math" w:hAnsi="Cambria Math" w:cs="Times New Roman"/>
                <w:sz w:val="20"/>
                <w:szCs w:val="20"/>
              </w:rPr>
              <m:t>κ</m:t>
            </m:r>
          </m:e>
        </m:acc>
      </m:oMath>
      <w:r w:rsidRPr="00B16664">
        <w:rPr>
          <w:rFonts w:ascii="Times New Roman" w:hAnsi="Times New Roman" w:cs="Times New Roman"/>
          <w:sz w:val="20"/>
          <w:szCs w:val="20"/>
        </w:rPr>
        <w:t>was derived from the above formula for each class and each backbone model separately.</w:t>
      </w:r>
    </w:p>
    <w:p w14:paraId="05FFCD6A"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Log-Likelihood (Log-L)</w:t>
      </w:r>
    </w:p>
    <w:p w14:paraId="4178138E" w14:textId="7310744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Log-L measures how well the estimated </w:t>
      </w:r>
      <w:proofErr w:type="spellStart"/>
      <w:r w:rsidRPr="00B16664">
        <w:rPr>
          <w:rFonts w:ascii="Times New Roman" w:hAnsi="Times New Roman" w:cs="Times New Roman"/>
          <w:sz w:val="20"/>
          <w:szCs w:val="20"/>
        </w:rPr>
        <w:t>vMF</w:t>
      </w:r>
      <w:proofErr w:type="spellEnd"/>
      <w:r w:rsidRPr="00B16664">
        <w:rPr>
          <w:rFonts w:ascii="Times New Roman" w:hAnsi="Times New Roman" w:cs="Times New Roman"/>
          <w:sz w:val="20"/>
          <w:szCs w:val="20"/>
        </w:rPr>
        <w:t xml:space="preserve"> distribution parameters</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the cluster center </w:t>
      </w:r>
      <m:oMath>
        <m:r>
          <w:rPr>
            <w:rFonts w:ascii="Cambria Math" w:hAnsi="Cambria Math" w:cs="Times New Roman"/>
            <w:sz w:val="20"/>
            <w:szCs w:val="20"/>
          </w:rPr>
          <m:t>μ</m:t>
        </m:r>
      </m:oMath>
      <w:r w:rsidRPr="00B16664">
        <w:rPr>
          <w:rFonts w:ascii="Times New Roman" w:hAnsi="Times New Roman" w:cs="Times New Roman"/>
          <w:sz w:val="20"/>
          <w:szCs w:val="20"/>
        </w:rPr>
        <w:t xml:space="preserve">and concentration </w:t>
      </w:r>
      <m:oMath>
        <m:r>
          <w:rPr>
            <w:rFonts w:ascii="Cambria Math" w:hAnsi="Cambria Math" w:cs="Times New Roman"/>
            <w:sz w:val="20"/>
            <w:szCs w:val="20"/>
          </w:rPr>
          <m:t>κ</m:t>
        </m:r>
      </m:oMath>
      <w:r w:rsidR="00B5242C">
        <w:rPr>
          <w:rFonts w:ascii="Times New Roman" w:hAnsi="Times New Roman" w:cs="Times New Roman"/>
          <w:sz w:val="20"/>
          <w:szCs w:val="20"/>
        </w:rPr>
        <w:t>,</w:t>
      </w:r>
      <w:r w:rsidRPr="00B16664">
        <w:rPr>
          <w:rFonts w:ascii="Times New Roman" w:hAnsi="Times New Roman" w:cs="Times New Roman"/>
          <w:sz w:val="20"/>
          <w:szCs w:val="20"/>
        </w:rPr>
        <w:t xml:space="preserve"> statistically explain the observed embedding distribution. A higher (less negative) Log-L value indicates that the fitted vMF model is a better description of the geometric structure of the learned embeddings. It is computed as the sum of log-probabilities of all embeddings under the estimated distribution:</w:t>
      </w:r>
    </w:p>
    <w:p w14:paraId="36930355" w14:textId="73BD0972" w:rsidR="00392FB9" w:rsidRPr="00B16664" w:rsidRDefault="00000000" w:rsidP="00392FB9">
      <w:pPr>
        <w:jc w:val="both"/>
        <w:rPr>
          <w:rFonts w:ascii="Times New Roman" w:hAnsi="Times New Roman" w:cs="Times New Roman"/>
          <w:sz w:val="20"/>
          <w:szCs w:val="20"/>
        </w:rPr>
      </w:pPr>
      <m:oMathPara>
        <m:oMath>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r>
                <m:rPr>
                  <m:nor/>
                </m:rPr>
                <w:rPr>
                  <w:rFonts w:ascii="Times New Roman" w:hAnsi="Times New Roman" w:cs="Times New Roman"/>
                  <w:sz w:val="20"/>
                  <w:szCs w:val="20"/>
                </w:rPr>
                <m:t>-</m:t>
              </m:r>
            </m:e>
          </m:func>
          <m:r>
            <w:rPr>
              <w:rFonts w:ascii="Cambria Math" w:hAnsi="Cambria Math" w:cs="Times New Roman"/>
              <w:sz w:val="20"/>
              <w:szCs w:val="20"/>
            </w:rPr>
            <m:t>L=κ</m:t>
          </m:r>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sSup>
                <m:sSupPr>
                  <m:ctrlPr>
                    <w:rPr>
                      <w:rFonts w:ascii="Cambria Math" w:hAnsi="Cambria Math" w:cs="Times New Roman"/>
                      <w:sz w:val="20"/>
                      <w:szCs w:val="20"/>
                    </w:rPr>
                  </m:ctrlPr>
                </m:sSupPr>
                <m:e>
                  <m:r>
                    <w:rPr>
                      <w:rFonts w:ascii="Cambria Math" w:hAnsi="Cambria Math" w:cs="Times New Roman"/>
                      <w:sz w:val="20"/>
                      <w:szCs w:val="20"/>
                    </w:rPr>
                    <m:t>μ</m:t>
                  </m:r>
                </m:e>
                <m:sup>
                  <m:r>
                    <w:rPr>
                      <w:rFonts w:ascii="Cambria Math" w:hAnsi="Cambria Math" w:cs="Times New Roman"/>
                      <w:sz w:val="20"/>
                      <w:szCs w:val="20"/>
                    </w:rPr>
                    <m:t>⊤</m:t>
                  </m:r>
                </m:sup>
              </m:sSup>
            </m:e>
          </m:nary>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m:oMathPara>
    </w:p>
    <w:p w14:paraId="5C1D82E4" w14:textId="1213333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μ</m:t>
        </m:r>
      </m:oMath>
      <w:r w:rsidRPr="00B16664">
        <w:rPr>
          <w:rFonts w:ascii="Times New Roman" w:hAnsi="Times New Roman" w:cs="Times New Roman"/>
          <w:sz w:val="20"/>
          <w:szCs w:val="20"/>
        </w:rPr>
        <w:t xml:space="preserve">is the normalized cluster center vector and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are the normalized embeddings. The normalization constant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d</m:t>
            </m:r>
          </m:sub>
        </m:sSub>
        <m:d>
          <m:dPr>
            <m:ctrlPr>
              <w:rPr>
                <w:rFonts w:ascii="Cambria Math" w:hAnsi="Cambria Math" w:cs="Times New Roman"/>
                <w:sz w:val="20"/>
                <w:szCs w:val="20"/>
              </w:rPr>
            </m:ctrlPr>
          </m:dPr>
          <m:e>
            <m:r>
              <w:rPr>
                <w:rFonts w:ascii="Cambria Math" w:hAnsi="Cambria Math" w:cs="Times New Roman"/>
                <w:sz w:val="20"/>
                <w:szCs w:val="20"/>
              </w:rPr>
              <m:t>κ</m:t>
            </m:r>
          </m:e>
        </m:d>
      </m:oMath>
      <w:r w:rsidRPr="00B16664">
        <w:rPr>
          <w:rFonts w:ascii="Times New Roman" w:hAnsi="Times New Roman" w:cs="Times New Roman"/>
          <w:sz w:val="20"/>
          <w:szCs w:val="20"/>
        </w:rPr>
        <w:t>was omitted from the reported value because it is constant across samples within any fixed model and does not affect relative comparisons between models. The log-likelihoods of the offensive and non-offensive classes were summed to produce the overall Log-L reported for each backbone model.</w:t>
      </w:r>
    </w:p>
    <w:p w14:paraId="73333FF0"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Negative Log-Likelihood (NLL)</w:t>
      </w:r>
    </w:p>
    <w:p w14:paraId="1028D599" w14:textId="5128574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Log-L has a scale dependency</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models evaluated on datasets with more samples will naturally produce a larger total log-likelihood simply due to having more terms in the sum. NLL addresses this by normalizing the total log-likelihood to a per-sample average, enabling fair comparison across models and datasets of different sizes:</w:t>
      </w:r>
    </w:p>
    <w:p w14:paraId="0997085B" w14:textId="05A09A8D"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NLL=-</m:t>
          </m:r>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r>
                    <m:rPr>
                      <m:nor/>
                    </m:rPr>
                    <w:rPr>
                      <w:rFonts w:ascii="Times New Roman" w:hAnsi="Times New Roman" w:cs="Times New Roman"/>
                      <w:sz w:val="20"/>
                      <w:szCs w:val="20"/>
                    </w:rPr>
                    <m:t>-</m:t>
                  </m:r>
                </m:e>
              </m:func>
              <m:r>
                <w:rPr>
                  <w:rFonts w:ascii="Cambria Math" w:hAnsi="Cambria Math" w:cs="Times New Roman"/>
                  <w:sz w:val="20"/>
                  <w:szCs w:val="20"/>
                </w:rPr>
                <m:t>L</m:t>
              </m:r>
            </m:num>
            <m:den>
              <m:r>
                <w:rPr>
                  <w:rFonts w:ascii="Cambria Math" w:hAnsi="Cambria Math" w:cs="Times New Roman"/>
                  <w:sz w:val="20"/>
                  <w:szCs w:val="20"/>
                </w:rPr>
                <m:t>N</m:t>
              </m:r>
            </m:den>
          </m:f>
        </m:oMath>
      </m:oMathPara>
    </w:p>
    <w:p w14:paraId="5D35FC77" w14:textId="6132B5F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N</m:t>
        </m:r>
      </m:oMath>
      <w:r w:rsidRPr="00B16664">
        <w:rPr>
          <w:rFonts w:ascii="Times New Roman" w:hAnsi="Times New Roman" w:cs="Times New Roman"/>
          <w:sz w:val="20"/>
          <w:szCs w:val="20"/>
        </w:rPr>
        <w:t>is the total number of embeddings across both the offensive and non-offensive classes. The total log-likelihood was negated and divided by the embedding count. Lower NLL indicates a better fit between the estimated vMF model and the observed embedding geometry.</w:t>
      </w:r>
    </w:p>
    <w:p w14:paraId="7B234EED"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Kolmogorov-Smirnov Statistic (KS Stat)</w:t>
      </w:r>
    </w:p>
    <w:p w14:paraId="1497C7F2"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The KS statistic tests whether the projection score distributions of the offensive and non-offensive embedding groups are statistically distinguishable from each other. A high KS value confirms that the two classes produce clearly different score distributions when projected onto their respective cluster centers, which is a necessary condition for reliable intent-based classification. Each embedding was projected onto both cluster centers to produce a scalar score, and a two-sample KS test was applied to the resulting score distributions of the two classes:</w:t>
      </w:r>
    </w:p>
    <w:p w14:paraId="1DDE4D7B" w14:textId="717C8A24"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KS=</m:t>
          </m:r>
          <m:limLow>
            <m:limLowPr>
              <m:ctrlPr>
                <w:rPr>
                  <w:rFonts w:ascii="Cambria Math" w:hAnsi="Cambria Math" w:cs="Times New Roman"/>
                  <w:sz w:val="20"/>
                  <w:szCs w:val="20"/>
                </w:rPr>
              </m:ctrlPr>
            </m:limLowPr>
            <m:e>
              <m:r>
                <m:rPr>
                  <m:sty m:val="p"/>
                </m:rPr>
                <w:rPr>
                  <w:rFonts w:ascii="Cambria Math" w:hAnsi="Cambria Math" w:cs="Times New Roman"/>
                  <w:sz w:val="20"/>
                  <w:szCs w:val="20"/>
                </w:rPr>
                <m:t>sup</m:t>
              </m:r>
            </m:e>
            <m:lim>
              <m:r>
                <w:rPr>
                  <w:rFonts w:ascii="Cambria Math" w:hAnsi="Cambria Math" w:cs="Times New Roman"/>
                  <w:sz w:val="20"/>
                  <w:szCs w:val="20"/>
                </w:rPr>
                <m:t>x</m:t>
              </m:r>
            </m:lim>
          </m:limLow>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off</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non-off</m:t>
                  </m:r>
                </m:sub>
              </m:sSub>
              <m:d>
                <m:dPr>
                  <m:ctrlPr>
                    <w:rPr>
                      <w:rFonts w:ascii="Cambria Math" w:hAnsi="Cambria Math" w:cs="Times New Roman"/>
                      <w:sz w:val="20"/>
                      <w:szCs w:val="20"/>
                    </w:rPr>
                  </m:ctrlPr>
                </m:dPr>
                <m:e>
                  <m:r>
                    <w:rPr>
                      <w:rFonts w:ascii="Cambria Math" w:hAnsi="Cambria Math" w:cs="Times New Roman"/>
                      <w:sz w:val="20"/>
                      <w:szCs w:val="20"/>
                    </w:rPr>
                    <m:t>x</m:t>
                  </m:r>
                </m:e>
              </m:d>
            </m:e>
          </m:d>
        </m:oMath>
      </m:oMathPara>
    </w:p>
    <w:p w14:paraId="1DABB936" w14:textId="2DA84FE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off</m:t>
            </m:r>
          </m:sub>
        </m:sSub>
      </m:oMath>
      <w:r w:rsidRPr="00B166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F</m:t>
            </m:r>
          </m:e>
          <m:sub>
            <m:r>
              <m:rPr>
                <m:nor/>
              </m:rPr>
              <w:rPr>
                <w:rFonts w:ascii="Times New Roman" w:hAnsi="Times New Roman" w:cs="Times New Roman"/>
                <w:sz w:val="20"/>
                <w:szCs w:val="20"/>
              </w:rPr>
              <m:t>non-off</m:t>
            </m:r>
          </m:sub>
        </m:sSub>
      </m:oMath>
      <w:r w:rsidRPr="00B16664">
        <w:rPr>
          <w:rFonts w:ascii="Times New Roman" w:hAnsi="Times New Roman" w:cs="Times New Roman"/>
          <w:sz w:val="20"/>
          <w:szCs w:val="20"/>
        </w:rPr>
        <w:t xml:space="preserve">are the empirical cumulative distribution functions of the projection scores for the offensive and non-offensive groups respectively, and </w:t>
      </w:r>
      <m:oMath>
        <m:r>
          <m:rPr>
            <m:sty m:val="p"/>
          </m:rPr>
          <w:rPr>
            <w:rFonts w:ascii="Cambria Math" w:hAnsi="Cambria Math" w:cs="Times New Roman"/>
            <w:sz w:val="20"/>
            <w:szCs w:val="20"/>
          </w:rPr>
          <m:t>sup</m:t>
        </m:r>
      </m:oMath>
      <w:r w:rsidRPr="00B16664">
        <w:rPr>
          <w:rFonts w:ascii="Times New Roman" w:hAnsi="Times New Roman" w:cs="Times New Roman"/>
          <w:sz w:val="20"/>
          <w:szCs w:val="20"/>
        </w:rPr>
        <w:t>denotes the maximum absolute gap between the two curves across all score values. A higher KS value indicates more clearly separated distributions.</w:t>
      </w:r>
    </w:p>
    <w:p w14:paraId="5FED05A3"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Intra-Cluster Cosine Similarity (Intra-cos)</w:t>
      </w:r>
    </w:p>
    <w:p w14:paraId="22FE20D3" w14:textId="68D19BA1"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Intra-cos measures the internal cohesion of each intent cluster by computing the average cosine similarity between embedding pairs drawn from the same class. Since all embeddings are L2-normalized, cosine similarity is equivalent </w:t>
      </w:r>
      <w:r w:rsidRPr="00B16664">
        <w:rPr>
          <w:rFonts w:ascii="Times New Roman" w:hAnsi="Times New Roman" w:cs="Times New Roman"/>
          <w:sz w:val="20"/>
          <w:szCs w:val="20"/>
        </w:rPr>
        <w:lastRenderedPageBreak/>
        <w:t>to the dot product and directly measures the angular closeness between two embedding vectors. High Intra-cos indicates that same-intent embeddings are pointing in similar directions on the hypersphere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cluster is tight and well-defined:</w:t>
      </w:r>
    </w:p>
    <w:p w14:paraId="0A3DF3A1" w14:textId="2D0E21B1"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Intra-cos</m:t>
          </m:r>
          <m: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mean-cosine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offensive</m:t>
                      </m:r>
                    </m:sub>
                  </m:sSub>
                </m:e>
              </m:d>
              <m:r>
                <w:rPr>
                  <w:rFonts w:ascii="Cambria Math" w:hAnsi="Cambria Math" w:cs="Times New Roman"/>
                  <w:sz w:val="20"/>
                  <w:szCs w:val="20"/>
                </w:rPr>
                <m:t>+</m:t>
              </m:r>
              <m:r>
                <m:rPr>
                  <m:nor/>
                </m:rPr>
                <w:rPr>
                  <w:rFonts w:ascii="Times New Roman" w:hAnsi="Times New Roman" w:cs="Times New Roman"/>
                  <w:sz w:val="20"/>
                  <w:szCs w:val="20"/>
                </w:rPr>
                <m:t>mean-cosine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non-offensive</m:t>
                      </m:r>
                    </m:sub>
                  </m:sSub>
                </m:e>
              </m:d>
            </m:num>
            <m:den>
              <m:r>
                <w:rPr>
                  <w:rFonts w:ascii="Cambria Math" w:hAnsi="Cambria Math" w:cs="Times New Roman"/>
                  <w:sz w:val="20"/>
                  <w:szCs w:val="20"/>
                </w:rPr>
                <m:t>2</m:t>
              </m:r>
            </m:den>
          </m:f>
        </m:oMath>
      </m:oMathPara>
    </w:p>
    <w:p w14:paraId="05594B9A" w14:textId="3CFB4C6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where mean-cosine for a class is the average dot product over randomly sampled pairs within that class. Up to 200 pairs per class were sampled for computational efficiency. The within-offensive and within-non-offensive cosine similarities were averaged to produce the single reported Intra-cos value.</w:t>
      </w:r>
    </w:p>
    <w:p w14:paraId="4DB6024D"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Inter-Cluster Cosine Similarity (Inter-cos)</w:t>
      </w:r>
    </w:p>
    <w:p w14:paraId="5A831605" w14:textId="64C272D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While Intra-cos measures how tight each cluster is internally, Inter-cos measures how much the two intent clusters overlap with each other</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average cosine similarity between embedding pairs drawn from opposite classes. Low Inter-cos confirms that offensive and non-offensive embeddings occupy clearly distinct directional regions on the hypersphere, with minimal geometric overlap between the two classes:</w:t>
      </w:r>
    </w:p>
    <w:p w14:paraId="71F093AE" w14:textId="0FAFB8DC"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Inter-cos</m:t>
          </m:r>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E</m:t>
              </m:r>
            </m:e>
            <m:sub>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offensive</m:t>
                  </m:r>
                </m:sub>
              </m:sSub>
              <m:r>
                <w:rPr>
                  <w:rFonts w:ascii="Cambria Math" w:hAnsi="Cambria Math" w:cs="Times New Roman"/>
                  <w:sz w:val="20"/>
                  <w:szCs w:val="20"/>
                </w:rPr>
                <m:t>,</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m:rPr>
                      <m:nor/>
                    </m:rPr>
                    <w:rPr>
                      <w:rFonts w:ascii="Times New Roman" w:hAnsi="Times New Roman" w:cs="Times New Roman"/>
                      <w:sz w:val="20"/>
                      <w:szCs w:val="20"/>
                    </w:rPr>
                    <m:t>non-offensive</m:t>
                  </m:r>
                </m:sub>
              </m:sSub>
            </m:sub>
          </m:sSub>
          <m:r>
            <m:rPr>
              <m:nor/>
            </m:rPr>
            <w:rPr>
              <w:rFonts w:ascii="Times New Roman" w:hAnsi="Times New Roman" w:cs="Times New Roman"/>
              <w:sz w:val="20"/>
              <w:szCs w:val="20"/>
            </w:rPr>
            <m:t> </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oMath>
      </m:oMathPara>
    </w:p>
    <w:p w14:paraId="0576BBA7" w14:textId="14A9E7A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Two hundred cross-class pairs were randomly sampled</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one embedding from the offensive class and one from the non-offensive class</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and their average cosine similarity was computed. Lower Inter-cos alongside higher Intra-cos jointly </w:t>
      </w:r>
      <w:proofErr w:type="gramStart"/>
      <w:r w:rsidRPr="00B16664">
        <w:rPr>
          <w:rFonts w:ascii="Times New Roman" w:hAnsi="Times New Roman" w:cs="Times New Roman"/>
          <w:sz w:val="20"/>
          <w:szCs w:val="20"/>
        </w:rPr>
        <w:t>confirm</w:t>
      </w:r>
      <w:proofErr w:type="gramEnd"/>
      <w:r w:rsidRPr="00B16664">
        <w:rPr>
          <w:rFonts w:ascii="Times New Roman" w:hAnsi="Times New Roman" w:cs="Times New Roman"/>
          <w:sz w:val="20"/>
          <w:szCs w:val="20"/>
        </w:rPr>
        <w:t xml:space="preserve"> well-separated and internally coherent intent clusters.</w:t>
      </w:r>
    </w:p>
    <w:p w14:paraId="3709B702"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Cluster Separation Score (S-Score)</w:t>
      </w:r>
    </w:p>
    <w:p w14:paraId="0ABE8A31" w14:textId="1A018D3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S-Score distills the combined picture from Intra-cos and Inter-cos into a single interpretable value that captures both dimensions of cluster quality</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how tight each cluster is internally and how well separated the two clusters are from each other:</w:t>
      </w:r>
    </w:p>
    <w:p w14:paraId="4AC831B2" w14:textId="6FC18FC1"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S-Score</m:t>
          </m:r>
          <m:r>
            <w:rPr>
              <w:rFonts w:ascii="Cambria Math" w:hAnsi="Cambria Math" w:cs="Times New Roman"/>
              <w:sz w:val="20"/>
              <w:szCs w:val="20"/>
            </w:rPr>
            <m:t>=</m:t>
          </m:r>
          <m:r>
            <m:rPr>
              <m:nor/>
            </m:rPr>
            <w:rPr>
              <w:rFonts w:ascii="Times New Roman" w:hAnsi="Times New Roman" w:cs="Times New Roman"/>
              <w:sz w:val="20"/>
              <w:szCs w:val="20"/>
            </w:rPr>
            <m:t>Intra-cos</m:t>
          </m:r>
          <m:r>
            <w:rPr>
              <w:rFonts w:ascii="Cambria Math" w:hAnsi="Cambria Math" w:cs="Times New Roman"/>
              <w:sz w:val="20"/>
              <w:szCs w:val="20"/>
            </w:rPr>
            <m:t>-</m:t>
          </m:r>
          <m:r>
            <m:rPr>
              <m:nor/>
            </m:rPr>
            <w:rPr>
              <w:rFonts w:ascii="Times New Roman" w:hAnsi="Times New Roman" w:cs="Times New Roman"/>
              <w:sz w:val="20"/>
              <w:szCs w:val="20"/>
            </w:rPr>
            <m:t>Inter-cos</m:t>
          </m:r>
        </m:oMath>
      </m:oMathPara>
    </w:p>
    <w:p w14:paraId="6BA0EC2B" w14:textId="2B99368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 large positive S-Score confirms that same-intent embeddings are geometrically close while cross-intent embeddings are far apart</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precisely the structural configuration required for reliable intent-based offensive language detection.</w:t>
      </w:r>
    </w:p>
    <w:p w14:paraId="179111F4"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Angular Margin</w:t>
      </w:r>
    </w:p>
    <w:p w14:paraId="336A7982" w14:textId="6383B6A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Angular Margin provides a geometrically intuitive measure of class separation by computing the geodesic angle between the offensive cluster center and the non-offensive cluster center on the unit hypersphere. An angular margin approaching </w:t>
      </w:r>
      <m:oMath>
        <m:r>
          <w:rPr>
            <w:rFonts w:ascii="Cambria Math" w:hAnsi="Cambria Math" w:cs="Times New Roman"/>
            <w:sz w:val="20"/>
            <w:szCs w:val="20"/>
          </w:rPr>
          <m:t>90°</m:t>
        </m:r>
      </m:oMath>
      <w:r w:rsidRPr="00B16664">
        <w:rPr>
          <w:rFonts w:ascii="Times New Roman" w:hAnsi="Times New Roman" w:cs="Times New Roman"/>
          <w:sz w:val="20"/>
          <w:szCs w:val="20"/>
        </w:rPr>
        <w:t>indicates that the two cluster centers are nearly orthogonal</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they point in fundamentally different directions on the sphere, confirming strong and unambiguous geometric separation between the two intent classes:</w:t>
      </w:r>
    </w:p>
    <w:p w14:paraId="16C44F17" w14:textId="0F90BAE6" w:rsidR="00392FB9" w:rsidRPr="00B16664" w:rsidRDefault="00392FB9" w:rsidP="00392FB9">
      <w:pPr>
        <w:jc w:val="both"/>
        <w:rPr>
          <w:rFonts w:ascii="Times New Roman" w:hAnsi="Times New Roman" w:cs="Times New Roman"/>
          <w:sz w:val="20"/>
          <w:szCs w:val="20"/>
        </w:rPr>
      </w:pPr>
      <m:oMathPara>
        <m:oMath>
          <m:r>
            <m:rPr>
              <m:nor/>
            </m:rPr>
            <w:rPr>
              <w:rFonts w:ascii="Times New Roman" w:hAnsi="Times New Roman" w:cs="Times New Roman"/>
              <w:sz w:val="20"/>
              <w:szCs w:val="20"/>
            </w:rPr>
            <m:t>Ang. Margin</m:t>
          </m:r>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arccos</m:t>
              </m:r>
            </m:fName>
            <m:e>
              <m:r>
                <m:rPr>
                  <m:nor/>
                </m:rPr>
                <w:rPr>
                  <w:rFonts w:ascii="Times New Roman" w:hAnsi="Times New Roman" w:cs="Times New Roman"/>
                  <w:sz w:val="20"/>
                  <w:szCs w:val="20"/>
                </w:rPr>
                <m:t> </m:t>
              </m:r>
            </m:e>
          </m:func>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180</m:t>
              </m:r>
            </m:num>
            <m:den>
              <m:r>
                <w:rPr>
                  <w:rFonts w:ascii="Cambria Math" w:hAnsi="Cambria Math" w:cs="Times New Roman"/>
                  <w:sz w:val="20"/>
                  <w:szCs w:val="20"/>
                </w:rPr>
                <m:t>π</m:t>
              </m:r>
            </m:den>
          </m:f>
        </m:oMath>
      </m:oMathPara>
    </w:p>
    <w:p w14:paraId="14BDF7E6" w14:textId="53F3E8A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off</m:t>
            </m:r>
          </m:sub>
        </m:sSub>
      </m:oMath>
      <w:r w:rsidRPr="00B166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Times New Roman" w:hAnsi="Times New Roman" w:cs="Times New Roman"/>
                <w:sz w:val="20"/>
                <w:szCs w:val="20"/>
              </w:rPr>
              <m:t>non-off</m:t>
            </m:r>
          </m:sub>
        </m:sSub>
      </m:oMath>
      <w:r w:rsidRPr="00B16664">
        <w:rPr>
          <w:rFonts w:ascii="Times New Roman" w:hAnsi="Times New Roman" w:cs="Times New Roman"/>
          <w:sz w:val="20"/>
          <w:szCs w:val="20"/>
        </w:rPr>
        <w:t xml:space="preserve">are the L2-normalized mean vectors of the offensive and non-offensive embedding groups respectively. Their dot product was clipped to the range </w:t>
      </w:r>
      <m:oMath>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11</m:t>
            </m:r>
          </m:e>
        </m:d>
      </m:oMath>
      <w:r w:rsidRPr="00B16664">
        <w:rPr>
          <w:rFonts w:ascii="Times New Roman" w:hAnsi="Times New Roman" w:cs="Times New Roman"/>
          <w:sz w:val="20"/>
          <w:szCs w:val="20"/>
        </w:rPr>
        <w:t>before applying the inverse cosine to prevent numerical errors at boundary values, and the result was converted from radians to degrees for interpretability.</w:t>
      </w:r>
    </w:p>
    <w:p w14:paraId="56DBF384"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Node Role Accuracy (NRA)</w:t>
      </w:r>
    </w:p>
    <w:p w14:paraId="4F19FB4D" w14:textId="62C56925"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RASGC constructs a directed semantic graph for each sentence and assigns one of eight semantic roles to each node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AGGRESSOR, OFFENSIVE_PREDICATE, HUMAN_TARGET, NON_HUMAN_TARGET, NEGATION_MARKER, AUXILIARY, MODIFIER, or CONTEXT. The OFFENSIVE_PREDICATE node is the most critical structural component because it represents the action through which offensive intent is expressed. NRA </w:t>
      </w:r>
      <w:r w:rsidRPr="00B16664">
        <w:rPr>
          <w:rFonts w:ascii="Times New Roman" w:hAnsi="Times New Roman" w:cs="Times New Roman"/>
          <w:sz w:val="20"/>
          <w:szCs w:val="20"/>
        </w:rPr>
        <w:lastRenderedPageBreak/>
        <w:t>measures how reliably RASGC identifies this node in graphs constructed from offensive sentences</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specifically, the fraction of offensive sentences whose parsed graph contains at least one node assigned the OFFENSIVE_PREDICATE role:</w:t>
      </w:r>
    </w:p>
    <w:p w14:paraId="32CA857A" w14:textId="4F31980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NRA=</m:t>
          </m:r>
          <m:f>
            <m:fPr>
              <m:ctrlPr>
                <w:rPr>
                  <w:rFonts w:ascii="Cambria Math" w:hAnsi="Cambria Math" w:cs="Times New Roman"/>
                  <w:sz w:val="20"/>
                  <w:szCs w:val="20"/>
                </w:rPr>
              </m:ctrlPr>
            </m:fPr>
            <m:num>
              <m:r>
                <m:rPr>
                  <m:nor/>
                </m:rPr>
                <w:rPr>
                  <w:rFonts w:ascii="Times New Roman" w:hAnsi="Times New Roman" w:cs="Times New Roman"/>
                  <w:sz w:val="20"/>
                  <w:szCs w:val="20"/>
                </w:rPr>
                <m:t>Offensive sentences where 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 node was detected</m:t>
              </m:r>
            </m:num>
            <m:den>
              <m:r>
                <m:rPr>
                  <m:nor/>
                </m:rPr>
                <w:rPr>
                  <w:rFonts w:ascii="Times New Roman" w:hAnsi="Times New Roman" w:cs="Times New Roman"/>
                  <w:sz w:val="20"/>
                  <w:szCs w:val="20"/>
                </w:rPr>
                <m:t>Total offensive sentences</m:t>
              </m:r>
            </m:den>
          </m:f>
        </m:oMath>
      </m:oMathPara>
    </w:p>
    <w:p w14:paraId="317FC1A6" w14:textId="0A9AD241"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This serves as a proxy for role assignment reliability, reflecting the combined effectiveness of the dependency parser and offensive lexicon matching in consistently identifying the offensive verb as the graph's key action node.</w:t>
      </w:r>
    </w:p>
    <w:p w14:paraId="0D34D593"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Graph Completeness (GC)</w:t>
      </w:r>
    </w:p>
    <w:p w14:paraId="3EF21AD4" w14:textId="7914727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GC measures how reliably the dependency parsing step produces graphs with at least one directed edge per sentence. A sentence graph with no edges provides no structural information for the downstream ARGP attention module to operate on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without edges there are no relationships to propagate attention across, and the graph degenerates to a set of isolated nodes:</w:t>
      </w:r>
    </w:p>
    <w:p w14:paraId="68FC1A38" w14:textId="6FB4E13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GC=</m:t>
          </m:r>
          <m:f>
            <m:fPr>
              <m:ctrlPr>
                <w:rPr>
                  <w:rFonts w:ascii="Cambria Math" w:hAnsi="Cambria Math" w:cs="Times New Roman"/>
                  <w:sz w:val="20"/>
                  <w:szCs w:val="20"/>
                </w:rPr>
              </m:ctrlPr>
            </m:fPr>
            <m:num>
              <m:r>
                <m:rPr>
                  <m:nor/>
                </m:rPr>
                <w:rPr>
                  <w:rFonts w:ascii="Times New Roman" w:hAnsi="Times New Roman" w:cs="Times New Roman"/>
                  <w:sz w:val="20"/>
                  <w:szCs w:val="20"/>
                </w:rPr>
                <m:t>Sentences whose constructed graph contains at least one edge</m:t>
              </m:r>
            </m:num>
            <m:den>
              <m:r>
                <m:rPr>
                  <m:nor/>
                </m:rPr>
                <w:rPr>
                  <w:rFonts w:ascii="Times New Roman" w:hAnsi="Times New Roman" w:cs="Times New Roman"/>
                  <w:sz w:val="20"/>
                  <w:szCs w:val="20"/>
                </w:rPr>
                <m:t>Total sentences processed</m:t>
              </m:r>
            </m:den>
          </m:f>
        </m:oMath>
      </m:oMathPara>
    </w:p>
    <w:p w14:paraId="0EF62C29" w14:textId="16E683E6"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This metric reflects the coverage and reliability of the arc-eager </w:t>
      </w:r>
      <w:proofErr w:type="spellStart"/>
      <w:r w:rsidRPr="00B16664">
        <w:rPr>
          <w:rFonts w:ascii="Times New Roman" w:hAnsi="Times New Roman" w:cs="Times New Roman"/>
          <w:sz w:val="20"/>
          <w:szCs w:val="20"/>
        </w:rPr>
        <w:t>SpaCy</w:t>
      </w:r>
      <w:proofErr w:type="spellEnd"/>
      <w:r w:rsidRPr="00B16664">
        <w:rPr>
          <w:rFonts w:ascii="Times New Roman" w:hAnsi="Times New Roman" w:cs="Times New Roman"/>
          <w:sz w:val="20"/>
          <w:szCs w:val="20"/>
        </w:rPr>
        <w:t xml:space="preserve"> dependency parser in extracting syntactic relationships across the diverse sentence structures present in the combined offensive language corpus.</w:t>
      </w:r>
    </w:p>
    <w:p w14:paraId="1508D13A"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Negation Detection Rate (NDR)</w:t>
      </w:r>
    </w:p>
    <w:p w14:paraId="0E4F579E" w14:textId="4917C801"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Negation fundamentally inverts the offensive meaning of a sentence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difference between </w:t>
      </w:r>
      <w:r w:rsidRPr="00B16664">
        <w:rPr>
          <w:rFonts w:ascii="Times New Roman" w:hAnsi="Times New Roman" w:cs="Times New Roman"/>
          <w:i/>
          <w:iCs/>
          <w:sz w:val="20"/>
          <w:szCs w:val="20"/>
        </w:rPr>
        <w:t>"I will kill you"</w:t>
      </w:r>
      <w:r w:rsidRPr="00B16664">
        <w:rPr>
          <w:rFonts w:ascii="Times New Roman" w:hAnsi="Times New Roman" w:cs="Times New Roman"/>
          <w:sz w:val="20"/>
          <w:szCs w:val="20"/>
        </w:rPr>
        <w:t xml:space="preserve"> and </w:t>
      </w:r>
      <w:r w:rsidRPr="00B16664">
        <w:rPr>
          <w:rFonts w:ascii="Times New Roman" w:hAnsi="Times New Roman" w:cs="Times New Roman"/>
          <w:i/>
          <w:iCs/>
          <w:sz w:val="20"/>
          <w:szCs w:val="20"/>
        </w:rPr>
        <w:t>"I will not kill you"</w:t>
      </w:r>
      <w:r w:rsidRPr="00B16664">
        <w:rPr>
          <w:rFonts w:ascii="Times New Roman" w:hAnsi="Times New Roman" w:cs="Times New Roman"/>
          <w:sz w:val="20"/>
          <w:szCs w:val="20"/>
        </w:rPr>
        <w:t xml:space="preserve"> is entirely determined by the presence of a single negation marker. NDR measures how reliably RASGC identifies and correctly assigns the NEGATION_MARKER role to negation tokens in sentences where negation is present. Among all sentences whose constructed graph contains a negation marker, NDR counts the fraction where at least one node was correctly assigned the NEGATION_MARKER role label:</w:t>
      </w:r>
    </w:p>
    <w:p w14:paraId="14E10F0F" w14:textId="245ED23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NDR=</m:t>
          </m:r>
          <m:f>
            <m:fPr>
              <m:ctrlPr>
                <w:rPr>
                  <w:rFonts w:ascii="Cambria Math" w:hAnsi="Cambria Math" w:cs="Times New Roman"/>
                  <w:sz w:val="20"/>
                  <w:szCs w:val="20"/>
                </w:rPr>
              </m:ctrlPr>
            </m:fPr>
            <m:num>
              <m:r>
                <m:rPr>
                  <m:nor/>
                </m:rPr>
                <w:rPr>
                  <w:rFonts w:ascii="Times New Roman" w:hAnsi="Times New Roman" w:cs="Times New Roman"/>
                  <w:sz w:val="20"/>
                  <w:szCs w:val="20"/>
                </w:rPr>
                <m:t>Negation-containing graphs where NEGATION</m:t>
              </m:r>
              <m:r>
                <m:rPr>
                  <m:lit/>
                  <m:nor/>
                </m:rPr>
                <w:rPr>
                  <w:rFonts w:ascii="Times New Roman" w:hAnsi="Times New Roman" w:cs="Times New Roman"/>
                  <w:sz w:val="20"/>
                  <w:szCs w:val="20"/>
                </w:rPr>
                <m:t>_</m:t>
              </m:r>
              <m:r>
                <m:rPr>
                  <m:nor/>
                </m:rPr>
                <w:rPr>
                  <w:rFonts w:ascii="Times New Roman" w:hAnsi="Times New Roman" w:cs="Times New Roman"/>
                  <w:sz w:val="20"/>
                  <w:szCs w:val="20"/>
                </w:rPr>
                <m:t>MARKER node was correctly assigned</m:t>
              </m:r>
            </m:num>
            <m:den>
              <m:r>
                <m:rPr>
                  <m:nor/>
                </m:rPr>
                <w:rPr>
                  <w:rFonts w:ascii="Times New Roman" w:hAnsi="Times New Roman" w:cs="Times New Roman"/>
                  <w:sz w:val="20"/>
                  <w:szCs w:val="20"/>
                </w:rPr>
                <m:t>Total graphs containing a negation marker</m:t>
              </m:r>
            </m:den>
          </m:f>
        </m:oMath>
      </m:oMathPara>
    </w:p>
    <w:p w14:paraId="66F893C2" w14:textId="50DC258A"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This confirms that negation is being correctly positioned within the semantic graph structure, which is a prerequisite for the downstream DGT module to apply the NEGATES edge logic and correctly route negated sentences.</w:t>
      </w:r>
    </w:p>
    <w:p w14:paraId="69495AE2"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Human/Non-Human Target Accuracy (HNTA)</w:t>
      </w:r>
    </w:p>
    <w:p w14:paraId="3E306F09"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 central distinction in offensive language detection is whether the target of an aggressive predicate is a human or a non-human entity. </w:t>
      </w:r>
      <w:r w:rsidRPr="00B16664">
        <w:rPr>
          <w:rFonts w:ascii="Times New Roman" w:hAnsi="Times New Roman" w:cs="Times New Roman"/>
          <w:i/>
          <w:iCs/>
          <w:sz w:val="20"/>
          <w:szCs w:val="20"/>
        </w:rPr>
        <w:t>"I will destroy you"</w:t>
      </w:r>
      <w:r w:rsidRPr="00B16664">
        <w:rPr>
          <w:rFonts w:ascii="Times New Roman" w:hAnsi="Times New Roman" w:cs="Times New Roman"/>
          <w:sz w:val="20"/>
          <w:szCs w:val="20"/>
        </w:rPr>
        <w:t xml:space="preserve"> is offensive because the target is human; </w:t>
      </w:r>
      <w:r w:rsidRPr="00B16664">
        <w:rPr>
          <w:rFonts w:ascii="Times New Roman" w:hAnsi="Times New Roman" w:cs="Times New Roman"/>
          <w:i/>
          <w:iCs/>
          <w:sz w:val="20"/>
          <w:szCs w:val="20"/>
        </w:rPr>
        <w:t>"I will destroy this exam"</w:t>
      </w:r>
      <w:r w:rsidRPr="00B16664">
        <w:rPr>
          <w:rFonts w:ascii="Times New Roman" w:hAnsi="Times New Roman" w:cs="Times New Roman"/>
          <w:sz w:val="20"/>
          <w:szCs w:val="20"/>
        </w:rPr>
        <w:t xml:space="preserve"> is not offensive despite containing the same predicate, because the target is non-human. HNTA measures how accurately RASGC makes this distinction by assigning HUMAN_TARGET or NON_HUMAN_TARGET to the object nodes in each graph. A correct classification for an offensive sentence means HUMAN_TARGET was assigned; a correct classification for a non-offensive sentence means NON_HUMAN_TARGET was assigned:</w:t>
      </w:r>
    </w:p>
    <w:p w14:paraId="63208B6D" w14:textId="2898F18E"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HNTA=</m:t>
          </m:r>
          <m:f>
            <m:fPr>
              <m:ctrlPr>
                <w:rPr>
                  <w:rFonts w:ascii="Cambria Math" w:hAnsi="Cambria Math" w:cs="Times New Roman"/>
                  <w:sz w:val="20"/>
                  <w:szCs w:val="20"/>
                </w:rPr>
              </m:ctrlPr>
            </m:fPr>
            <m:num>
              <m:r>
                <m:rPr>
                  <m:nor/>
                </m:rPr>
                <w:rPr>
                  <w:rFonts w:ascii="Times New Roman" w:hAnsi="Times New Roman" w:cs="Times New Roman"/>
                  <w:sz w:val="20"/>
                  <w:szCs w:val="20"/>
                </w:rPr>
                <m:t>Offensive sentences with HUMAN</m:t>
              </m:r>
              <m:r>
                <m:rPr>
                  <m:lit/>
                  <m:nor/>
                </m:rPr>
                <w:rPr>
                  <w:rFonts w:ascii="Times New Roman" w:hAnsi="Times New Roman" w:cs="Times New Roman"/>
                  <w:sz w:val="20"/>
                  <w:szCs w:val="20"/>
                </w:rPr>
                <m:t>_</m:t>
              </m:r>
              <m:r>
                <m:rPr>
                  <m:nor/>
                </m:rPr>
                <w:rPr>
                  <w:rFonts w:ascii="Times New Roman" w:hAnsi="Times New Roman" w:cs="Times New Roman"/>
                  <w:sz w:val="20"/>
                  <w:szCs w:val="20"/>
                </w:rPr>
                <m:t>TARGET + Non-offensive sentences with NON</m:t>
              </m:r>
              <m:r>
                <m:rPr>
                  <m:lit/>
                  <m:nor/>
                </m:rPr>
                <w:rPr>
                  <w:rFonts w:ascii="Times New Roman" w:hAnsi="Times New Roman" w:cs="Times New Roman"/>
                  <w:sz w:val="20"/>
                  <w:szCs w:val="20"/>
                </w:rPr>
                <m:t>_</m:t>
              </m:r>
              <m:r>
                <m:rPr>
                  <m:nor/>
                </m:rPr>
                <w:rPr>
                  <w:rFonts w:ascii="Times New Roman" w:hAnsi="Times New Roman" w:cs="Times New Roman"/>
                  <w:sz w:val="20"/>
                  <w:szCs w:val="20"/>
                </w:rPr>
                <m:t>HUMAN</m:t>
              </m:r>
              <m:r>
                <m:rPr>
                  <m:lit/>
                  <m:nor/>
                </m:rPr>
                <w:rPr>
                  <w:rFonts w:ascii="Times New Roman" w:hAnsi="Times New Roman" w:cs="Times New Roman"/>
                  <w:sz w:val="20"/>
                  <w:szCs w:val="20"/>
                </w:rPr>
                <m:t>_</m:t>
              </m:r>
              <m:r>
                <m:rPr>
                  <m:nor/>
                </m:rPr>
                <w:rPr>
                  <w:rFonts w:ascii="Times New Roman" w:hAnsi="Times New Roman" w:cs="Times New Roman"/>
                  <w:sz w:val="20"/>
                  <w:szCs w:val="20"/>
                </w:rPr>
                <m:t>TARGET</m:t>
              </m:r>
            </m:num>
            <m:den>
              <m:r>
                <m:rPr>
                  <m:nor/>
                </m:rPr>
                <w:rPr>
                  <w:rFonts w:ascii="Times New Roman" w:hAnsi="Times New Roman" w:cs="Times New Roman"/>
                  <w:sz w:val="20"/>
                  <w:szCs w:val="20"/>
                </w:rPr>
                <m:t>Total sentences containing an offensive predicate node</m:t>
              </m:r>
            </m:den>
          </m:f>
        </m:oMath>
      </m:oMathPara>
    </w:p>
    <w:p w14:paraId="5DCBE318" w14:textId="1F4BEA34"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Target classification was performed using two complementary sources: a curated lexicon of human pronouns and nouns for direct lexical matching, and </w:t>
      </w:r>
      <w:proofErr w:type="spellStart"/>
      <w:r w:rsidRPr="00B16664">
        <w:rPr>
          <w:rFonts w:ascii="Times New Roman" w:hAnsi="Times New Roman" w:cs="Times New Roman"/>
          <w:sz w:val="20"/>
          <w:szCs w:val="20"/>
        </w:rPr>
        <w:t>SpaCy</w:t>
      </w:r>
      <w:proofErr w:type="spellEnd"/>
      <w:r w:rsidRPr="00B16664">
        <w:rPr>
          <w:rFonts w:ascii="Times New Roman" w:hAnsi="Times New Roman" w:cs="Times New Roman"/>
          <w:sz w:val="20"/>
          <w:szCs w:val="20"/>
        </w:rPr>
        <w:t xml:space="preserve"> Named Entity Recognition using PERSON and NORP entity tags for named human entities. HNTA was computed only over sentences that contained an OFFENSIVE_PREDICATE node in their constructed graph, as the human/non-human distinction is meaningful only when an offensive action is present.</w:t>
      </w:r>
    </w:p>
    <w:p w14:paraId="71D3F88A"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lastRenderedPageBreak/>
        <w:t>Attention Weight Consistency (AWC)</w:t>
      </w:r>
    </w:p>
    <w:p w14:paraId="6BF2CAC1" w14:textId="4A66A85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ARGP assigns a learned attention weight to each edge in the graph during propagation. AWC evaluates whether these attention weights consistently concentrate on the three structurally critical node roles</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AGGRESSOR, OFFENSIVE_PREDICATE, and HUMAN_TARGET</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rather than distributing uniformly across all nodes regardless of their semantic importance. For each evaluated sentence, the fraction of total attention weight attributable to edges originating from these three key node roles was computed, and AWC is the average of this fraction across all sentences where attention weights were available:</w:t>
      </w:r>
    </w:p>
    <w:p w14:paraId="5C593B6F" w14:textId="3E649C64"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AWC=</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∣S∣</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s∈S</m:t>
              </m:r>
            </m:sub>
            <m:sup/>
            <m:e>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v∈</m:t>
                      </m:r>
                      <m:d>
                        <m:dPr>
                          <m:begChr m:val="{"/>
                          <m:sep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m:rPr>
                                  <m:nor/>
                                </m:rPr>
                                <w:rPr>
                                  <w:rFonts w:ascii="Times New Roman" w:hAnsi="Times New Roman" w:cs="Times New Roman"/>
                                  <w:sz w:val="20"/>
                                  <w:szCs w:val="20"/>
                                </w:rPr>
                                <m:t>agg</m:t>
                              </m:r>
                            </m:sub>
                          </m:sSub>
                        </m:e>
                        <m:e>
                          <m:sSub>
                            <m:sSubPr>
                              <m:ctrlPr>
                                <w:rPr>
                                  <w:rFonts w:ascii="Cambria Math" w:hAnsi="Cambria Math" w:cs="Times New Roman"/>
                                  <w:sz w:val="20"/>
                                  <w:szCs w:val="20"/>
                                </w:rPr>
                              </m:ctrlPr>
                            </m:sSubPr>
                            <m:e>
                              <m:r>
                                <w:rPr>
                                  <w:rFonts w:ascii="Cambria Math" w:hAnsi="Cambria Math" w:cs="Times New Roman"/>
                                  <w:sz w:val="20"/>
                                  <w:szCs w:val="20"/>
                                </w:rPr>
                                <m:t>v</m:t>
                              </m:r>
                            </m:e>
                            <m:sub>
                              <m:r>
                                <m:rPr>
                                  <m:nor/>
                                </m:rPr>
                                <w:rPr>
                                  <w:rFonts w:ascii="Times New Roman" w:hAnsi="Times New Roman" w:cs="Times New Roman"/>
                                  <w:sz w:val="20"/>
                                  <w:szCs w:val="20"/>
                                </w:rPr>
                                <m:t>pred</m:t>
                              </m:r>
                            </m:sub>
                          </m:sSub>
                        </m:e>
                        <m:e>
                          <m:sSub>
                            <m:sSubPr>
                              <m:ctrlPr>
                                <w:rPr>
                                  <w:rFonts w:ascii="Cambria Math" w:hAnsi="Cambria Math" w:cs="Times New Roman"/>
                                  <w:sz w:val="20"/>
                                  <w:szCs w:val="20"/>
                                </w:rPr>
                              </m:ctrlPr>
                            </m:sSubPr>
                            <m:e>
                              <m:r>
                                <w:rPr>
                                  <w:rFonts w:ascii="Cambria Math" w:hAnsi="Cambria Math" w:cs="Times New Roman"/>
                                  <w:sz w:val="20"/>
                                  <w:szCs w:val="20"/>
                                </w:rPr>
                                <m:t>v</m:t>
                              </m:r>
                            </m:e>
                            <m:sub>
                              <m:r>
                                <m:rPr>
                                  <m:nor/>
                                </m:rPr>
                                <w:rPr>
                                  <w:rFonts w:ascii="Times New Roman" w:hAnsi="Times New Roman" w:cs="Times New Roman"/>
                                  <w:sz w:val="20"/>
                                  <w:szCs w:val="20"/>
                                </w:rPr>
                                <m:t>tgt</m:t>
                              </m:r>
                            </m:sub>
                          </m:sSub>
                        </m:e>
                      </m:d>
                    </m:sub>
                    <m:sup/>
                    <m:e>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v</m:t>
                          </m:r>
                        </m:sub>
                        <m:sup>
                          <m:r>
                            <w:rPr>
                              <w:rFonts w:ascii="Cambria Math" w:hAnsi="Cambria Math" w:cs="Times New Roman"/>
                              <w:sz w:val="20"/>
                              <w:szCs w:val="20"/>
                            </w:rPr>
                            <m:t>s</m:t>
                          </m:r>
                        </m:sup>
                      </m:sSubSup>
                    </m:e>
                  </m:nary>
                </m:num>
                <m:den>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v∈</m:t>
                      </m:r>
                      <m:sSup>
                        <m:sSupPr>
                          <m:ctrlPr>
                            <w:rPr>
                              <w:rFonts w:ascii="Cambria Math" w:hAnsi="Cambria Math" w:cs="Times New Roman"/>
                              <w:sz w:val="20"/>
                              <w:szCs w:val="20"/>
                            </w:rPr>
                          </m:ctrlPr>
                        </m:sSupPr>
                        <m:e>
                          <m:r>
                            <w:rPr>
                              <w:rFonts w:ascii="Cambria Math" w:hAnsi="Cambria Math" w:cs="Times New Roman"/>
                              <w:sz w:val="20"/>
                              <w:szCs w:val="20"/>
                            </w:rPr>
                            <m:t>V</m:t>
                          </m:r>
                        </m:e>
                        <m:sup>
                          <m:r>
                            <w:rPr>
                              <w:rFonts w:ascii="Cambria Math" w:hAnsi="Cambria Math" w:cs="Times New Roman"/>
                              <w:sz w:val="20"/>
                              <w:szCs w:val="20"/>
                            </w:rPr>
                            <m:t>s</m:t>
                          </m:r>
                        </m:sup>
                      </m:sSup>
                    </m:sub>
                    <m:sup/>
                    <m:e>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v</m:t>
                          </m:r>
                        </m:sub>
                        <m:sup>
                          <m:r>
                            <w:rPr>
                              <w:rFonts w:ascii="Cambria Math" w:hAnsi="Cambria Math" w:cs="Times New Roman"/>
                              <w:sz w:val="20"/>
                              <w:szCs w:val="20"/>
                            </w:rPr>
                            <m:t>s</m:t>
                          </m:r>
                        </m:sup>
                      </m:sSubSup>
                    </m:e>
                  </m:nary>
                </m:den>
              </m:f>
            </m:e>
          </m:nary>
        </m:oMath>
      </m:oMathPara>
    </w:p>
    <w:p w14:paraId="3CE67AE5" w14:textId="3C836FC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v</m:t>
            </m:r>
          </m:sub>
          <m:sup>
            <m:r>
              <w:rPr>
                <w:rFonts w:ascii="Cambria Math" w:hAnsi="Cambria Math" w:cs="Times New Roman"/>
                <w:sz w:val="20"/>
                <w:szCs w:val="20"/>
              </w:rPr>
              <m:t>s</m:t>
            </m:r>
          </m:sup>
        </m:sSubSup>
      </m:oMath>
      <w:r w:rsidRPr="00B16664">
        <w:rPr>
          <w:rFonts w:ascii="Times New Roman" w:hAnsi="Times New Roman" w:cs="Times New Roman"/>
          <w:sz w:val="20"/>
          <w:szCs w:val="20"/>
        </w:rPr>
        <w:t xml:space="preserve">is the attention weight associated with node </w:t>
      </w:r>
      <m:oMath>
        <m:r>
          <w:rPr>
            <w:rFonts w:ascii="Cambria Math" w:hAnsi="Cambria Math" w:cs="Times New Roman"/>
            <w:sz w:val="20"/>
            <w:szCs w:val="20"/>
          </w:rPr>
          <m:t>v</m:t>
        </m:r>
      </m:oMath>
      <w:r w:rsidRPr="00B16664">
        <w:rPr>
          <w:rFonts w:ascii="Times New Roman" w:hAnsi="Times New Roman" w:cs="Times New Roman"/>
          <w:sz w:val="20"/>
          <w:szCs w:val="20"/>
        </w:rPr>
        <w:t xml:space="preserve">in sentence </w:t>
      </w:r>
      <m:oMath>
        <m:r>
          <w:rPr>
            <w:rFonts w:ascii="Cambria Math" w:hAnsi="Cambria Math" w:cs="Times New Roman"/>
            <w:sz w:val="20"/>
            <w:szCs w:val="20"/>
          </w:rPr>
          <m:t>s</m:t>
        </m:r>
      </m:oMath>
      <w:r w:rsidRPr="00B16664">
        <w:rPr>
          <w:rFonts w:ascii="Times New Roman" w:hAnsi="Times New Roman" w:cs="Times New Roman"/>
          <w:sz w:val="20"/>
          <w:szCs w:val="20"/>
        </w:rPr>
        <w:t>, collected from the final ARGP layer during evaluation. The key-node attention was identified by checking which graph edges had source nodes carrying one of the three important roles, summing those attention values, and dividing by the total attention across all edges in the graph.</w:t>
      </w:r>
    </w:p>
    <w:p w14:paraId="710581F9"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Offensive Risk Score Accuracy (ORSA)</w:t>
      </w:r>
    </w:p>
    <w:p w14:paraId="7B58250A" w14:textId="6B6E107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After ARGP propagates information through the graph and applies the negation attenuation mechanism, the updated node embeddings are aggregated via global mean pooling and passed through a classification head to produce an offensive risk score for each sentence. ORSA measures the end-to-end classification accuracy of this entire graph-based module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whether the final risk score, </w:t>
      </w:r>
      <w:proofErr w:type="spellStart"/>
      <w:r w:rsidRPr="00B16664">
        <w:rPr>
          <w:rFonts w:ascii="Times New Roman" w:hAnsi="Times New Roman" w:cs="Times New Roman"/>
          <w:sz w:val="20"/>
          <w:szCs w:val="20"/>
        </w:rPr>
        <w:t>thresholded</w:t>
      </w:r>
      <w:proofErr w:type="spellEnd"/>
      <w:r w:rsidRPr="00B16664">
        <w:rPr>
          <w:rFonts w:ascii="Times New Roman" w:hAnsi="Times New Roman" w:cs="Times New Roman"/>
          <w:sz w:val="20"/>
          <w:szCs w:val="20"/>
        </w:rPr>
        <w:t xml:space="preserve"> at </w:t>
      </w:r>
      <m:oMath>
        <m:r>
          <w:rPr>
            <w:rFonts w:ascii="Cambria Math" w:hAnsi="Cambria Math" w:cs="Times New Roman"/>
            <w:sz w:val="20"/>
            <w:szCs w:val="20"/>
          </w:rPr>
          <m:t>0.5</m:t>
        </m:r>
      </m:oMath>
      <w:r w:rsidRPr="00B16664">
        <w:rPr>
          <w:rFonts w:ascii="Times New Roman" w:hAnsi="Times New Roman" w:cs="Times New Roman"/>
          <w:sz w:val="20"/>
          <w:szCs w:val="20"/>
        </w:rPr>
        <w:t>, correctly predicts the true sentence label:</w:t>
      </w:r>
    </w:p>
    <w:p w14:paraId="7F91ECEF" w14:textId="19645946"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ORSA=</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num>
            <m:den>
              <m:r>
                <w:rPr>
                  <w:rFonts w:ascii="Cambria Math" w:hAnsi="Cambria Math" w:cs="Times New Roman"/>
                  <w:sz w:val="20"/>
                  <w:szCs w:val="20"/>
                </w:rPr>
                <m:t>N</m:t>
              </m:r>
            </m:den>
          </m:f>
        </m:oMath>
      </m:oMathPara>
    </w:p>
    <w:p w14:paraId="35980088" w14:textId="51F5930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is the binary prediction derived from the offensive class softmax probability and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oMath>
      <w:r w:rsidRPr="00B16664">
        <w:rPr>
          <w:rFonts w:ascii="Times New Roman" w:hAnsi="Times New Roman" w:cs="Times New Roman"/>
          <w:sz w:val="20"/>
          <w:szCs w:val="20"/>
        </w:rPr>
        <w:t>is the true label. ORSA was computed as the overall classification accuracy of the trained ARGP model on the held-out test portion of each dataset.</w:t>
      </w:r>
    </w:p>
    <w:p w14:paraId="23591F00"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Negation Attenuation Score (NAS)</w:t>
      </w:r>
    </w:p>
    <w:p w14:paraId="2D070251" w14:textId="0D80090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ARGP incorporates a learnable negation attenuation parameter </w:t>
      </w:r>
      <m:oMath>
        <m:r>
          <w:rPr>
            <w:rFonts w:ascii="Cambria Math" w:hAnsi="Cambria Math" w:cs="Times New Roman"/>
            <w:sz w:val="20"/>
            <w:szCs w:val="20"/>
          </w:rPr>
          <m:t>β</m:t>
        </m:r>
      </m:oMath>
      <w:r w:rsidRPr="00B16664">
        <w:rPr>
          <w:rFonts w:ascii="Times New Roman" w:hAnsi="Times New Roman" w:cs="Times New Roman"/>
          <w:sz w:val="20"/>
          <w:szCs w:val="20"/>
        </w:rPr>
        <w:t>that reduces the offensive predicate node embedding whenever a NEGATES edge is detected in the graph</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directly encoding the semantic effect of negation into the graph propagation process. NAS measures whether this mechanism is functioning correctly by comparing the average offensive risk scores assigned to negation-containing sentences against those assigned to sentences without negation. A positive NAS confirms that sentences containing negation systematically receive lower offensive risk scores:</w:t>
      </w:r>
    </w:p>
    <w:p w14:paraId="00F0A390" w14:textId="5516AB31"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NAS=</m:t>
          </m:r>
          <m:r>
            <m:rPr>
              <m:nor/>
            </m:rPr>
            <w:rPr>
              <w:rFonts w:ascii="Times New Roman" w:hAnsi="Times New Roman" w:cs="Times New Roman"/>
              <w:sz w:val="20"/>
              <w:szCs w:val="20"/>
            </w:rPr>
            <m:t>mean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nor/>
                    </m:rPr>
                    <w:rPr>
                      <w:rFonts w:ascii="Times New Roman" w:hAnsi="Times New Roman" w:cs="Times New Roman"/>
                      <w:sz w:val="20"/>
                      <w:szCs w:val="20"/>
                    </w:rPr>
                    <m:t>risk</m:t>
                  </m:r>
                </m:e>
                <m:sub>
                  <m:r>
                    <m:rPr>
                      <m:nor/>
                    </m:rPr>
                    <w:rPr>
                      <w:rFonts w:ascii="Times New Roman" w:hAnsi="Times New Roman" w:cs="Times New Roman"/>
                      <w:sz w:val="20"/>
                      <w:szCs w:val="20"/>
                    </w:rPr>
                    <m:t>non-negated</m:t>
                  </m:r>
                </m:sub>
              </m:sSub>
            </m:e>
          </m:d>
          <m:r>
            <w:rPr>
              <w:rFonts w:ascii="Cambria Math" w:hAnsi="Cambria Math" w:cs="Times New Roman"/>
              <w:sz w:val="20"/>
              <w:szCs w:val="20"/>
            </w:rPr>
            <m:t>-</m:t>
          </m:r>
          <m:r>
            <m:rPr>
              <m:nor/>
            </m:rPr>
            <w:rPr>
              <w:rFonts w:ascii="Times New Roman" w:hAnsi="Times New Roman" w:cs="Times New Roman"/>
              <w:sz w:val="20"/>
              <w:szCs w:val="20"/>
            </w:rPr>
            <m:t>mean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nor/>
                    </m:rPr>
                    <w:rPr>
                      <w:rFonts w:ascii="Times New Roman" w:hAnsi="Times New Roman" w:cs="Times New Roman"/>
                      <w:sz w:val="20"/>
                      <w:szCs w:val="20"/>
                    </w:rPr>
                    <m:t>risk</m:t>
                  </m:r>
                </m:e>
                <m:sub>
                  <m:r>
                    <m:rPr>
                      <m:nor/>
                    </m:rPr>
                    <w:rPr>
                      <w:rFonts w:ascii="Times New Roman" w:hAnsi="Times New Roman" w:cs="Times New Roman"/>
                      <w:sz w:val="20"/>
                      <w:szCs w:val="20"/>
                    </w:rPr>
                    <m:t>negated</m:t>
                  </m:r>
                </m:sub>
              </m:sSub>
            </m:e>
          </m:d>
        </m:oMath>
      </m:oMathPara>
    </w:p>
    <w:p w14:paraId="0F86DC06" w14:textId="11F487E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risk scores are the </w:t>
      </w:r>
      <w:proofErr w:type="spellStart"/>
      <w:r w:rsidRPr="00B16664">
        <w:rPr>
          <w:rFonts w:ascii="Times New Roman" w:hAnsi="Times New Roman" w:cs="Times New Roman"/>
          <w:sz w:val="20"/>
          <w:szCs w:val="20"/>
        </w:rPr>
        <w:t>softmax</w:t>
      </w:r>
      <w:proofErr w:type="spellEnd"/>
      <w:r w:rsidRPr="00B16664">
        <w:rPr>
          <w:rFonts w:ascii="Times New Roman" w:hAnsi="Times New Roman" w:cs="Times New Roman"/>
          <w:sz w:val="20"/>
          <w:szCs w:val="20"/>
        </w:rPr>
        <w:t xml:space="preserve"> probabilities for the offensive class collected during evaluation on the test set. Negated sentences were identified as those whose parsed graph contained at least one NEGATION\_MARKER node. A large positive NAS validates that the attenuation parameter </w:t>
      </w:r>
      <m:oMath>
        <m:r>
          <w:rPr>
            <w:rFonts w:ascii="Cambria Math" w:hAnsi="Cambria Math" w:cs="Times New Roman"/>
            <w:sz w:val="20"/>
            <w:szCs w:val="20"/>
          </w:rPr>
          <m:t>β</m:t>
        </m:r>
      </m:oMath>
      <w:r w:rsidRPr="00B16664">
        <w:rPr>
          <w:rFonts w:ascii="Times New Roman" w:hAnsi="Times New Roman" w:cs="Times New Roman"/>
          <w:sz w:val="20"/>
          <w:szCs w:val="20"/>
        </w:rPr>
        <w:t>is successfully encoding the meaning-inverting effect of negation.</w:t>
      </w:r>
    </w:p>
    <w:p w14:paraId="43B3961A" w14:textId="77777777" w:rsidR="00392FB9" w:rsidRPr="00B16664" w:rsidRDefault="00392FB9" w:rsidP="0072643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Offensive Node Attention Share (ONAS)</w:t>
      </w:r>
    </w:p>
    <w:p w14:paraId="5B924351" w14:textId="3D253A9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While AWC measures the combined attention concentration on all three key node types, ONAS isolates the attention directed specifically at the OFFENSIVE_PREDICATE node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single most semantically important node for </w:t>
      </w:r>
      <w:r w:rsidRPr="00B16664">
        <w:rPr>
          <w:rFonts w:ascii="Times New Roman" w:hAnsi="Times New Roman" w:cs="Times New Roman"/>
          <w:sz w:val="20"/>
          <w:szCs w:val="20"/>
        </w:rPr>
        <w:lastRenderedPageBreak/>
        <w:t>offensive language detection. ONAS quantifies whether the attention mechanism has learned to prioritize this specific node above the average attention level in the graph:</w:t>
      </w:r>
    </w:p>
    <w:p w14:paraId="152D50BF" w14:textId="3F50A51D"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ONAS=</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∣S∣</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s∈S</m:t>
              </m:r>
            </m:sub>
            <m:sup/>
            <m:e>
              <m:f>
                <m:fPr>
                  <m:ctrlPr>
                    <w:rPr>
                      <w:rFonts w:ascii="Cambria Math" w:hAnsi="Cambria Math" w:cs="Times New Roman"/>
                      <w:sz w:val="20"/>
                      <w:szCs w:val="20"/>
                    </w:rPr>
                  </m:ctrlPr>
                </m:fPr>
                <m:num>
                  <m:r>
                    <m:rPr>
                      <m:nor/>
                    </m:rPr>
                    <w:rPr>
                      <w:rFonts w:ascii="Times New Roman" w:hAnsi="Times New Roman" w:cs="Times New Roman"/>
                      <w:sz w:val="20"/>
                      <w:szCs w:val="20"/>
                    </w:rPr>
                    <m:t>Mean attention weight on OFFENSIVE</m:t>
                  </m:r>
                  <m:r>
                    <m:rPr>
                      <m:lit/>
                      <m:nor/>
                    </m:rPr>
                    <w:rPr>
                      <w:rFonts w:ascii="Times New Roman" w:hAnsi="Times New Roman" w:cs="Times New Roman"/>
                      <w:sz w:val="20"/>
                      <w:szCs w:val="20"/>
                    </w:rPr>
                    <m:t>_</m:t>
                  </m:r>
                  <m:r>
                    <m:rPr>
                      <m:nor/>
                    </m:rPr>
                    <w:rPr>
                      <w:rFonts w:ascii="Times New Roman" w:hAnsi="Times New Roman" w:cs="Times New Roman"/>
                      <w:sz w:val="20"/>
                      <w:szCs w:val="20"/>
                    </w:rPr>
                    <m:t>PREDICATE source edges</m:t>
                  </m:r>
                </m:num>
                <m:den>
                  <m:r>
                    <m:rPr>
                      <m:nor/>
                    </m:rPr>
                    <w:rPr>
                      <w:rFonts w:ascii="Times New Roman" w:hAnsi="Times New Roman" w:cs="Times New Roman"/>
                      <w:sz w:val="20"/>
                      <w:szCs w:val="20"/>
                    </w:rPr>
                    <m:t>Mean attention weight on all edges</m:t>
                  </m:r>
                </m:den>
              </m:f>
            </m:e>
          </m:nary>
        </m:oMath>
      </m:oMathPara>
    </w:p>
    <w:p w14:paraId="61707967" w14:textId="530EAF99"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For each sentence, the average attention weight of edges whose source node carried the OFFENSIVE\_PREDICATE role was computed and divided by the overall average attention weight across all edges in the graph. A value above </w:t>
      </w:r>
      <m:oMath>
        <m:r>
          <w:rPr>
            <w:rFonts w:ascii="Cambria Math" w:hAnsi="Cambria Math" w:cs="Times New Roman"/>
            <w:sz w:val="20"/>
            <w:szCs w:val="20"/>
          </w:rPr>
          <m:t>1.0</m:t>
        </m:r>
      </m:oMath>
      <w:r w:rsidRPr="00B16664">
        <w:rPr>
          <w:rFonts w:ascii="Times New Roman" w:hAnsi="Times New Roman" w:cs="Times New Roman"/>
          <w:sz w:val="20"/>
          <w:szCs w:val="20"/>
        </w:rPr>
        <w:t>confirms that offensive predicate nodes receive above-average attention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attention mechanism has learned to focus on the semantically most important structural element.</w:t>
      </w:r>
    </w:p>
    <w:p w14:paraId="32EE4766" w14:textId="77777777" w:rsidR="00392FB9" w:rsidRPr="00B16664" w:rsidRDefault="00392FB9" w:rsidP="009312E6">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Attention Weight Entropy (AWE)</w:t>
      </w:r>
    </w:p>
    <w:p w14:paraId="7A35EBDE" w14:textId="5C8747B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AWE measures how concentrated or dispersed the attention weight distribution is across the edges of each sentence graph. A low entropy indicates focused </w:t>
      </w:r>
      <w:proofErr w:type="gramStart"/>
      <w:r w:rsidRPr="00B16664">
        <w:rPr>
          <w:rFonts w:ascii="Times New Roman" w:hAnsi="Times New Roman" w:cs="Times New Roman"/>
          <w:sz w:val="20"/>
          <w:szCs w:val="20"/>
        </w:rPr>
        <w:t>attention</w:t>
      </w:r>
      <w:r w:rsidR="005C0A98">
        <w:rPr>
          <w:rFonts w:ascii="Times New Roman" w:hAnsi="Times New Roman" w:cs="Times New Roman"/>
          <w:sz w:val="20"/>
          <w:szCs w:val="20"/>
        </w:rPr>
        <w:t>,</w:t>
      </w:r>
      <w:proofErr w:type="gramEnd"/>
      <w:r w:rsidRPr="00B16664">
        <w:rPr>
          <w:rFonts w:ascii="Times New Roman" w:hAnsi="Times New Roman" w:cs="Times New Roman"/>
          <w:sz w:val="20"/>
          <w:szCs w:val="20"/>
        </w:rPr>
        <w:t xml:space="preserve"> the model is concentrating most of its attention on a small number of high-relevance edges. A high entropy indicates diffuse attention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model is attending to many edges roughly equally, which may suggest the attention mechanism has not learned to discriminate between structurally important and unimportant relationships:</w:t>
      </w:r>
    </w:p>
    <w:p w14:paraId="01A69F5C" w14:textId="2FAED879"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AWE=-</m:t>
          </m:r>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e∈</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s</m:t>
                  </m:r>
                </m:sup>
              </m:sSup>
            </m:sub>
            <m:sup/>
            <m:e>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t>
                  </m:r>
                </m:sub>
              </m:sSub>
            </m:e>
          </m:nary>
          <m:r>
            <m:rPr>
              <m:sty m:val="p"/>
            </m:rPr>
            <w:rPr>
              <w:rFonts w:ascii="Cambria Math" w:hAnsi="Cambria Math" w:cs="Times New Roman"/>
              <w:sz w:val="20"/>
              <w:szCs w:val="20"/>
            </w:rPr>
            <m:t>log</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t>
                  </m:r>
                </m:sub>
              </m:sSub>
            </m:e>
          </m:d>
        </m:oMath>
      </m:oMathPara>
    </w:p>
    <w:p w14:paraId="51CB3378" w14:textId="386BF8F4"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t>
            </m:r>
          </m:sub>
        </m:sSub>
      </m:oMath>
      <w:r w:rsidRPr="00B16664">
        <w:rPr>
          <w:rFonts w:ascii="Times New Roman" w:hAnsi="Times New Roman" w:cs="Times New Roman"/>
          <w:sz w:val="20"/>
          <w:szCs w:val="20"/>
        </w:rPr>
        <w:t xml:space="preserve">is the normalized attention weight of edge </w:t>
      </w:r>
      <m:oMath>
        <m:r>
          <w:rPr>
            <w:rFonts w:ascii="Cambria Math" w:hAnsi="Cambria Math" w:cs="Times New Roman"/>
            <w:sz w:val="20"/>
            <w:szCs w:val="20"/>
          </w:rPr>
          <m:t>e</m:t>
        </m:r>
      </m:oMath>
      <w:r w:rsidRPr="00B16664">
        <w:rPr>
          <w:rFonts w:ascii="Times New Roman" w:hAnsi="Times New Roman" w:cs="Times New Roman"/>
          <w:sz w:val="20"/>
          <w:szCs w:val="20"/>
        </w:rPr>
        <w:t xml:space="preserve">in sentence </w:t>
      </w:r>
      <m:oMath>
        <m:r>
          <w:rPr>
            <w:rFonts w:ascii="Cambria Math" w:hAnsi="Cambria Math" w:cs="Times New Roman"/>
            <w:sz w:val="20"/>
            <w:szCs w:val="20"/>
          </w:rPr>
          <m:t>s</m:t>
        </m:r>
      </m:oMath>
      <w:r w:rsidRPr="00B16664">
        <w:rPr>
          <w:rFonts w:ascii="Times New Roman" w:hAnsi="Times New Roman" w:cs="Times New Roman"/>
          <w:sz w:val="20"/>
          <w:szCs w:val="20"/>
        </w:rPr>
        <w:t>, with weights normalized to sum to one across all edges before computing the entropy. AWE was averaged across all evaluated sentences for each model-dataset pair and reported alongside ONAS to provide a complete picture of attention behavior.</w:t>
      </w:r>
    </w:p>
    <w:p w14:paraId="7B82681E" w14:textId="77777777" w:rsidR="00392FB9" w:rsidRPr="00B16664" w:rsidRDefault="00392FB9" w:rsidP="009312E6">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Mean Pooling (Baseline)</w:t>
      </w:r>
    </w:p>
    <w:p w14:paraId="54E14BD2" w14:textId="114327FC"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Mean Pooling is the simplest possible graph aggregation strategy and serves as the lower-bound baseline against which ARGP is compared. It computes the sentence-level representation as the unweighted arithmetic average of all node embeddings, with no attention mechanism, no edge type awareness, and no structural role weighting</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every node contributes equally regardless of whether it is an offensive predicate or an irrelevant context word:</w:t>
      </w:r>
    </w:p>
    <w:p w14:paraId="62269A1E" w14:textId="213A6915" w:rsidR="00392FB9" w:rsidRPr="00B16664" w:rsidRDefault="00000000" w:rsidP="00392FB9">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h</m:t>
              </m:r>
            </m:e>
            <m:sub>
              <m:r>
                <w:rPr>
                  <w:rFonts w:ascii="Cambria Math" w:hAnsi="Cambria Math" w:cs="Times New Roman"/>
                  <w:sz w:val="20"/>
                  <w:szCs w:val="20"/>
                </w:rPr>
                <m:t>G</m:t>
              </m:r>
            </m:sub>
            <m:sup>
              <m:r>
                <m:rPr>
                  <m:nor/>
                </m:rPr>
                <w:rPr>
                  <w:rFonts w:ascii="Times New Roman" w:hAnsi="Times New Roman" w:cs="Times New Roman"/>
                  <w:sz w:val="20"/>
                  <w:szCs w:val="20"/>
                </w:rPr>
                <m:t>mean</m:t>
              </m:r>
            </m:sup>
          </m:sSubSup>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∣V∣</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v∈V</m:t>
              </m:r>
            </m:sub>
            <m:sup/>
            <m:e>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e>
          </m:nary>
        </m:oMath>
      </m:oMathPara>
    </w:p>
    <w:p w14:paraId="7CE27FA9" w14:textId="58A0958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oMath>
      <w:r w:rsidRPr="00B16664">
        <w:rPr>
          <w:rFonts w:ascii="Times New Roman" w:hAnsi="Times New Roman" w:cs="Times New Roman"/>
          <w:sz w:val="20"/>
          <w:szCs w:val="20"/>
        </w:rPr>
        <w:t xml:space="preserve">is the embedding of node </w:t>
      </w:r>
      <m:oMath>
        <m:r>
          <w:rPr>
            <w:rFonts w:ascii="Cambria Math" w:hAnsi="Cambria Math" w:cs="Times New Roman"/>
            <w:sz w:val="20"/>
            <w:szCs w:val="20"/>
          </w:rPr>
          <m:t>v</m:t>
        </m:r>
      </m:oMath>
      <w:r w:rsidRPr="00B16664">
        <w:rPr>
          <w:rFonts w:ascii="Times New Roman" w:hAnsi="Times New Roman" w:cs="Times New Roman"/>
          <w:sz w:val="20"/>
          <w:szCs w:val="20"/>
        </w:rPr>
        <w:t xml:space="preserve">and </w:t>
      </w:r>
      <m:oMath>
        <m:r>
          <w:rPr>
            <w:rFonts w:ascii="Cambria Math" w:hAnsi="Cambria Math" w:cs="Times New Roman"/>
            <w:sz w:val="20"/>
            <w:szCs w:val="20"/>
          </w:rPr>
          <m:t>∣V∣</m:t>
        </m:r>
      </m:oMath>
      <w:r w:rsidRPr="00B16664">
        <w:rPr>
          <w:rFonts w:ascii="Times New Roman" w:hAnsi="Times New Roman" w:cs="Times New Roman"/>
          <w:sz w:val="20"/>
          <w:szCs w:val="20"/>
        </w:rPr>
        <w:t>is the total number of nodes in the graph. Any improvement that ARGP achieves over this baseline directly demonstrates that structured, attention-based aggregation with edge type and role awareness provides measurable benefit over naive averaging.</w:t>
      </w:r>
    </w:p>
    <w:p w14:paraId="184871A8" w14:textId="25D19DE3" w:rsidR="00392FB9" w:rsidRPr="00B16664" w:rsidRDefault="00392FB9" w:rsidP="009312E6">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Graph Convolutional Network</w:t>
      </w:r>
      <w:r w:rsidR="005C0A98">
        <w:rPr>
          <w:rFonts w:ascii="Times New Roman" w:hAnsi="Times New Roman" w:cs="Times New Roman"/>
          <w:b/>
          <w:bCs/>
          <w:sz w:val="20"/>
          <w:szCs w:val="20"/>
        </w:rPr>
        <w:t>:</w:t>
      </w:r>
      <w:r w:rsidRPr="00B16664">
        <w:rPr>
          <w:rFonts w:ascii="Times New Roman" w:hAnsi="Times New Roman" w:cs="Times New Roman"/>
          <w:b/>
          <w:bCs/>
          <w:sz w:val="20"/>
          <w:szCs w:val="20"/>
        </w:rPr>
        <w:t xml:space="preserve"> GCN (Baseline)</w:t>
      </w:r>
    </w:p>
    <w:p w14:paraId="2E3CE5DE" w14:textId="2101E5AB"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GCN is a mid-level baseline positioned between mean pooling and ARGP. It improves over mean pooling by propagating information through the graph structure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each node's representation is updated by aggregating information from its neighbors with degree-normalized weights. However, GCN assigns equal weight to all neighbors regardless of the semantic type of the connecting edge, treating a NEGATES edge identically to a SUBJECT_OF or ACTION_ON edge:</w:t>
      </w:r>
    </w:p>
    <w:p w14:paraId="714B3316" w14:textId="783E0C9F" w:rsidR="00392FB9" w:rsidRPr="00B16664" w:rsidRDefault="00000000" w:rsidP="00392FB9">
      <w:pPr>
        <w:jc w:val="both"/>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H</m:t>
              </m:r>
            </m:e>
            <m:sup>
              <m:d>
                <m:dPr>
                  <m:ctrlPr>
                    <w:rPr>
                      <w:rFonts w:ascii="Cambria Math" w:hAnsi="Cambria Math" w:cs="Times New Roman"/>
                      <w:sz w:val="20"/>
                      <w:szCs w:val="20"/>
                    </w:rPr>
                  </m:ctrlPr>
                </m:dPr>
                <m:e>
                  <m:r>
                    <w:rPr>
                      <w:rFonts w:ascii="Cambria Math" w:hAnsi="Cambria Math" w:cs="Times New Roman"/>
                      <w:sz w:val="20"/>
                      <w:szCs w:val="20"/>
                    </w:rPr>
                    <m:t>l+1</m:t>
                  </m:r>
                </m:e>
              </m:d>
            </m:sup>
          </m:sSup>
          <m:r>
            <w:rPr>
              <w:rFonts w:ascii="Cambria Math" w:hAnsi="Cambria Math" w:cs="Times New Roman"/>
              <w:sz w:val="20"/>
              <w:szCs w:val="20"/>
            </w:rPr>
            <m:t>=σ</m:t>
          </m:r>
          <m:r>
            <m:rPr>
              <m:nor/>
            </m:rPr>
            <w:rPr>
              <w:rFonts w:ascii="Times New Roman" w:hAnsi="Times New Roman" w:cs="Times New Roman"/>
              <w:sz w:val="20"/>
              <w:szCs w:val="20"/>
            </w:rPr>
            <m:t> </m:t>
          </m:r>
          <m:d>
            <m:dPr>
              <m:ctrlPr>
                <w:rPr>
                  <w:rFonts w:ascii="Cambria Math" w:hAnsi="Cambria Math" w:cs="Times New Roman"/>
                  <w:sz w:val="20"/>
                  <w:szCs w:val="20"/>
                </w:rPr>
              </m:ctrlPr>
            </m:dPr>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D</m:t>
                      </m:r>
                    </m:e>
                  </m:acc>
                </m:e>
                <m:sup>
                  <m:r>
                    <w:rPr>
                      <w:rFonts w:ascii="Cambria Math" w:hAnsi="Cambria Math" w:cs="Times New Roman"/>
                      <w:sz w:val="20"/>
                      <w:szCs w:val="20"/>
                    </w:rPr>
                    <m:t>-1/2</m:t>
                  </m:r>
                </m:sup>
              </m:sSup>
              <m:acc>
                <m:accPr>
                  <m:ctrlPr>
                    <w:rPr>
                      <w:rFonts w:ascii="Cambria Math" w:hAnsi="Cambria Math" w:cs="Times New Roman"/>
                      <w:sz w:val="20"/>
                      <w:szCs w:val="20"/>
                    </w:rPr>
                  </m:ctrlPr>
                </m:accPr>
                <m:e>
                  <m:r>
                    <w:rPr>
                      <w:rFonts w:ascii="Cambria Math" w:hAnsi="Cambria Math" w:cs="Times New Roman"/>
                      <w:sz w:val="20"/>
                      <w:szCs w:val="20"/>
                    </w:rPr>
                    <m:t>A</m:t>
                  </m:r>
                </m:e>
              </m:acc>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D</m:t>
                      </m:r>
                    </m:e>
                  </m:acc>
                </m:e>
                <m:sup>
                  <m:r>
                    <w:rPr>
                      <w:rFonts w:ascii="Cambria Math" w:hAnsi="Cambria Math" w:cs="Times New Roman"/>
                      <w:sz w:val="20"/>
                      <w:szCs w:val="20"/>
                    </w:rPr>
                    <m:t>-1/2</m:t>
                  </m:r>
                </m:sup>
              </m:sSup>
              <m:sSup>
                <m:sSupPr>
                  <m:ctrlPr>
                    <w:rPr>
                      <w:rFonts w:ascii="Cambria Math" w:hAnsi="Cambria Math" w:cs="Times New Roman"/>
                      <w:sz w:val="20"/>
                      <w:szCs w:val="20"/>
                    </w:rPr>
                  </m:ctrlPr>
                </m:sSupPr>
                <m:e>
                  <m:r>
                    <w:rPr>
                      <w:rFonts w:ascii="Cambria Math" w:hAnsi="Cambria Math" w:cs="Times New Roman"/>
                      <w:sz w:val="20"/>
                      <w:szCs w:val="20"/>
                    </w:rPr>
                    <m:t>H</m:t>
                  </m:r>
                </m:e>
                <m:sup>
                  <m:d>
                    <m:dPr>
                      <m:ctrlPr>
                        <w:rPr>
                          <w:rFonts w:ascii="Cambria Math" w:hAnsi="Cambria Math" w:cs="Times New Roman"/>
                          <w:sz w:val="20"/>
                          <w:szCs w:val="20"/>
                        </w:rPr>
                      </m:ctrlPr>
                    </m:dPr>
                    <m:e>
                      <m:r>
                        <w:rPr>
                          <w:rFonts w:ascii="Cambria Math" w:hAnsi="Cambria Math" w:cs="Times New Roman"/>
                          <w:sz w:val="20"/>
                          <w:szCs w:val="20"/>
                        </w:rPr>
                        <m:t>l</m:t>
                      </m:r>
                    </m:e>
                  </m:d>
                </m:sup>
              </m:sSup>
              <m:sSup>
                <m:sSupPr>
                  <m:ctrlPr>
                    <w:rPr>
                      <w:rFonts w:ascii="Cambria Math" w:hAnsi="Cambria Math" w:cs="Times New Roman"/>
                      <w:sz w:val="20"/>
                      <w:szCs w:val="20"/>
                    </w:rPr>
                  </m:ctrlPr>
                </m:sSupPr>
                <m:e>
                  <m:r>
                    <w:rPr>
                      <w:rFonts w:ascii="Cambria Math" w:hAnsi="Cambria Math" w:cs="Times New Roman"/>
                      <w:sz w:val="20"/>
                      <w:szCs w:val="20"/>
                    </w:rPr>
                    <m:t>W</m:t>
                  </m:r>
                </m:e>
                <m:sup>
                  <m:d>
                    <m:dPr>
                      <m:ctrlPr>
                        <w:rPr>
                          <w:rFonts w:ascii="Cambria Math" w:hAnsi="Cambria Math" w:cs="Times New Roman"/>
                          <w:sz w:val="20"/>
                          <w:szCs w:val="20"/>
                        </w:rPr>
                      </m:ctrlPr>
                    </m:dPr>
                    <m:e>
                      <m:r>
                        <w:rPr>
                          <w:rFonts w:ascii="Cambria Math" w:hAnsi="Cambria Math" w:cs="Times New Roman"/>
                          <w:sz w:val="20"/>
                          <w:szCs w:val="20"/>
                        </w:rPr>
                        <m:t>l</m:t>
                      </m:r>
                    </m:e>
                  </m:d>
                </m:sup>
              </m:sSup>
            </m:e>
          </m:d>
        </m:oMath>
      </m:oMathPara>
    </w:p>
    <w:p w14:paraId="60A97A88" w14:textId="62F678F5"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acc>
          <m:accPr>
            <m:ctrlPr>
              <w:rPr>
                <w:rFonts w:ascii="Cambria Math" w:hAnsi="Cambria Math" w:cs="Times New Roman"/>
                <w:sz w:val="20"/>
                <w:szCs w:val="20"/>
              </w:rPr>
            </m:ctrlPr>
          </m:accPr>
          <m:e>
            <m:r>
              <w:rPr>
                <w:rFonts w:ascii="Cambria Math" w:hAnsi="Cambria Math" w:cs="Times New Roman"/>
                <w:sz w:val="20"/>
                <w:szCs w:val="20"/>
              </w:rPr>
              <m:t>A</m:t>
            </m:r>
          </m:e>
        </m:acc>
        <m:r>
          <w:rPr>
            <w:rFonts w:ascii="Cambria Math" w:hAnsi="Cambria Math" w:cs="Times New Roman"/>
            <w:sz w:val="20"/>
            <w:szCs w:val="20"/>
          </w:rPr>
          <m:t>=A+I</m:t>
        </m:r>
      </m:oMath>
      <w:r w:rsidRPr="00B16664">
        <w:rPr>
          <w:rFonts w:ascii="Times New Roman" w:hAnsi="Times New Roman" w:cs="Times New Roman"/>
          <w:sz w:val="20"/>
          <w:szCs w:val="20"/>
        </w:rPr>
        <w:t xml:space="preserve">is the adjacency matrix augmented with self-loops, </w:t>
      </w:r>
      <m:oMath>
        <m:acc>
          <m:accPr>
            <m:ctrlPr>
              <w:rPr>
                <w:rFonts w:ascii="Cambria Math" w:hAnsi="Cambria Math" w:cs="Times New Roman"/>
                <w:sz w:val="20"/>
                <w:szCs w:val="20"/>
              </w:rPr>
            </m:ctrlPr>
          </m:accPr>
          <m:e>
            <m:r>
              <w:rPr>
                <w:rFonts w:ascii="Cambria Math" w:hAnsi="Cambria Math" w:cs="Times New Roman"/>
                <w:sz w:val="20"/>
                <w:szCs w:val="20"/>
              </w:rPr>
              <m:t>D</m:t>
            </m:r>
          </m:e>
        </m:acc>
      </m:oMath>
      <w:r w:rsidRPr="00B16664">
        <w:rPr>
          <w:rFonts w:ascii="Times New Roman" w:hAnsi="Times New Roman" w:cs="Times New Roman"/>
          <w:sz w:val="20"/>
          <w:szCs w:val="20"/>
        </w:rPr>
        <w:t xml:space="preserve">is the corresponding degree matrix, </w:t>
      </w:r>
      <m:oMath>
        <m:sSup>
          <m:sSupPr>
            <m:ctrlPr>
              <w:rPr>
                <w:rFonts w:ascii="Cambria Math" w:hAnsi="Cambria Math" w:cs="Times New Roman"/>
                <w:sz w:val="20"/>
                <w:szCs w:val="20"/>
              </w:rPr>
            </m:ctrlPr>
          </m:sSupPr>
          <m:e>
            <m:r>
              <w:rPr>
                <w:rFonts w:ascii="Cambria Math" w:hAnsi="Cambria Math" w:cs="Times New Roman"/>
                <w:sz w:val="20"/>
                <w:szCs w:val="20"/>
              </w:rPr>
              <m:t>H</m:t>
            </m:r>
          </m:e>
          <m:sup>
            <m:d>
              <m:dPr>
                <m:ctrlPr>
                  <w:rPr>
                    <w:rFonts w:ascii="Cambria Math" w:hAnsi="Cambria Math" w:cs="Times New Roman"/>
                    <w:sz w:val="20"/>
                    <w:szCs w:val="20"/>
                  </w:rPr>
                </m:ctrlPr>
              </m:dPr>
              <m:e>
                <m:r>
                  <w:rPr>
                    <w:rFonts w:ascii="Cambria Math" w:hAnsi="Cambria Math" w:cs="Times New Roman"/>
                    <w:sz w:val="20"/>
                    <w:szCs w:val="20"/>
                  </w:rPr>
                  <m:t>l</m:t>
                </m:r>
              </m:e>
            </m:d>
          </m:sup>
        </m:sSup>
      </m:oMath>
      <w:r w:rsidRPr="00B16664">
        <w:rPr>
          <w:rFonts w:ascii="Times New Roman" w:hAnsi="Times New Roman" w:cs="Times New Roman"/>
          <w:sz w:val="20"/>
          <w:szCs w:val="20"/>
        </w:rPr>
        <w:t xml:space="preserve">is the node feature matrix at layer </w:t>
      </w:r>
      <m:oMath>
        <m:r>
          <w:rPr>
            <w:rFonts w:ascii="Cambria Math" w:hAnsi="Cambria Math" w:cs="Times New Roman"/>
            <w:sz w:val="20"/>
            <w:szCs w:val="20"/>
          </w:rPr>
          <m:t>l</m:t>
        </m:r>
      </m:oMath>
      <w:r w:rsidRPr="00B16664">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w:rPr>
                <w:rFonts w:ascii="Cambria Math" w:hAnsi="Cambria Math" w:cs="Times New Roman"/>
                <w:sz w:val="20"/>
                <w:szCs w:val="20"/>
              </w:rPr>
              <m:t>W</m:t>
            </m:r>
          </m:e>
          <m:sup>
            <m:d>
              <m:dPr>
                <m:ctrlPr>
                  <w:rPr>
                    <w:rFonts w:ascii="Cambria Math" w:hAnsi="Cambria Math" w:cs="Times New Roman"/>
                    <w:sz w:val="20"/>
                    <w:szCs w:val="20"/>
                  </w:rPr>
                </m:ctrlPr>
              </m:dPr>
              <m:e>
                <m:r>
                  <w:rPr>
                    <w:rFonts w:ascii="Cambria Math" w:hAnsi="Cambria Math" w:cs="Times New Roman"/>
                    <w:sz w:val="20"/>
                    <w:szCs w:val="20"/>
                  </w:rPr>
                  <m:t>l</m:t>
                </m:r>
              </m:e>
            </m:d>
          </m:sup>
        </m:sSup>
      </m:oMath>
      <w:r w:rsidRPr="00B16664">
        <w:rPr>
          <w:rFonts w:ascii="Times New Roman" w:hAnsi="Times New Roman" w:cs="Times New Roman"/>
          <w:sz w:val="20"/>
          <w:szCs w:val="20"/>
        </w:rPr>
        <w:t xml:space="preserve">is the learnable weight matrix. ARGP's improvement over GCN specifically </w:t>
      </w:r>
      <w:r w:rsidRPr="00B16664">
        <w:rPr>
          <w:rFonts w:ascii="Times New Roman" w:hAnsi="Times New Roman" w:cs="Times New Roman"/>
          <w:sz w:val="20"/>
          <w:szCs w:val="20"/>
        </w:rPr>
        <w:lastRenderedPageBreak/>
        <w:t>demonstrates that edge-type-aware attention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treating semantically distinct relationship types differently</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provides meaningful benefit beyond graph-aware aggregation alone.</w:t>
      </w:r>
    </w:p>
    <w:p w14:paraId="60CE9423" w14:textId="3B92C044" w:rsidR="00392FB9" w:rsidRPr="00B16664" w:rsidRDefault="00392FB9" w:rsidP="005C0A98">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Graph Attention Network</w:t>
      </w:r>
      <w:r w:rsidR="005C0A98">
        <w:rPr>
          <w:rFonts w:ascii="Times New Roman" w:hAnsi="Times New Roman" w:cs="Times New Roman"/>
          <w:b/>
          <w:bCs/>
          <w:sz w:val="20"/>
          <w:szCs w:val="20"/>
        </w:rPr>
        <w:t>:</w:t>
      </w:r>
      <w:r w:rsidRPr="00B16664">
        <w:rPr>
          <w:rFonts w:ascii="Times New Roman" w:hAnsi="Times New Roman" w:cs="Times New Roman"/>
          <w:b/>
          <w:bCs/>
          <w:sz w:val="20"/>
          <w:szCs w:val="20"/>
        </w:rPr>
        <w:t xml:space="preserve"> ARGP</w:t>
      </w:r>
    </w:p>
    <w:p w14:paraId="7015EFA8"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ARGP is the proposed edge-type-aware graph attention method that forms the core of Step 08. Unlike GCN, which aggregates neighbor information with uniform degree-normalized weights, ARGP computes a distinct attention score for each edge that incorporates both the feature content of the connected nodes and the learned embedding of the edge's semantic type. This means a NEGATES edge between a negation marker and an offensive predicate is processed fundamentally differently from an ACTION_ON edge between a subject and its object:</w:t>
      </w:r>
    </w:p>
    <w:p w14:paraId="14980448" w14:textId="23887B98" w:rsidR="00392FB9" w:rsidRPr="00B16664" w:rsidRDefault="00000000" w:rsidP="00392FB9">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ij</m:t>
              </m:r>
            </m:sub>
          </m:sSub>
          <m:r>
            <w:rPr>
              <w:rFonts w:ascii="Cambria Math" w:hAnsi="Cambria Math" w:cs="Times New Roman"/>
              <w:sz w:val="20"/>
              <w:szCs w:val="20"/>
            </w:rPr>
            <m:t>=</m:t>
          </m:r>
          <m:f>
            <m:fPr>
              <m:ctrlPr>
                <w:rPr>
                  <w:rFonts w:ascii="Cambria Math" w:hAnsi="Cambria Math" w:cs="Times New Roman"/>
                  <w:sz w:val="20"/>
                  <w:szCs w:val="20"/>
                </w:rPr>
              </m:ctrlPr>
            </m:fPr>
            <m:num>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Q</m:t>
                      </m:r>
                    </m:sub>
                  </m:sSub>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e>
              </m:d>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K</m:t>
                      </m:r>
                    </m:sub>
                  </m:sSub>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r</m:t>
                      </m:r>
                    </m:sub>
                  </m:sSub>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ij</m:t>
                      </m:r>
                    </m:sub>
                  </m:sSub>
                </m:e>
              </m:d>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e>
              </m:rad>
            </m:den>
          </m:f>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ij</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ij</m:t>
                      </m:r>
                    </m:sub>
                  </m:sSub>
                </m:e>
              </m:d>
            </m:num>
            <m:den>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k∈</m:t>
                  </m:r>
                  <m:r>
                    <m:rPr>
                      <m:scr m:val="script"/>
                    </m:rP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i</m:t>
                      </m:r>
                    </m:e>
                  </m:d>
                </m:sub>
                <m:sup/>
                <m:e>
                  <m:r>
                    <m:rPr>
                      <m:sty m:val="p"/>
                    </m:rPr>
                    <w:rPr>
                      <w:rFonts w:ascii="Cambria Math" w:hAnsi="Cambria Math" w:cs="Times New Roman"/>
                      <w:sz w:val="20"/>
                      <w:szCs w:val="20"/>
                    </w:rPr>
                    <m:t>exp</m:t>
                  </m:r>
                </m:e>
              </m:nary>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ik</m:t>
                      </m:r>
                    </m:sub>
                  </m:sSub>
                </m:e>
              </m:d>
            </m:den>
          </m:f>
          <m:r>
            <m:rPr>
              <m:sty m:val="p"/>
            </m:rPr>
            <w:rPr>
              <w:rFonts w:ascii="Times New Roman" w:hAnsi="Times New Roman" w:cs="Times New Roman"/>
              <w:sz w:val="20"/>
              <w:szCs w:val="20"/>
            </w:rPr>
            <w:br/>
          </m:r>
        </m:oMath>
        <m:oMath>
          <m:sSubSup>
            <m:sSubSupPr>
              <m:ctrlPr>
                <w:rPr>
                  <w:rFonts w:ascii="Cambria Math" w:hAnsi="Cambria Math" w:cs="Times New Roman"/>
                  <w:sz w:val="20"/>
                  <w:szCs w:val="20"/>
                </w:rPr>
              </m:ctrlPr>
            </m:sSubSupPr>
            <m:e>
              <m:r>
                <w:rPr>
                  <w:rFonts w:ascii="Cambria Math" w:hAnsi="Cambria Math" w:cs="Times New Roman"/>
                  <w:sz w:val="20"/>
                  <w:szCs w:val="20"/>
                </w:rPr>
                <m:t>h</m:t>
              </m:r>
            </m:e>
            <m:sub>
              <m:r>
                <w:rPr>
                  <w:rFonts w:ascii="Cambria Math" w:hAnsi="Cambria Math" w:cs="Times New Roman"/>
                  <w:sz w:val="20"/>
                  <w:szCs w:val="20"/>
                </w:rPr>
                <m:t>i</m:t>
              </m:r>
            </m:sub>
            <m:sup>
              <m:r>
                <w:rPr>
                  <w:rFonts w:ascii="Cambria Math" w:hAnsi="Cambria Math" w:cs="Times New Roman"/>
                  <w:sz w:val="20"/>
                  <w:szCs w:val="20"/>
                </w:rPr>
                <m:t>'</m:t>
              </m:r>
            </m:sup>
          </m:sSubSup>
          <m:r>
            <w:rPr>
              <w:rFonts w:ascii="Cambria Math" w:hAnsi="Cambria Math" w:cs="Times New Roman"/>
              <w:sz w:val="20"/>
              <w:szCs w:val="20"/>
            </w:rPr>
            <m:t>=σ</m:t>
          </m:r>
          <m:r>
            <m:rPr>
              <m:nor/>
            </m:rPr>
            <w:rPr>
              <w:rFonts w:ascii="Times New Roman" w:hAnsi="Times New Roman" w:cs="Times New Roman"/>
              <w:sz w:val="20"/>
              <w:szCs w:val="20"/>
            </w:rPr>
            <m:t> </m:t>
          </m:r>
          <m:d>
            <m:dPr>
              <m:ctrlPr>
                <w:rPr>
                  <w:rFonts w:ascii="Cambria Math" w:hAnsi="Cambria Math" w:cs="Times New Roman"/>
                  <w:sz w:val="20"/>
                  <w:szCs w:val="20"/>
                </w:rPr>
              </m:ctrlPr>
            </m:dPr>
            <m:e>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j∈</m:t>
                  </m:r>
                  <m:r>
                    <m:rPr>
                      <m:scr m:val="script"/>
                    </m:rP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i</m:t>
                      </m:r>
                    </m:e>
                  </m:d>
                </m:sub>
                <m:sup/>
                <m:e>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ij</m:t>
                      </m:r>
                    </m:sub>
                  </m:sSub>
                </m:e>
              </m:nary>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V</m:t>
                  </m:r>
                </m:sub>
              </m:sSub>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e>
          </m:d>
        </m:oMath>
      </m:oMathPara>
    </w:p>
    <w:p w14:paraId="54FA3DF3" w14:textId="5E1B4ED4"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Q</m:t>
            </m:r>
          </m:sub>
        </m:sSub>
      </m:oMath>
      <w:r w:rsidRPr="00B1666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K</m:t>
            </m:r>
          </m:sub>
        </m:sSub>
      </m:oMath>
      <w:r w:rsidRPr="00B1666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V</m:t>
            </m:r>
          </m:sub>
        </m:sSub>
      </m:oMath>
      <w:r w:rsidRPr="00B16664">
        <w:rPr>
          <w:rFonts w:ascii="Times New Roman" w:hAnsi="Times New Roman" w:cs="Times New Roman"/>
          <w:sz w:val="20"/>
          <w:szCs w:val="20"/>
        </w:rPr>
        <w:t xml:space="preserve">are query, key, and value projection matrices shared across all edges,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ij</m:t>
            </m:r>
          </m:sub>
        </m:sSub>
      </m:oMath>
      <w:r w:rsidRPr="00B16664">
        <w:rPr>
          <w:rFonts w:ascii="Times New Roman" w:hAnsi="Times New Roman" w:cs="Times New Roman"/>
          <w:sz w:val="20"/>
          <w:szCs w:val="20"/>
        </w:rPr>
        <w:t xml:space="preserve">is the learned embedding of the specific edge type connecting nodes </w:t>
      </w:r>
      <m:oMath>
        <m:r>
          <w:rPr>
            <w:rFonts w:ascii="Cambria Math" w:hAnsi="Cambria Math" w:cs="Times New Roman"/>
            <w:sz w:val="20"/>
            <w:szCs w:val="20"/>
          </w:rPr>
          <m:t>i</m:t>
        </m:r>
      </m:oMath>
      <w:r w:rsidRPr="00B16664">
        <w:rPr>
          <w:rFonts w:ascii="Times New Roman" w:hAnsi="Times New Roman" w:cs="Times New Roman"/>
          <w:sz w:val="20"/>
          <w:szCs w:val="20"/>
        </w:rPr>
        <w:t xml:space="preserve">and </w:t>
      </w:r>
      <m:oMath>
        <m:r>
          <w:rPr>
            <w:rFonts w:ascii="Cambria Math" w:hAnsi="Cambria Math" w:cs="Times New Roman"/>
            <w:sz w:val="20"/>
            <w:szCs w:val="20"/>
          </w:rPr>
          <m:t>j</m:t>
        </m:r>
        <m:r>
          <w:rPr>
            <w:rFonts w:ascii="Cambria Math" w:hAnsi="Cambria Math" w:cs="Times New Roman"/>
            <w:sz w:val="20"/>
            <w:szCs w:val="20"/>
          </w:rPr>
          <m:t>,</m:t>
        </m:r>
      </m:oMath>
      <w:r w:rsidRPr="00B16664">
        <w:rPr>
          <w:rFonts w:ascii="Times New Roman" w:hAnsi="Times New Roman" w:cs="Times New Roman"/>
          <w:sz w:val="20"/>
          <w:szCs w:val="20"/>
        </w:rPr>
        <w:t xml:space="preserve"> added into the key computation to make attention scores edge-type-sensitive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oMath>
      <w:r w:rsidRPr="00B16664">
        <w:rPr>
          <w:rFonts w:ascii="Times New Roman" w:hAnsi="Times New Roman" w:cs="Times New Roman"/>
          <w:sz w:val="20"/>
          <w:szCs w:val="20"/>
        </w:rPr>
        <w:t xml:space="preserve">is the attention head dimension used for scaling, and </w:t>
      </w: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ij</m:t>
            </m:r>
          </m:sub>
        </m:sSub>
      </m:oMath>
      <w:r w:rsidRPr="00B16664">
        <w:rPr>
          <w:rFonts w:ascii="Times New Roman" w:hAnsi="Times New Roman" w:cs="Times New Roman"/>
          <w:sz w:val="20"/>
          <w:szCs w:val="20"/>
        </w:rPr>
        <w:t xml:space="preserve">is the normalized attention weight after softmax. Four attention heads and two stacked layers were used throughout. Additionally, a learnable negation attenuation parameter </w:t>
      </w:r>
      <m:oMath>
        <m:r>
          <w:rPr>
            <w:rFonts w:ascii="Cambria Math" w:hAnsi="Cambria Math" w:cs="Times New Roman"/>
            <w:sz w:val="20"/>
            <w:szCs w:val="20"/>
          </w:rPr>
          <m:t>β</m:t>
        </m:r>
      </m:oMath>
      <w:r w:rsidRPr="00B16664">
        <w:rPr>
          <w:rFonts w:ascii="Times New Roman" w:hAnsi="Times New Roman" w:cs="Times New Roman"/>
          <w:sz w:val="20"/>
          <w:szCs w:val="20"/>
        </w:rPr>
        <w:t>was applied after propagation to reduce the offensive predicate node embedding whenever a NEGATES edge was detected</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directly encoding the semantic effect of negation into the graph representation.</w:t>
      </w:r>
    </w:p>
    <w:p w14:paraId="1F27719D"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Change vs Mean Pooling</w:t>
      </w:r>
    </w:p>
    <w:p w14:paraId="473E61D0"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This column in the results table quantifies the performance improvement that ARGP achieves over the Mean Pooling baseline for each reported metric, computed as a simple arithmetic difference:</w:t>
      </w:r>
    </w:p>
    <w:p w14:paraId="3F3B30DE" w14:textId="3536B64C" w:rsidR="00392FB9" w:rsidRPr="00B16664" w:rsidRDefault="00000000" w:rsidP="00392FB9">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Δ</m:t>
              </m:r>
            </m:e>
            <m:sub>
              <m:r>
                <m:rPr>
                  <m:nor/>
                </m:rPr>
                <w:rPr>
                  <w:rFonts w:ascii="Times New Roman" w:hAnsi="Times New Roman" w:cs="Times New Roman"/>
                  <w:sz w:val="20"/>
                  <w:szCs w:val="20"/>
                </w:rPr>
                <m:t>metric</m:t>
              </m:r>
            </m:sub>
          </m:sSub>
          <m:r>
            <w:rPr>
              <w:rFonts w:ascii="Cambria Math" w:hAnsi="Cambria Math" w:cs="Times New Roman"/>
              <w:sz w:val="20"/>
              <w:szCs w:val="20"/>
            </w:rPr>
            <m:t>=</m:t>
          </m:r>
          <m:sSub>
            <m:sSubPr>
              <m:ctrlPr>
                <w:rPr>
                  <w:rFonts w:ascii="Cambria Math" w:hAnsi="Cambria Math" w:cs="Times New Roman"/>
                  <w:sz w:val="20"/>
                  <w:szCs w:val="20"/>
                </w:rPr>
              </m:ctrlPr>
            </m:sSubPr>
            <m:e>
              <m:r>
                <m:rPr>
                  <m:nor/>
                </m:rPr>
                <w:rPr>
                  <w:rFonts w:ascii="Times New Roman" w:hAnsi="Times New Roman" w:cs="Times New Roman"/>
                  <w:sz w:val="20"/>
                  <w:szCs w:val="20"/>
                </w:rPr>
                <m:t>Value</m:t>
              </m:r>
            </m:e>
            <m:sub>
              <m:r>
                <m:rPr>
                  <m:nor/>
                </m:rPr>
                <w:rPr>
                  <w:rFonts w:ascii="Times New Roman" w:hAnsi="Times New Roman" w:cs="Times New Roman"/>
                  <w:sz w:val="20"/>
                  <w:szCs w:val="20"/>
                </w:rPr>
                <m:t>ARGP</m:t>
              </m:r>
            </m:sub>
          </m:sSub>
          <m:r>
            <w:rPr>
              <w:rFonts w:ascii="Cambria Math" w:hAnsi="Cambria Math" w:cs="Times New Roman"/>
              <w:sz w:val="20"/>
              <w:szCs w:val="20"/>
            </w:rPr>
            <m:t>-</m:t>
          </m:r>
          <m:sSub>
            <m:sSubPr>
              <m:ctrlPr>
                <w:rPr>
                  <w:rFonts w:ascii="Cambria Math" w:hAnsi="Cambria Math" w:cs="Times New Roman"/>
                  <w:sz w:val="20"/>
                  <w:szCs w:val="20"/>
                </w:rPr>
              </m:ctrlPr>
            </m:sSubPr>
            <m:e>
              <m:r>
                <m:rPr>
                  <m:nor/>
                </m:rPr>
                <w:rPr>
                  <w:rFonts w:ascii="Times New Roman" w:hAnsi="Times New Roman" w:cs="Times New Roman"/>
                  <w:sz w:val="20"/>
                  <w:szCs w:val="20"/>
                </w:rPr>
                <m:t>Value</m:t>
              </m:r>
            </m:e>
            <m:sub>
              <m:r>
                <m:rPr>
                  <m:nor/>
                </m:rPr>
                <w:rPr>
                  <w:rFonts w:ascii="Times New Roman" w:hAnsi="Times New Roman" w:cs="Times New Roman"/>
                  <w:sz w:val="20"/>
                  <w:szCs w:val="20"/>
                </w:rPr>
                <m:t>MeanPooling</m:t>
              </m:r>
            </m:sub>
          </m:sSub>
          <m:r>
            <m:rPr>
              <m:sty m:val="p"/>
            </m:rPr>
            <w:rPr>
              <w:rFonts w:ascii="Times New Roman" w:hAnsi="Times New Roman" w:cs="Times New Roman"/>
              <w:sz w:val="20"/>
              <w:szCs w:val="20"/>
            </w:rPr>
            <w:br/>
          </m:r>
        </m:oMath>
      </m:oMathPara>
    </w:p>
    <w:p w14:paraId="7CDDF054" w14:textId="6A90E8D2"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A positive value confirms that ARGP outperformed the baseline on that metric. This column directly isolates the contribution of structured, edge-type-aware attention over trivial unweighted aggregation for each evaluation criterion reported in the table.</w:t>
      </w:r>
    </w:p>
    <w:p w14:paraId="6959B02A"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Coverage Guarantee Rate (CGR)</w:t>
      </w:r>
    </w:p>
    <w:p w14:paraId="30C81998" w14:textId="665FD1DD"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CUBD is built on conformal prediction theory, which provides a statistical guarantee on classification reliability</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under the exchangeability assumption, the conformal framework guarantees that the true label of a new sentence will be included in its prediction set with probability at least </w:t>
      </w:r>
      <m:oMath>
        <m:r>
          <w:rPr>
            <w:rFonts w:ascii="Cambria Math" w:hAnsi="Cambria Math" w:cs="Times New Roman"/>
            <w:sz w:val="20"/>
            <w:szCs w:val="20"/>
          </w:rPr>
          <m:t>1-α</m:t>
        </m:r>
      </m:oMath>
      <w:r w:rsidRPr="00B16664">
        <w:rPr>
          <w:rFonts w:ascii="Times New Roman" w:hAnsi="Times New Roman" w:cs="Times New Roman"/>
          <w:sz w:val="20"/>
          <w:szCs w:val="20"/>
        </w:rPr>
        <w:t>. CGR measures whether this guarantee was actually achieved on the test set:</w:t>
      </w:r>
    </w:p>
    <w:p w14:paraId="078AAA00" w14:textId="5440A644"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CGR=</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e>
              </m:d>
            </m:num>
            <m:den>
              <m:r>
                <w:rPr>
                  <w:rFonts w:ascii="Cambria Math" w:hAnsi="Cambria Math" w:cs="Times New Roman"/>
                  <w:sz w:val="20"/>
                  <w:szCs w:val="20"/>
                </w:rPr>
                <m:t>N</m:t>
              </m:r>
            </m:den>
          </m:f>
        </m:oMath>
      </m:oMathPara>
    </w:p>
    <w:p w14:paraId="700EF940" w14:textId="5D41D59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oMath>
      <w:r w:rsidRPr="00B16664">
        <w:rPr>
          <w:rFonts w:ascii="Times New Roman" w:hAnsi="Times New Roman" w:cs="Times New Roman"/>
          <w:sz w:val="20"/>
          <w:szCs w:val="20"/>
        </w:rPr>
        <w:t xml:space="preserve">is the prediction set constructed for sentence </w:t>
      </w:r>
      <m:oMath>
        <m:r>
          <w:rPr>
            <w:rFonts w:ascii="Cambria Math" w:hAnsi="Cambria Math" w:cs="Times New Roman"/>
            <w:sz w:val="20"/>
            <w:szCs w:val="20"/>
          </w:rPr>
          <m:t>i</m:t>
        </m:r>
      </m:oMath>
      <w:r w:rsidRPr="00B166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is its true label. The prediction set was built by computing a p-value for each possible label and including those whose p-value exceeded </w:t>
      </w:r>
      <m:oMath>
        <m:r>
          <w:rPr>
            <w:rFonts w:ascii="Cambria Math" w:hAnsi="Cambria Math" w:cs="Times New Roman"/>
            <w:sz w:val="20"/>
            <w:szCs w:val="20"/>
          </w:rPr>
          <m:t>α=0.10</m:t>
        </m:r>
      </m:oMath>
      <w:r w:rsidRPr="00B16664">
        <w:rPr>
          <w:rFonts w:ascii="Times New Roman" w:hAnsi="Times New Roman" w:cs="Times New Roman"/>
          <w:sz w:val="20"/>
          <w:szCs w:val="20"/>
        </w:rPr>
        <w:t xml:space="preserve">. With this setting, the theory guarantees </w:t>
      </w:r>
      <m:oMath>
        <m:r>
          <w:rPr>
            <w:rFonts w:ascii="Cambria Math" w:hAnsi="Cambria Math" w:cs="Times New Roman"/>
            <w:sz w:val="20"/>
            <w:szCs w:val="20"/>
          </w:rPr>
          <m:t>CGR≥0.90</m:t>
        </m:r>
      </m:oMath>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system must correctly include the true label in at least 90% of test cases. CGR was computed across the full test set for each model-dataset combination to verify that the theoretical guarantee holds empirically.</w:t>
      </w:r>
    </w:p>
    <w:p w14:paraId="097D1140"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Prediction Set Size (PSE)</w:t>
      </w:r>
    </w:p>
    <w:p w14:paraId="1E0B879D" w14:textId="019E279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lastRenderedPageBreak/>
        <w:t>PSE is the average number of class labels included in each sentence's prediction set. When the model is confident</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the calibration scores strongly </w:t>
      </w:r>
      <w:proofErr w:type="spellStart"/>
      <w:r w:rsidRPr="00B16664">
        <w:rPr>
          <w:rFonts w:ascii="Times New Roman" w:hAnsi="Times New Roman" w:cs="Times New Roman"/>
          <w:sz w:val="20"/>
          <w:szCs w:val="20"/>
        </w:rPr>
        <w:t>favour</w:t>
      </w:r>
      <w:proofErr w:type="spellEnd"/>
      <w:r w:rsidRPr="00B16664">
        <w:rPr>
          <w:rFonts w:ascii="Times New Roman" w:hAnsi="Times New Roman" w:cs="Times New Roman"/>
          <w:sz w:val="20"/>
          <w:szCs w:val="20"/>
        </w:rPr>
        <w:t xml:space="preserve"> one label over the other</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only one label will exceed the p-value threshold and the prediction set will contain exactly one element. When the model is uncertain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both labels receive similar scores</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both may exceed the threshold and the prediction set will contain two elements:</w:t>
      </w:r>
    </w:p>
    <w:p w14:paraId="3B5E50D3" w14:textId="1F57C718"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PSE=</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r>
                <w:rPr>
                  <w:rFonts w:ascii="Cambria Math" w:hAnsi="Cambria Math" w:cs="Times New Roman"/>
                  <w:sz w:val="20"/>
                  <w:szCs w:val="20"/>
                </w:rPr>
                <m:t>∣</m:t>
              </m:r>
            </m:e>
          </m:nary>
          <m:r>
            <w:rPr>
              <w:rFonts w:ascii="Cambria Math" w:hAnsi="Cambria Math" w:cs="Times New Roman"/>
              <w:sz w:val="20"/>
              <w:szCs w:val="20"/>
            </w:rPr>
            <m:t>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rPr>
            <m:t>∣</m:t>
          </m:r>
        </m:oMath>
      </m:oMathPara>
    </w:p>
    <w:p w14:paraId="03704D39" w14:textId="427F3866"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 PSE near </w:t>
      </w:r>
      <m:oMath>
        <m:r>
          <w:rPr>
            <w:rFonts w:ascii="Cambria Math" w:hAnsi="Cambria Math" w:cs="Times New Roman"/>
            <w:sz w:val="20"/>
            <w:szCs w:val="20"/>
          </w:rPr>
          <m:t>1.0</m:t>
        </m:r>
      </m:oMath>
      <w:r w:rsidRPr="00B16664">
        <w:rPr>
          <w:rFonts w:ascii="Times New Roman" w:hAnsi="Times New Roman" w:cs="Times New Roman"/>
          <w:sz w:val="20"/>
          <w:szCs w:val="20"/>
        </w:rPr>
        <w:t xml:space="preserve">indicates that the system is mostly resolving sentences to confident single-label predictions. A PSE near </w:t>
      </w:r>
      <m:oMath>
        <m:r>
          <w:rPr>
            <w:rFonts w:ascii="Cambria Math" w:hAnsi="Cambria Math" w:cs="Times New Roman"/>
            <w:sz w:val="20"/>
            <w:szCs w:val="20"/>
          </w:rPr>
          <m:t>2.0</m:t>
        </m:r>
      </m:oMath>
      <w:r w:rsidRPr="00B16664">
        <w:rPr>
          <w:rFonts w:ascii="Times New Roman" w:hAnsi="Times New Roman" w:cs="Times New Roman"/>
          <w:sz w:val="20"/>
          <w:szCs w:val="20"/>
        </w:rPr>
        <w:t>indicates widespread uncertainty requiring deeper analysis. PSE was computed alongside CGR for every model-dataset pair evaluated in the CUBD step.</w:t>
      </w:r>
    </w:p>
    <w:p w14:paraId="064F3DC8"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Uncertainty Control Score (UCS)</w:t>
      </w:r>
    </w:p>
    <w:p w14:paraId="2901CC5E" w14:textId="7F40724F"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UCS measures calibration precision</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how closely the system's empirical coverage matches the theoretical target. A perfectly calibrated system achieves exactly </w:t>
      </w:r>
      <m:oMath>
        <m:r>
          <w:rPr>
            <w:rFonts w:ascii="Cambria Math" w:hAnsi="Cambria Math" w:cs="Times New Roman"/>
            <w:sz w:val="20"/>
            <w:szCs w:val="20"/>
          </w:rPr>
          <m:t>1-α</m:t>
        </m:r>
      </m:oMath>
      <w:r w:rsidRPr="00B16664">
        <w:rPr>
          <w:rFonts w:ascii="Times New Roman" w:hAnsi="Times New Roman" w:cs="Times New Roman"/>
          <w:sz w:val="20"/>
          <w:szCs w:val="20"/>
        </w:rPr>
        <w:t>coverage, neither over-covering by including unnecessary labels in prediction sets nor under-covering by missing true labels:</w:t>
      </w:r>
    </w:p>
    <w:p w14:paraId="4509FA28" w14:textId="3F7500A0"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UCS=1-∣CGR-</m:t>
          </m:r>
          <m:d>
            <m:dPr>
              <m:ctrlPr>
                <w:rPr>
                  <w:rFonts w:ascii="Cambria Math" w:hAnsi="Cambria Math" w:cs="Times New Roman"/>
                  <w:sz w:val="20"/>
                  <w:szCs w:val="20"/>
                </w:rPr>
              </m:ctrlPr>
            </m:dPr>
            <m:e>
              <m:r>
                <w:rPr>
                  <w:rFonts w:ascii="Cambria Math" w:hAnsi="Cambria Math" w:cs="Times New Roman"/>
                  <w:sz w:val="20"/>
                  <w:szCs w:val="20"/>
                </w:rPr>
                <m:t>1-α</m:t>
              </m:r>
            </m:e>
          </m:d>
          <m:r>
            <w:rPr>
              <w:rFonts w:ascii="Cambria Math" w:hAnsi="Cambria Math" w:cs="Times New Roman"/>
              <w:sz w:val="20"/>
              <w:szCs w:val="20"/>
            </w:rPr>
            <m:t>∣</m:t>
          </m:r>
          <m:r>
            <m:rPr>
              <m:sty m:val="p"/>
            </m:rPr>
            <w:rPr>
              <w:rFonts w:ascii="Times New Roman" w:hAnsi="Times New Roman" w:cs="Times New Roman"/>
              <w:sz w:val="20"/>
              <w:szCs w:val="20"/>
            </w:rPr>
            <w:br/>
          </m:r>
        </m:oMath>
      </m:oMathPara>
    </w:p>
    <w:p w14:paraId="52DE4D8A" w14:textId="53315C5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A UCS of </w:t>
      </w:r>
      <m:oMath>
        <m:r>
          <w:rPr>
            <w:rFonts w:ascii="Cambria Math" w:hAnsi="Cambria Math" w:cs="Times New Roman"/>
            <w:sz w:val="20"/>
            <w:szCs w:val="20"/>
          </w:rPr>
          <m:t>1.0</m:t>
        </m:r>
      </m:oMath>
      <w:r w:rsidRPr="00B16664">
        <w:rPr>
          <w:rFonts w:ascii="Times New Roman" w:hAnsi="Times New Roman" w:cs="Times New Roman"/>
          <w:sz w:val="20"/>
          <w:szCs w:val="20"/>
        </w:rPr>
        <w:t>indicates perfect alignment between empirical and theoretical coverage. Any deviation in either direction</w:t>
      </w:r>
      <w:r w:rsidR="005C0A98">
        <w:rPr>
          <w:rFonts w:ascii="Times New Roman" w:hAnsi="Times New Roman" w:cs="Times New Roman"/>
          <w:sz w:val="20"/>
          <w:szCs w:val="20"/>
        </w:rPr>
        <w:t xml:space="preserve">, </w:t>
      </w:r>
      <w:r w:rsidRPr="00B16664">
        <w:rPr>
          <w:rFonts w:ascii="Times New Roman" w:hAnsi="Times New Roman" w:cs="Times New Roman"/>
          <w:sz w:val="20"/>
          <w:szCs w:val="20"/>
        </w:rPr>
        <w:t>over-coverage or under-coverage</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reduces UCS below </w:t>
      </w:r>
      <m:oMath>
        <m:r>
          <w:rPr>
            <w:rFonts w:ascii="Cambria Math" w:hAnsi="Cambria Math" w:cs="Times New Roman"/>
            <w:sz w:val="20"/>
            <w:szCs w:val="20"/>
          </w:rPr>
          <m:t>1.0</m:t>
        </m:r>
      </m:oMath>
      <w:r w:rsidRPr="00B16664">
        <w:rPr>
          <w:rFonts w:ascii="Times New Roman" w:hAnsi="Times New Roman" w:cs="Times New Roman"/>
          <w:sz w:val="20"/>
          <w:szCs w:val="20"/>
        </w:rPr>
        <w:t>. This was computed from the CGR value for each model.</w:t>
      </w:r>
    </w:p>
    <w:p w14:paraId="35518F49"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Fast-Path Efficiency (FPE)</w:t>
      </w:r>
    </w:p>
    <w:p w14:paraId="14F2A96E"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FPE quantifies the operational efficiency of CUBD by measuring what fraction of sentences the system resolves directly to a confident single-label prediction without requiring routing to deeper graph-based or human-assisted analysis. High FPE is desirable because it means CUBD is reserving the more expensive deeper analysis only for the genuinely ambiguous cases while efficiently classifying the majority of sentences directly:</w:t>
      </w:r>
    </w:p>
    <w:p w14:paraId="3C5AA67F" w14:textId="4794F195"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FPE=</m:t>
          </m:r>
          <m:f>
            <m:fPr>
              <m:ctrlPr>
                <w:rPr>
                  <w:rFonts w:ascii="Cambria Math" w:hAnsi="Cambria Math" w:cs="Times New Roman"/>
                  <w:sz w:val="20"/>
                  <w:szCs w:val="20"/>
                </w:rPr>
              </m:ctrlPr>
            </m:fPr>
            <m:num>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sub>
                <m:sup/>
                <m:e>
                  <m:r>
                    <m:rPr>
                      <m:scr m:val="double-struck"/>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r>
                    <w:rPr>
                      <w:rFonts w:ascii="Cambria Math" w:hAnsi="Cambria Math" w:cs="Times New Roman"/>
                      <w:sz w:val="20"/>
                      <w:szCs w:val="20"/>
                    </w:rPr>
                    <m:t>∣C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rPr>
                    <m:t>∣=1</m:t>
                  </m:r>
                </m:e>
              </m:d>
            </m:num>
            <m:den>
              <m:r>
                <w:rPr>
                  <w:rFonts w:ascii="Cambria Math" w:hAnsi="Cambria Math" w:cs="Times New Roman"/>
                  <w:sz w:val="20"/>
                  <w:szCs w:val="20"/>
                </w:rPr>
                <m:t>N</m:t>
              </m:r>
            </m:den>
          </m:f>
          <m:r>
            <m:rPr>
              <m:sty m:val="p"/>
            </m:rPr>
            <w:rPr>
              <w:rFonts w:ascii="Times New Roman" w:hAnsi="Times New Roman" w:cs="Times New Roman"/>
              <w:sz w:val="20"/>
              <w:szCs w:val="20"/>
            </w:rPr>
            <w:br/>
          </m:r>
        </m:oMath>
      </m:oMathPara>
    </w:p>
    <w:p w14:paraId="58637876" w14:textId="6F6F93CE"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FPE was computed per model-dataset pair alongside the other CUBD metrics.</w:t>
      </w:r>
    </w:p>
    <w:p w14:paraId="7B1122CD"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Expected Calibration Error (ECE)</w:t>
      </w:r>
    </w:p>
    <w:p w14:paraId="5B710DCE" w14:textId="25E32EE3"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ECE measures the alignment between a model's confidence scores and its actual accuracy</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a well-calibrated model that assigns 80% confidence to a prediction should be correct approximately 80% of the time. Predictions were sorted into ten equal-width bins based on their confidence score, and within each bin the absolute gap between average confidence and average accuracy was computed and weighted by the fraction of total samples falling in that bin:</w:t>
      </w:r>
    </w:p>
    <w:p w14:paraId="1B2B7114" w14:textId="2686285E"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ECE=</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m=1</m:t>
              </m:r>
            </m:sub>
            <m:sup>
              <m:r>
                <w:rPr>
                  <w:rFonts w:ascii="Cambria Math" w:hAnsi="Cambria Math" w:cs="Times New Roman"/>
                  <w:sz w:val="20"/>
                  <w:szCs w:val="20"/>
                </w:rPr>
                <m:t>M</m:t>
              </m:r>
            </m:sup>
            <m:e>
              <m:f>
                <m:fPr>
                  <m:ctrlPr>
                    <w:rPr>
                      <w:rFonts w:ascii="Cambria Math" w:hAnsi="Cambria Math" w:cs="Times New Roman"/>
                      <w:sz w:val="20"/>
                      <w:szCs w:val="20"/>
                    </w:rPr>
                  </m:ctrlPr>
                </m:fPr>
                <m:num>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r>
                    <w:rPr>
                      <w:rFonts w:ascii="Cambria Math" w:hAnsi="Cambria Math" w:cs="Times New Roman"/>
                      <w:sz w:val="20"/>
                      <w:szCs w:val="20"/>
                    </w:rPr>
                    <m:t>∣</m:t>
                  </m:r>
                </m:num>
                <m:den>
                  <m:r>
                    <w:rPr>
                      <w:rFonts w:ascii="Cambria Math" w:hAnsi="Cambria Math" w:cs="Times New Roman"/>
                      <w:sz w:val="20"/>
                      <w:szCs w:val="20"/>
                    </w:rPr>
                    <m:t>N</m:t>
                  </m:r>
                </m:den>
              </m:f>
            </m:e>
          </m:nary>
          <m:d>
            <m:dPr>
              <m:begChr m:val="∣"/>
              <m:endChr m:val="∣"/>
              <m:ctrlPr>
                <w:rPr>
                  <w:rFonts w:ascii="Cambria Math" w:hAnsi="Cambria Math" w:cs="Times New Roman"/>
                  <w:sz w:val="20"/>
                  <w:szCs w:val="20"/>
                </w:rPr>
              </m:ctrlPr>
            </m:dPr>
            <m:e>
              <m:r>
                <m:rPr>
                  <m:nor/>
                </m:rPr>
                <w:rPr>
                  <w:rFonts w:ascii="Times New Roman" w:hAnsi="Times New Roman" w:cs="Times New Roman"/>
                  <w:sz w:val="20"/>
                  <w:szCs w:val="20"/>
                </w:rPr>
                <m:t>acc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e>
              </m:d>
              <m:r>
                <w:rPr>
                  <w:rFonts w:ascii="Cambria Math" w:hAnsi="Cambria Math" w:cs="Times New Roman"/>
                  <w:sz w:val="20"/>
                  <w:szCs w:val="20"/>
                </w:rPr>
                <m:t>-</m:t>
              </m:r>
              <m:r>
                <m:rPr>
                  <m:nor/>
                </m:rPr>
                <w:rPr>
                  <w:rFonts w:ascii="Times New Roman" w:hAnsi="Times New Roman" w:cs="Times New Roman"/>
                  <w:sz w:val="20"/>
                  <w:szCs w:val="20"/>
                </w:rPr>
                <m:t>conf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e>
              </m:d>
            </m:e>
          </m:d>
        </m:oMath>
      </m:oMathPara>
    </w:p>
    <w:p w14:paraId="7CBD3794" w14:textId="7B1F87C8"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B16664">
        <w:rPr>
          <w:rFonts w:ascii="Times New Roman" w:hAnsi="Times New Roman" w:cs="Times New Roman"/>
          <w:sz w:val="20"/>
          <w:szCs w:val="20"/>
        </w:rPr>
        <w:t xml:space="preserve">is the set of samples in confidence bin </w:t>
      </w:r>
      <m:oMath>
        <m:r>
          <w:rPr>
            <w:rFonts w:ascii="Cambria Math" w:hAnsi="Cambria Math" w:cs="Times New Roman"/>
            <w:sz w:val="20"/>
            <w:szCs w:val="20"/>
          </w:rPr>
          <m:t>m</m:t>
        </m:r>
      </m:oMath>
      <w:r w:rsidRPr="00B16664">
        <w:rPr>
          <w:rFonts w:ascii="Times New Roman" w:hAnsi="Times New Roman" w:cs="Times New Roman"/>
          <w:sz w:val="20"/>
          <w:szCs w:val="20"/>
        </w:rPr>
        <w:t xml:space="preserve">, </w:t>
      </w:r>
      <m:oMath>
        <m:r>
          <m:rPr>
            <m:nor/>
          </m:rPr>
          <w:rPr>
            <w:rFonts w:ascii="Times New Roman" w:hAnsi="Times New Roman" w:cs="Times New Roman"/>
            <w:sz w:val="20"/>
            <w:szCs w:val="20"/>
          </w:rPr>
          <m:t>acc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e>
        </m:d>
      </m:oMath>
      <w:r w:rsidRPr="00B16664">
        <w:rPr>
          <w:rFonts w:ascii="Times New Roman" w:hAnsi="Times New Roman" w:cs="Times New Roman"/>
          <w:sz w:val="20"/>
          <w:szCs w:val="20"/>
        </w:rPr>
        <w:t xml:space="preserve">is the accuracy within that bin, and </w:t>
      </w:r>
      <m:oMath>
        <m:r>
          <m:rPr>
            <m:nor/>
          </m:rPr>
          <w:rPr>
            <w:rFonts w:ascii="Times New Roman" w:hAnsi="Times New Roman" w:cs="Times New Roman"/>
            <w:sz w:val="20"/>
            <w:szCs w:val="20"/>
          </w:rPr>
          <m:t>conf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e>
        </m:d>
      </m:oMath>
      <w:r w:rsidRPr="00B16664">
        <w:rPr>
          <w:rFonts w:ascii="Times New Roman" w:hAnsi="Times New Roman" w:cs="Times New Roman"/>
          <w:sz w:val="20"/>
          <w:szCs w:val="20"/>
        </w:rPr>
        <w:t>is the average confidence within that bin. The offensive class softmax probability was used as the confidence score throughout. Lower ECE indicates better calibration. ECE was computed both before CUBD</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using direct argmax predictions</w:t>
      </w:r>
      <w:r w:rsidR="005C0A98">
        <w:rPr>
          <w:rFonts w:ascii="Times New Roman" w:hAnsi="Times New Roman" w:cs="Times New Roman"/>
          <w:sz w:val="20"/>
          <w:szCs w:val="20"/>
        </w:rPr>
        <w:t>,</w:t>
      </w:r>
      <w:r w:rsidRPr="00B16664">
        <w:rPr>
          <w:rFonts w:ascii="Times New Roman" w:hAnsi="Times New Roman" w:cs="Times New Roman"/>
          <w:sz w:val="20"/>
          <w:szCs w:val="20"/>
        </w:rPr>
        <w:t xml:space="preserve"> and after CUBD to demonstrate that the conformal framework improves confidence calibration beyond what the base classifier achieves alone.</w:t>
      </w:r>
    </w:p>
    <w:p w14:paraId="020A1A70"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lastRenderedPageBreak/>
        <w:t>Nonconformity Score</w:t>
      </w:r>
    </w:p>
    <w:p w14:paraId="58A4DCEE" w14:textId="26C5A340"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The nonconformity score is the foundational quantity of the conformal prediction framework. It measures how inconsistent a given sentence is with the model's learned patterns</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in other words, how surprised the model is by its own prediction for that sentence. A sentence whose true label receives high </w:t>
      </w:r>
      <w:proofErr w:type="spellStart"/>
      <w:r w:rsidRPr="00B16664">
        <w:rPr>
          <w:rFonts w:ascii="Times New Roman" w:hAnsi="Times New Roman" w:cs="Times New Roman"/>
          <w:sz w:val="20"/>
          <w:szCs w:val="20"/>
        </w:rPr>
        <w:t>softmax</w:t>
      </w:r>
      <w:proofErr w:type="spellEnd"/>
      <w:r w:rsidRPr="00B16664">
        <w:rPr>
          <w:rFonts w:ascii="Times New Roman" w:hAnsi="Times New Roman" w:cs="Times New Roman"/>
          <w:sz w:val="20"/>
          <w:szCs w:val="20"/>
        </w:rPr>
        <w:t xml:space="preserve"> probability produces a low nonconformity score, indicating good conformity with the model's learned patterns. A sentence whose true label receives low probability produces a high nonconformity score, indicating that the model found this example surprising:</w:t>
      </w:r>
    </w:p>
    <w:p w14:paraId="47BC70AD" w14:textId="03FCC365" w:rsidR="00392FB9" w:rsidRPr="00B16664" w:rsidRDefault="00000000" w:rsidP="00392FB9">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=1-</m:t>
          </m:r>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oMath>
      </m:oMathPara>
    </w:p>
    <w:p w14:paraId="3CF71C15" w14:textId="50577CAE"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oMath>
      <w:r w:rsidRPr="00B16664">
        <w:rPr>
          <w:rFonts w:ascii="Times New Roman" w:hAnsi="Times New Roman" w:cs="Times New Roman"/>
          <w:sz w:val="20"/>
          <w:szCs w:val="20"/>
        </w:rPr>
        <w:t xml:space="preserve">is the softmax probability that the model assigned to the true label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oMath>
      <w:r w:rsidRPr="00B16664">
        <w:rPr>
          <w:rFonts w:ascii="Times New Roman" w:hAnsi="Times New Roman" w:cs="Times New Roman"/>
          <w:sz w:val="20"/>
          <w:szCs w:val="20"/>
        </w:rPr>
        <w:t xml:space="preserve">. During calibration, nonconformity scores were computed for all calibration set samples and sorted in ascending order. The </w:t>
      </w:r>
      <m:oMath>
        <m:d>
          <m:dPr>
            <m:ctrlPr>
              <w:rPr>
                <w:rFonts w:ascii="Cambria Math" w:hAnsi="Cambria Math" w:cs="Times New Roman"/>
                <w:sz w:val="20"/>
                <w:szCs w:val="20"/>
              </w:rPr>
            </m:ctrlPr>
          </m:dPr>
          <m:e>
            <m:r>
              <w:rPr>
                <w:rFonts w:ascii="Cambria Math" w:hAnsi="Cambria Math" w:cs="Times New Roman"/>
                <w:sz w:val="20"/>
                <w:szCs w:val="20"/>
              </w:rPr>
              <m:t>1-α</m:t>
            </m:r>
          </m:e>
        </m:d>
      </m:oMath>
      <w:r w:rsidRPr="00B16664">
        <w:rPr>
          <w:rFonts w:ascii="Times New Roman" w:hAnsi="Times New Roman" w:cs="Times New Roman"/>
          <w:sz w:val="20"/>
          <w:szCs w:val="20"/>
        </w:rPr>
        <w:t xml:space="preserve">quantile of this sorted distribution was taken as the conformal threshold </w:t>
      </w:r>
      <m:oMath>
        <m:acc>
          <m:accPr>
            <m:ctrlPr>
              <w:rPr>
                <w:rFonts w:ascii="Cambria Math" w:hAnsi="Cambria Math" w:cs="Times New Roman"/>
                <w:sz w:val="20"/>
                <w:szCs w:val="20"/>
              </w:rPr>
            </m:ctrlPr>
          </m:accPr>
          <m:e>
            <m:r>
              <w:rPr>
                <w:rFonts w:ascii="Cambria Math" w:hAnsi="Cambria Math" w:cs="Times New Roman"/>
                <w:sz w:val="20"/>
                <w:szCs w:val="20"/>
              </w:rPr>
              <m:t>τ</m:t>
            </m:r>
          </m:e>
        </m:acc>
      </m:oMath>
      <w:r w:rsidRPr="00B16664">
        <w:rPr>
          <w:rFonts w:ascii="Times New Roman" w:hAnsi="Times New Roman" w:cs="Times New Roman"/>
          <w:sz w:val="20"/>
          <w:szCs w:val="20"/>
        </w:rPr>
        <w:t xml:space="preserve">. During testing, for each test sentence and each possible label, the nonconformity score was computed under the assumption that the label </w:t>
      </w:r>
      <w:proofErr w:type="gramStart"/>
      <w:r w:rsidRPr="00B16664">
        <w:rPr>
          <w:rFonts w:ascii="Times New Roman" w:hAnsi="Times New Roman" w:cs="Times New Roman"/>
          <w:sz w:val="20"/>
          <w:szCs w:val="20"/>
        </w:rPr>
        <w:t>were</w:t>
      </w:r>
      <w:proofErr w:type="gramEnd"/>
      <w:r w:rsidRPr="00B16664">
        <w:rPr>
          <w:rFonts w:ascii="Times New Roman" w:hAnsi="Times New Roman" w:cs="Times New Roman"/>
          <w:sz w:val="20"/>
          <w:szCs w:val="20"/>
        </w:rPr>
        <w:t xml:space="preserve"> true, and this score was compared against the calibration distribution to determine the label's p-value.</w:t>
      </w:r>
    </w:p>
    <w:p w14:paraId="6EFD228D" w14:textId="77777777" w:rsidR="00392FB9" w:rsidRPr="00B16664" w:rsidRDefault="00392FB9" w:rsidP="00D07554">
      <w:pPr>
        <w:shd w:val="clear" w:color="auto" w:fill="BFBFBF" w:themeFill="background1" w:themeFillShade="BF"/>
        <w:jc w:val="center"/>
        <w:rPr>
          <w:rFonts w:ascii="Times New Roman" w:hAnsi="Times New Roman" w:cs="Times New Roman"/>
          <w:sz w:val="20"/>
          <w:szCs w:val="20"/>
        </w:rPr>
      </w:pPr>
      <w:r w:rsidRPr="00B16664">
        <w:rPr>
          <w:rFonts w:ascii="Times New Roman" w:hAnsi="Times New Roman" w:cs="Times New Roman"/>
          <w:b/>
          <w:bCs/>
          <w:sz w:val="20"/>
          <w:szCs w:val="20"/>
        </w:rPr>
        <w:t>P-Value and Prediction Set Construction</w:t>
      </w:r>
    </w:p>
    <w:p w14:paraId="00235BA9" w14:textId="77777777" w:rsidR="00392FB9" w:rsidRPr="00B16664" w:rsidRDefault="00392FB9" w:rsidP="00392FB9">
      <w:pPr>
        <w:jc w:val="both"/>
        <w:rPr>
          <w:rFonts w:ascii="Times New Roman" w:hAnsi="Times New Roman" w:cs="Times New Roman"/>
          <w:sz w:val="20"/>
          <w:szCs w:val="20"/>
        </w:rPr>
      </w:pPr>
      <w:r w:rsidRPr="00B16664">
        <w:rPr>
          <w:rFonts w:ascii="Times New Roman" w:hAnsi="Times New Roman" w:cs="Times New Roman"/>
          <w:sz w:val="20"/>
          <w:szCs w:val="20"/>
        </w:rPr>
        <w:t>For each test sentence, a separate p-value was computed for each possible label by measuring what fraction of calibration nonconformity scores were at least as extreme as the nonconformity score the test sentence would produce if that label were its true label. Laplace smoothing was applied by adding one to both the numerator and denominator, which is standard practice in conformal prediction to ensure that p-values are valid even for out-of-distribution inputs:</w:t>
      </w:r>
    </w:p>
    <w:p w14:paraId="67800D2D" w14:textId="475704F7" w:rsidR="00392FB9" w:rsidRPr="00B16664" w:rsidRDefault="00392FB9" w:rsidP="00392FB9">
      <w:pPr>
        <w:jc w:val="both"/>
        <w:rPr>
          <w:rFonts w:ascii="Times New Roman" w:hAnsi="Times New Roman" w:cs="Times New Roman"/>
          <w:sz w:val="20"/>
          <w:szCs w:val="20"/>
        </w:rPr>
      </w:pPr>
      <m:oMathPara>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y</m:t>
              </m:r>
            </m:e>
          </m:d>
          <m:r>
            <w:rPr>
              <w:rFonts w:ascii="Cambria Math" w:hAnsi="Cambria Math" w:cs="Times New Roman"/>
              <w:sz w:val="20"/>
              <w:szCs w:val="20"/>
            </w:rPr>
            <m:t>=</m:t>
          </m:r>
          <m:f>
            <m:fPr>
              <m:ctrlPr>
                <w:rPr>
                  <w:rFonts w:ascii="Cambria Math" w:hAnsi="Cambria Math" w:cs="Times New Roman"/>
                  <w:sz w:val="20"/>
                  <w:szCs w:val="20"/>
                </w:rPr>
              </m:ctrlPr>
            </m:fPr>
            <m:num>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≥1-</m:t>
                      </m:r>
                      <m:acc>
                        <m:accPr>
                          <m:ctrlPr>
                            <w:rPr>
                              <w:rFonts w:ascii="Cambria Math" w:hAnsi="Cambria Math" w:cs="Times New Roman"/>
                              <w:sz w:val="20"/>
                              <w:szCs w:val="20"/>
                            </w:rPr>
                          </m:ctrlPr>
                        </m:accPr>
                        <m:e>
                          <m:r>
                            <w:rPr>
                              <w:rFonts w:ascii="Cambria Math" w:hAnsi="Cambria Math" w:cs="Times New Roman"/>
                              <w:sz w:val="20"/>
                              <w:szCs w:val="20"/>
                            </w:rPr>
                            <m:t>p</m:t>
                          </m:r>
                        </m:e>
                      </m:acc>
                      <m:d>
                        <m:dPr>
                          <m:ctrlPr>
                            <w:rPr>
                              <w:rFonts w:ascii="Cambria Math" w:hAnsi="Cambria Math" w:cs="Times New Roman"/>
                              <w:sz w:val="20"/>
                              <w:szCs w:val="20"/>
                            </w:rPr>
                          </m:ctrlPr>
                        </m:dPr>
                        <m:e>
                          <m:r>
                            <w:rPr>
                              <w:rFonts w:ascii="Cambria Math" w:hAnsi="Cambria Math" w:cs="Times New Roman"/>
                              <w:sz w:val="20"/>
                              <w:szCs w:val="20"/>
                            </w:rPr>
                            <m:t>y∣x</m:t>
                          </m:r>
                        </m:e>
                      </m:d>
                    </m:e>
                  </m:d>
                </m:e>
              </m:d>
              <m:r>
                <w:rPr>
                  <w:rFonts w:ascii="Cambria Math" w:hAnsi="Cambria Math" w:cs="Times New Roman"/>
                  <w:sz w:val="20"/>
                  <w:szCs w:val="20"/>
                </w:rPr>
                <m:t>+1</m:t>
              </m:r>
            </m:num>
            <m:den>
              <m:r>
                <w:rPr>
                  <w:rFonts w:ascii="Cambria Math" w:hAnsi="Cambria Math" w:cs="Times New Roman"/>
                  <w:sz w:val="20"/>
                  <w:szCs w:val="20"/>
                </w:rPr>
                <m:t>m+1</m:t>
              </m:r>
            </m:den>
          </m:f>
        </m:oMath>
      </m:oMathPara>
    </w:p>
    <w:p w14:paraId="0C7E1094" w14:textId="0B8C91E7" w:rsidR="009E6FD5" w:rsidRPr="00B16664" w:rsidRDefault="00392FB9" w:rsidP="00C707E1">
      <w:pPr>
        <w:jc w:val="both"/>
        <w:rPr>
          <w:rFonts w:ascii="Times New Roman" w:hAnsi="Times New Roman" w:cs="Times New Roman"/>
          <w:sz w:val="20"/>
          <w:szCs w:val="20"/>
        </w:rPr>
      </w:pPr>
      <w:r w:rsidRPr="00B16664">
        <w:rPr>
          <w:rFonts w:ascii="Times New Roman" w:hAnsi="Times New Roman" w:cs="Times New Roman"/>
          <w:sz w:val="20"/>
          <w:szCs w:val="20"/>
        </w:rPr>
        <w:t xml:space="preserve">where </w:t>
      </w:r>
      <m:oMath>
        <m:r>
          <w:rPr>
            <w:rFonts w:ascii="Cambria Math" w:hAnsi="Cambria Math" w:cs="Times New Roman"/>
            <w:sz w:val="20"/>
            <w:szCs w:val="20"/>
          </w:rPr>
          <m:t>m</m:t>
        </m:r>
      </m:oMath>
      <w:r w:rsidRPr="00B16664">
        <w:rPr>
          <w:rFonts w:ascii="Times New Roman" w:hAnsi="Times New Roman" w:cs="Times New Roman"/>
          <w:sz w:val="20"/>
          <w:szCs w:val="20"/>
        </w:rPr>
        <w:t xml:space="preserve">is the number of calibration samples. Each label whose p-value exceeded </w:t>
      </w:r>
      <m:oMath>
        <m:r>
          <w:rPr>
            <w:rFonts w:ascii="Cambria Math" w:hAnsi="Cambria Math" w:cs="Times New Roman"/>
            <w:sz w:val="20"/>
            <w:szCs w:val="20"/>
          </w:rPr>
          <m:t>α=0.10</m:t>
        </m:r>
      </m:oMath>
      <w:r w:rsidRPr="00B16664">
        <w:rPr>
          <w:rFonts w:ascii="Times New Roman" w:hAnsi="Times New Roman" w:cs="Times New Roman"/>
          <w:sz w:val="20"/>
          <w:szCs w:val="20"/>
        </w:rPr>
        <w:t xml:space="preserve">was included in the prediction set </w:t>
      </w:r>
      <m:oMath>
        <m:r>
          <w:rPr>
            <w:rFonts w:ascii="Cambria Math" w:hAnsi="Cambria Math" w:cs="Times New Roman"/>
            <w:sz w:val="20"/>
            <w:szCs w:val="20"/>
          </w:rPr>
          <m:t>C</m:t>
        </m:r>
        <m:d>
          <m:dPr>
            <m:ctrlPr>
              <w:rPr>
                <w:rFonts w:ascii="Cambria Math" w:hAnsi="Cambria Math" w:cs="Times New Roman"/>
                <w:sz w:val="20"/>
                <w:szCs w:val="20"/>
              </w:rPr>
            </m:ctrlPr>
          </m:dPr>
          <m:e>
            <m:r>
              <w:rPr>
                <w:rFonts w:ascii="Cambria Math" w:hAnsi="Cambria Math" w:cs="Times New Roman"/>
                <w:sz w:val="20"/>
                <w:szCs w:val="20"/>
              </w:rPr>
              <m:t>x</m:t>
            </m:r>
          </m:e>
        </m:d>
      </m:oMath>
      <w:r w:rsidRPr="00B16664">
        <w:rPr>
          <w:rFonts w:ascii="Times New Roman" w:hAnsi="Times New Roman" w:cs="Times New Roman"/>
          <w:sz w:val="20"/>
          <w:szCs w:val="20"/>
        </w:rPr>
        <w:t>. A prediction set of size one indicated confident classification and the sentence was routed directly to the final output. A prediction set of size two indicated genuine uncertainty and the sentence was flagged for deeper analysis. A prediction set of size zero</w:t>
      </w:r>
      <w:r w:rsidR="00B5242C">
        <w:rPr>
          <w:rFonts w:ascii="Times New Roman" w:hAnsi="Times New Roman" w:cs="Times New Roman"/>
          <w:sz w:val="20"/>
          <w:szCs w:val="20"/>
        </w:rPr>
        <w:t>,</w:t>
      </w:r>
      <w:r w:rsidRPr="00B16664">
        <w:rPr>
          <w:rFonts w:ascii="Times New Roman" w:hAnsi="Times New Roman" w:cs="Times New Roman"/>
          <w:sz w:val="20"/>
          <w:szCs w:val="20"/>
        </w:rPr>
        <w:t xml:space="preserve"> where neither label exceeded the threshold</w:t>
      </w:r>
      <w:r w:rsidR="00B5242C">
        <w:rPr>
          <w:rFonts w:ascii="Times New Roman" w:hAnsi="Times New Roman" w:cs="Times New Roman"/>
          <w:sz w:val="20"/>
          <w:szCs w:val="20"/>
        </w:rPr>
        <w:t xml:space="preserve">, </w:t>
      </w:r>
      <w:r w:rsidRPr="00B16664">
        <w:rPr>
          <w:rFonts w:ascii="Times New Roman" w:hAnsi="Times New Roman" w:cs="Times New Roman"/>
          <w:sz w:val="20"/>
          <w:szCs w:val="20"/>
        </w:rPr>
        <w:t>indicated a high-uncertainty rejection case requiring human review</w:t>
      </w:r>
    </w:p>
    <w:sectPr w:rsidR="009E6FD5" w:rsidRPr="00B16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805"/>
    <w:multiLevelType w:val="multilevel"/>
    <w:tmpl w:val="90D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5FC9"/>
    <w:multiLevelType w:val="hybridMultilevel"/>
    <w:tmpl w:val="25D0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70325"/>
    <w:multiLevelType w:val="hybridMultilevel"/>
    <w:tmpl w:val="B8A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266AD"/>
    <w:multiLevelType w:val="multilevel"/>
    <w:tmpl w:val="90D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37064"/>
    <w:multiLevelType w:val="multilevel"/>
    <w:tmpl w:val="E908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81961"/>
    <w:multiLevelType w:val="hybridMultilevel"/>
    <w:tmpl w:val="BCBC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17F56"/>
    <w:multiLevelType w:val="multilevel"/>
    <w:tmpl w:val="AA9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C7965"/>
    <w:multiLevelType w:val="multilevel"/>
    <w:tmpl w:val="BAF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03C2D"/>
    <w:multiLevelType w:val="hybridMultilevel"/>
    <w:tmpl w:val="A670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4D774F"/>
    <w:multiLevelType w:val="hybridMultilevel"/>
    <w:tmpl w:val="998E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E3896"/>
    <w:multiLevelType w:val="multilevel"/>
    <w:tmpl w:val="28B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02704"/>
    <w:multiLevelType w:val="multilevel"/>
    <w:tmpl w:val="182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A64E7"/>
    <w:multiLevelType w:val="multilevel"/>
    <w:tmpl w:val="31167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7407E"/>
    <w:multiLevelType w:val="hybridMultilevel"/>
    <w:tmpl w:val="DED0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B24E2"/>
    <w:multiLevelType w:val="hybridMultilevel"/>
    <w:tmpl w:val="3F16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B61021"/>
    <w:multiLevelType w:val="hybridMultilevel"/>
    <w:tmpl w:val="C5DE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51B32"/>
    <w:multiLevelType w:val="multilevel"/>
    <w:tmpl w:val="F06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73880"/>
    <w:multiLevelType w:val="multilevel"/>
    <w:tmpl w:val="A0A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201C3"/>
    <w:multiLevelType w:val="hybridMultilevel"/>
    <w:tmpl w:val="9FCA9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A3FA4"/>
    <w:multiLevelType w:val="multilevel"/>
    <w:tmpl w:val="82A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632D0"/>
    <w:multiLevelType w:val="multilevel"/>
    <w:tmpl w:val="17F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F6224"/>
    <w:multiLevelType w:val="hybridMultilevel"/>
    <w:tmpl w:val="8F08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76532"/>
    <w:multiLevelType w:val="hybridMultilevel"/>
    <w:tmpl w:val="640A69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2B2294"/>
    <w:multiLevelType w:val="multilevel"/>
    <w:tmpl w:val="97F8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441A48"/>
    <w:multiLevelType w:val="hybridMultilevel"/>
    <w:tmpl w:val="026A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7C392D"/>
    <w:multiLevelType w:val="multilevel"/>
    <w:tmpl w:val="424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F4320"/>
    <w:multiLevelType w:val="hybridMultilevel"/>
    <w:tmpl w:val="B68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EB7017"/>
    <w:multiLevelType w:val="multilevel"/>
    <w:tmpl w:val="F5B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0405F"/>
    <w:multiLevelType w:val="multilevel"/>
    <w:tmpl w:val="7D44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65B0E"/>
    <w:multiLevelType w:val="hybridMultilevel"/>
    <w:tmpl w:val="CAFCD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03357"/>
    <w:multiLevelType w:val="multilevel"/>
    <w:tmpl w:val="8AB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145128">
    <w:abstractNumId w:val="30"/>
  </w:num>
  <w:num w:numId="2" w16cid:durableId="962267954">
    <w:abstractNumId w:val="20"/>
  </w:num>
  <w:num w:numId="3" w16cid:durableId="690228895">
    <w:abstractNumId w:val="0"/>
  </w:num>
  <w:num w:numId="4" w16cid:durableId="1654988231">
    <w:abstractNumId w:val="5"/>
  </w:num>
  <w:num w:numId="5" w16cid:durableId="1545554971">
    <w:abstractNumId w:val="26"/>
  </w:num>
  <w:num w:numId="6" w16cid:durableId="1400904157">
    <w:abstractNumId w:val="21"/>
  </w:num>
  <w:num w:numId="7" w16cid:durableId="1364012017">
    <w:abstractNumId w:val="22"/>
  </w:num>
  <w:num w:numId="8" w16cid:durableId="548684286">
    <w:abstractNumId w:val="29"/>
  </w:num>
  <w:num w:numId="9" w16cid:durableId="1220366618">
    <w:abstractNumId w:val="28"/>
  </w:num>
  <w:num w:numId="10" w16cid:durableId="2113696723">
    <w:abstractNumId w:val="16"/>
  </w:num>
  <w:num w:numId="11" w16cid:durableId="2065760468">
    <w:abstractNumId w:val="23"/>
  </w:num>
  <w:num w:numId="12" w16cid:durableId="1690640131">
    <w:abstractNumId w:val="27"/>
  </w:num>
  <w:num w:numId="13" w16cid:durableId="2009013311">
    <w:abstractNumId w:val="19"/>
  </w:num>
  <w:num w:numId="14" w16cid:durableId="1276407033">
    <w:abstractNumId w:val="7"/>
  </w:num>
  <w:num w:numId="15" w16cid:durableId="1166897168">
    <w:abstractNumId w:val="25"/>
  </w:num>
  <w:num w:numId="16" w16cid:durableId="928848826">
    <w:abstractNumId w:val="6"/>
  </w:num>
  <w:num w:numId="17" w16cid:durableId="963847807">
    <w:abstractNumId w:val="3"/>
  </w:num>
  <w:num w:numId="18" w16cid:durableId="1470292">
    <w:abstractNumId w:val="17"/>
  </w:num>
  <w:num w:numId="19" w16cid:durableId="1229338611">
    <w:abstractNumId w:val="12"/>
  </w:num>
  <w:num w:numId="20" w16cid:durableId="342588004">
    <w:abstractNumId w:val="8"/>
  </w:num>
  <w:num w:numId="21" w16cid:durableId="1029139308">
    <w:abstractNumId w:val="11"/>
  </w:num>
  <w:num w:numId="22" w16cid:durableId="932082371">
    <w:abstractNumId w:val="24"/>
  </w:num>
  <w:num w:numId="23" w16cid:durableId="1281450354">
    <w:abstractNumId w:val="10"/>
  </w:num>
  <w:num w:numId="24" w16cid:durableId="67268207">
    <w:abstractNumId w:val="4"/>
  </w:num>
  <w:num w:numId="25" w16cid:durableId="961810008">
    <w:abstractNumId w:val="2"/>
  </w:num>
  <w:num w:numId="26" w16cid:durableId="1616281576">
    <w:abstractNumId w:val="15"/>
  </w:num>
  <w:num w:numId="27" w16cid:durableId="913858035">
    <w:abstractNumId w:val="1"/>
  </w:num>
  <w:num w:numId="28" w16cid:durableId="97220063">
    <w:abstractNumId w:val="14"/>
  </w:num>
  <w:num w:numId="29" w16cid:durableId="1286542118">
    <w:abstractNumId w:val="13"/>
  </w:num>
  <w:num w:numId="30" w16cid:durableId="2125615600">
    <w:abstractNumId w:val="9"/>
  </w:num>
  <w:num w:numId="31" w16cid:durableId="10474148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FD"/>
    <w:rsid w:val="00033D03"/>
    <w:rsid w:val="000C0193"/>
    <w:rsid w:val="000F088E"/>
    <w:rsid w:val="001515CE"/>
    <w:rsid w:val="001742F2"/>
    <w:rsid w:val="001B1341"/>
    <w:rsid w:val="001C77D9"/>
    <w:rsid w:val="001D57D8"/>
    <w:rsid w:val="0023565B"/>
    <w:rsid w:val="002815D6"/>
    <w:rsid w:val="002944E1"/>
    <w:rsid w:val="002A6A90"/>
    <w:rsid w:val="002D459C"/>
    <w:rsid w:val="002D4F7F"/>
    <w:rsid w:val="00331E2B"/>
    <w:rsid w:val="0033480D"/>
    <w:rsid w:val="00392FB9"/>
    <w:rsid w:val="00492923"/>
    <w:rsid w:val="00576C9D"/>
    <w:rsid w:val="005B156C"/>
    <w:rsid w:val="005C0A98"/>
    <w:rsid w:val="005F14E4"/>
    <w:rsid w:val="00656738"/>
    <w:rsid w:val="00690201"/>
    <w:rsid w:val="006C038D"/>
    <w:rsid w:val="006C3E55"/>
    <w:rsid w:val="007154D1"/>
    <w:rsid w:val="00726438"/>
    <w:rsid w:val="00731AB5"/>
    <w:rsid w:val="007359C6"/>
    <w:rsid w:val="00750E41"/>
    <w:rsid w:val="00912DF2"/>
    <w:rsid w:val="00921A4B"/>
    <w:rsid w:val="009312E6"/>
    <w:rsid w:val="009562C1"/>
    <w:rsid w:val="00995389"/>
    <w:rsid w:val="009C24B2"/>
    <w:rsid w:val="009E6FD5"/>
    <w:rsid w:val="009E7FA2"/>
    <w:rsid w:val="00A22016"/>
    <w:rsid w:val="00A333D1"/>
    <w:rsid w:val="00A56CE3"/>
    <w:rsid w:val="00A773AC"/>
    <w:rsid w:val="00A81DED"/>
    <w:rsid w:val="00A83CBD"/>
    <w:rsid w:val="00A878EF"/>
    <w:rsid w:val="00AC585E"/>
    <w:rsid w:val="00B16664"/>
    <w:rsid w:val="00B5242C"/>
    <w:rsid w:val="00B649EA"/>
    <w:rsid w:val="00B932FF"/>
    <w:rsid w:val="00BA1916"/>
    <w:rsid w:val="00BB142D"/>
    <w:rsid w:val="00BB4100"/>
    <w:rsid w:val="00BE3B75"/>
    <w:rsid w:val="00BE465E"/>
    <w:rsid w:val="00C41C98"/>
    <w:rsid w:val="00C707E1"/>
    <w:rsid w:val="00D07554"/>
    <w:rsid w:val="00D579B8"/>
    <w:rsid w:val="00DA460A"/>
    <w:rsid w:val="00DF56BA"/>
    <w:rsid w:val="00E93FFD"/>
    <w:rsid w:val="00EE4FFD"/>
    <w:rsid w:val="00FB3D8E"/>
    <w:rsid w:val="00FF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8EB6"/>
  <w15:chartTrackingRefBased/>
  <w15:docId w15:val="{59021E35-65CF-47CF-B1B0-677CA3C0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9D"/>
  </w:style>
  <w:style w:type="paragraph" w:styleId="Heading1">
    <w:name w:val="heading 1"/>
    <w:basedOn w:val="Normal"/>
    <w:next w:val="Normal"/>
    <w:link w:val="Heading1Char"/>
    <w:uiPriority w:val="9"/>
    <w:qFormat/>
    <w:rsid w:val="00E93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FFD"/>
    <w:rPr>
      <w:rFonts w:eastAsiaTheme="majorEastAsia" w:cstheme="majorBidi"/>
      <w:color w:val="272727" w:themeColor="text1" w:themeTint="D8"/>
    </w:rPr>
  </w:style>
  <w:style w:type="paragraph" w:styleId="Title">
    <w:name w:val="Title"/>
    <w:basedOn w:val="Normal"/>
    <w:next w:val="Normal"/>
    <w:link w:val="TitleChar"/>
    <w:uiPriority w:val="10"/>
    <w:qFormat/>
    <w:rsid w:val="00E93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FFD"/>
    <w:pPr>
      <w:spacing w:before="160"/>
      <w:jc w:val="center"/>
    </w:pPr>
    <w:rPr>
      <w:i/>
      <w:iCs/>
      <w:color w:val="404040" w:themeColor="text1" w:themeTint="BF"/>
    </w:rPr>
  </w:style>
  <w:style w:type="character" w:customStyle="1" w:styleId="QuoteChar">
    <w:name w:val="Quote Char"/>
    <w:basedOn w:val="DefaultParagraphFont"/>
    <w:link w:val="Quote"/>
    <w:uiPriority w:val="29"/>
    <w:rsid w:val="00E93FFD"/>
    <w:rPr>
      <w:i/>
      <w:iCs/>
      <w:color w:val="404040" w:themeColor="text1" w:themeTint="BF"/>
    </w:rPr>
  </w:style>
  <w:style w:type="paragraph" w:styleId="ListParagraph">
    <w:name w:val="List Paragraph"/>
    <w:basedOn w:val="Normal"/>
    <w:uiPriority w:val="34"/>
    <w:qFormat/>
    <w:rsid w:val="00E93FFD"/>
    <w:pPr>
      <w:ind w:left="720"/>
      <w:contextualSpacing/>
    </w:pPr>
  </w:style>
  <w:style w:type="character" w:styleId="IntenseEmphasis">
    <w:name w:val="Intense Emphasis"/>
    <w:basedOn w:val="DefaultParagraphFont"/>
    <w:uiPriority w:val="21"/>
    <w:qFormat/>
    <w:rsid w:val="00E93FFD"/>
    <w:rPr>
      <w:i/>
      <w:iCs/>
      <w:color w:val="0F4761" w:themeColor="accent1" w:themeShade="BF"/>
    </w:rPr>
  </w:style>
  <w:style w:type="paragraph" w:styleId="IntenseQuote">
    <w:name w:val="Intense Quote"/>
    <w:basedOn w:val="Normal"/>
    <w:next w:val="Normal"/>
    <w:link w:val="IntenseQuoteChar"/>
    <w:uiPriority w:val="30"/>
    <w:qFormat/>
    <w:rsid w:val="00E93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FFD"/>
    <w:rPr>
      <w:i/>
      <w:iCs/>
      <w:color w:val="0F4761" w:themeColor="accent1" w:themeShade="BF"/>
    </w:rPr>
  </w:style>
  <w:style w:type="character" w:styleId="IntenseReference">
    <w:name w:val="Intense Reference"/>
    <w:basedOn w:val="DefaultParagraphFont"/>
    <w:uiPriority w:val="32"/>
    <w:qFormat/>
    <w:rsid w:val="00E93FFD"/>
    <w:rPr>
      <w:b/>
      <w:bCs/>
      <w:smallCaps/>
      <w:color w:val="0F4761" w:themeColor="accent1" w:themeShade="BF"/>
      <w:spacing w:val="5"/>
    </w:rPr>
  </w:style>
  <w:style w:type="paragraph" w:customStyle="1" w:styleId="msonormal0">
    <w:name w:val="msonormal"/>
    <w:basedOn w:val="Normal"/>
    <w:rsid w:val="001B13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B13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1341"/>
    <w:rPr>
      <w:b/>
      <w:bCs/>
    </w:rPr>
  </w:style>
  <w:style w:type="character" w:customStyle="1" w:styleId="katex-display">
    <w:name w:val="katex-display"/>
    <w:basedOn w:val="DefaultParagraphFont"/>
    <w:rsid w:val="001B1341"/>
  </w:style>
  <w:style w:type="character" w:customStyle="1" w:styleId="katex">
    <w:name w:val="katex"/>
    <w:basedOn w:val="DefaultParagraphFont"/>
    <w:rsid w:val="001B1341"/>
  </w:style>
  <w:style w:type="character" w:customStyle="1" w:styleId="katex-mathml">
    <w:name w:val="katex-mathml"/>
    <w:basedOn w:val="DefaultParagraphFont"/>
    <w:rsid w:val="001B1341"/>
  </w:style>
  <w:style w:type="character" w:customStyle="1" w:styleId="katex-html">
    <w:name w:val="katex-html"/>
    <w:basedOn w:val="DefaultParagraphFont"/>
    <w:rsid w:val="001B1341"/>
  </w:style>
  <w:style w:type="character" w:customStyle="1" w:styleId="base">
    <w:name w:val="base"/>
    <w:basedOn w:val="DefaultParagraphFont"/>
    <w:rsid w:val="001B1341"/>
  </w:style>
  <w:style w:type="character" w:customStyle="1" w:styleId="strut">
    <w:name w:val="strut"/>
    <w:basedOn w:val="DefaultParagraphFont"/>
    <w:rsid w:val="001B1341"/>
  </w:style>
  <w:style w:type="character" w:customStyle="1" w:styleId="mord">
    <w:name w:val="mord"/>
    <w:basedOn w:val="DefaultParagraphFont"/>
    <w:rsid w:val="001B1341"/>
  </w:style>
  <w:style w:type="character" w:customStyle="1" w:styleId="mspace">
    <w:name w:val="mspace"/>
    <w:basedOn w:val="DefaultParagraphFont"/>
    <w:rsid w:val="001B1341"/>
  </w:style>
  <w:style w:type="character" w:customStyle="1" w:styleId="mrel">
    <w:name w:val="mrel"/>
    <w:basedOn w:val="DefaultParagraphFont"/>
    <w:rsid w:val="001B1341"/>
  </w:style>
  <w:style w:type="character" w:customStyle="1" w:styleId="mopen">
    <w:name w:val="mopen"/>
    <w:basedOn w:val="DefaultParagraphFont"/>
    <w:rsid w:val="001B1341"/>
  </w:style>
  <w:style w:type="character" w:customStyle="1" w:styleId="mfrac">
    <w:name w:val="mfrac"/>
    <w:basedOn w:val="DefaultParagraphFont"/>
    <w:rsid w:val="001B1341"/>
  </w:style>
  <w:style w:type="character" w:customStyle="1" w:styleId="vlist-t">
    <w:name w:val="vlist-t"/>
    <w:basedOn w:val="DefaultParagraphFont"/>
    <w:rsid w:val="001B1341"/>
  </w:style>
  <w:style w:type="character" w:customStyle="1" w:styleId="vlist-r">
    <w:name w:val="vlist-r"/>
    <w:basedOn w:val="DefaultParagraphFont"/>
    <w:rsid w:val="001B1341"/>
  </w:style>
  <w:style w:type="character" w:customStyle="1" w:styleId="vlist">
    <w:name w:val="vlist"/>
    <w:basedOn w:val="DefaultParagraphFont"/>
    <w:rsid w:val="001B1341"/>
  </w:style>
  <w:style w:type="character" w:customStyle="1" w:styleId="pstrut">
    <w:name w:val="pstrut"/>
    <w:basedOn w:val="DefaultParagraphFont"/>
    <w:rsid w:val="001B1341"/>
  </w:style>
  <w:style w:type="character" w:customStyle="1" w:styleId="frac-line">
    <w:name w:val="frac-line"/>
    <w:basedOn w:val="DefaultParagraphFont"/>
    <w:rsid w:val="001B1341"/>
  </w:style>
  <w:style w:type="character" w:customStyle="1" w:styleId="vlist-s">
    <w:name w:val="vlist-s"/>
    <w:basedOn w:val="DefaultParagraphFont"/>
    <w:rsid w:val="001B1341"/>
  </w:style>
  <w:style w:type="character" w:customStyle="1" w:styleId="mclose">
    <w:name w:val="mclose"/>
    <w:basedOn w:val="DefaultParagraphFont"/>
    <w:rsid w:val="001B1341"/>
  </w:style>
  <w:style w:type="character" w:customStyle="1" w:styleId="mop">
    <w:name w:val="mop"/>
    <w:basedOn w:val="DefaultParagraphFont"/>
    <w:rsid w:val="001B1341"/>
  </w:style>
  <w:style w:type="character" w:customStyle="1" w:styleId="sizing">
    <w:name w:val="sizing"/>
    <w:basedOn w:val="DefaultParagraphFont"/>
    <w:rsid w:val="001B1341"/>
  </w:style>
  <w:style w:type="character" w:customStyle="1" w:styleId="msupsub">
    <w:name w:val="msupsub"/>
    <w:basedOn w:val="DefaultParagraphFont"/>
    <w:rsid w:val="001B1341"/>
  </w:style>
  <w:style w:type="character" w:customStyle="1" w:styleId="mbin">
    <w:name w:val="mbin"/>
    <w:basedOn w:val="DefaultParagraphFont"/>
    <w:rsid w:val="001B1341"/>
  </w:style>
  <w:style w:type="character" w:customStyle="1" w:styleId="svg-align">
    <w:name w:val="svg-align"/>
    <w:basedOn w:val="DefaultParagraphFont"/>
    <w:rsid w:val="001B1341"/>
  </w:style>
  <w:style w:type="character" w:customStyle="1" w:styleId="hide-tail">
    <w:name w:val="hide-tail"/>
    <w:basedOn w:val="DefaultParagraphFont"/>
    <w:rsid w:val="001B1341"/>
  </w:style>
  <w:style w:type="character" w:customStyle="1" w:styleId="mpunct">
    <w:name w:val="mpunct"/>
    <w:basedOn w:val="DefaultParagraphFont"/>
    <w:rsid w:val="001B1341"/>
  </w:style>
  <w:style w:type="character" w:customStyle="1" w:styleId="accent-body">
    <w:name w:val="accent-body"/>
    <w:basedOn w:val="DefaultParagraphFont"/>
    <w:rsid w:val="001B1341"/>
  </w:style>
  <w:style w:type="character" w:customStyle="1" w:styleId="thinbox">
    <w:name w:val="thinbox"/>
    <w:basedOn w:val="DefaultParagraphFont"/>
    <w:rsid w:val="001B1341"/>
  </w:style>
  <w:style w:type="character" w:customStyle="1" w:styleId="rlap">
    <w:name w:val="rlap"/>
    <w:basedOn w:val="DefaultParagraphFont"/>
    <w:rsid w:val="001B1341"/>
  </w:style>
  <w:style w:type="character" w:customStyle="1" w:styleId="inner">
    <w:name w:val="inner"/>
    <w:basedOn w:val="DefaultParagraphFont"/>
    <w:rsid w:val="001B1341"/>
  </w:style>
  <w:style w:type="character" w:customStyle="1" w:styleId="fix">
    <w:name w:val="fix"/>
    <w:basedOn w:val="DefaultParagraphFont"/>
    <w:rsid w:val="001B1341"/>
  </w:style>
  <w:style w:type="character" w:customStyle="1" w:styleId="minner">
    <w:name w:val="minner"/>
    <w:basedOn w:val="DefaultParagraphFont"/>
    <w:rsid w:val="001B1341"/>
  </w:style>
  <w:style w:type="character" w:customStyle="1" w:styleId="delimsizing">
    <w:name w:val="delimsizing"/>
    <w:basedOn w:val="DefaultParagraphFont"/>
    <w:rsid w:val="001B1341"/>
  </w:style>
  <w:style w:type="character" w:customStyle="1" w:styleId="delimsizinginner">
    <w:name w:val="delimsizinginner"/>
    <w:basedOn w:val="DefaultParagraphFont"/>
    <w:rsid w:val="001B1341"/>
  </w:style>
  <w:style w:type="character" w:customStyle="1" w:styleId="mtable">
    <w:name w:val="mtable"/>
    <w:basedOn w:val="DefaultParagraphFont"/>
    <w:rsid w:val="001B1341"/>
  </w:style>
  <w:style w:type="character" w:customStyle="1" w:styleId="col-align-l">
    <w:name w:val="col-align-l"/>
    <w:basedOn w:val="DefaultParagraphFont"/>
    <w:rsid w:val="001B1341"/>
  </w:style>
  <w:style w:type="character" w:customStyle="1" w:styleId="arraycolsep">
    <w:name w:val="arraycolsep"/>
    <w:basedOn w:val="DefaultParagraphFont"/>
    <w:rsid w:val="001B1341"/>
  </w:style>
  <w:style w:type="character" w:customStyle="1" w:styleId="absolute">
    <w:name w:val="absolute"/>
    <w:basedOn w:val="DefaultParagraphFont"/>
    <w:rsid w:val="001B1341"/>
  </w:style>
  <w:style w:type="character" w:customStyle="1" w:styleId="inline-flex">
    <w:name w:val="inline-flex"/>
    <w:basedOn w:val="DefaultParagraphFont"/>
    <w:rsid w:val="001B1341"/>
  </w:style>
  <w:style w:type="character" w:customStyle="1" w:styleId="relative">
    <w:name w:val="relative"/>
    <w:basedOn w:val="DefaultParagraphFont"/>
    <w:rsid w:val="001B1341"/>
  </w:style>
  <w:style w:type="character" w:customStyle="1" w:styleId="transition-all">
    <w:name w:val="transition-all"/>
    <w:basedOn w:val="DefaultParagraphFont"/>
    <w:rsid w:val="001B1341"/>
  </w:style>
  <w:style w:type="character" w:styleId="PlaceholderText">
    <w:name w:val="Placeholder Text"/>
    <w:basedOn w:val="DefaultParagraphFont"/>
    <w:uiPriority w:val="99"/>
    <w:semiHidden/>
    <w:rsid w:val="00C707E1"/>
    <w:rPr>
      <w:color w:val="666666"/>
    </w:rPr>
  </w:style>
  <w:style w:type="character" w:styleId="Emphasis">
    <w:name w:val="Emphasis"/>
    <w:basedOn w:val="DefaultParagraphFont"/>
    <w:uiPriority w:val="20"/>
    <w:qFormat/>
    <w:rsid w:val="00392F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16</Pages>
  <Words>7789</Words>
  <Characters>44399</Characters>
  <Application>Microsoft Office Word</Application>
  <DocSecurity>0</DocSecurity>
  <Lines>369</Lines>
  <Paragraphs>104</Paragraphs>
  <ScaleCrop>false</ScaleCrop>
  <Company/>
  <LinksUpToDate>false</LinksUpToDate>
  <CharactersWithSpaces>52084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85</cp:revision>
  <dcterms:created xsi:type="dcterms:W3CDTF">2026-06-25T05:15:00Z</dcterms:created>
  <dcterms:modified xsi:type="dcterms:W3CDTF">2026-06-26T01:51:00Z</dcterms:modified>
</cp:coreProperties>
</file>