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 cambio arquitectónico importante deberá registrarse mediante un Architecture Decision Record (ADR).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ADR son inmutables.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Nunca se modifican.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 una decisión cambia, se crea un nuevo ADR que reemplaza al anterior.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