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Part 1 Selected Exhibits</w:t>
      </w:r>
    </w:p>
    <w:p>
      <w:pPr>
        <w:pStyle w:val="Heading1"/>
      </w:pPr>
      <w:r>
        <w:t>Table 1.1 Factor premiums before and after publication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  <w:vAlign w:val="center"/>
            <w:shd w:fill="E8EDF1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Factor</w:t>
            </w:r>
          </w:p>
        </w:tc>
        <w:tc>
          <w:tcPr>
            <w:tcW w:type="dxa" w:w="1806"/>
            <w:vAlign w:val="center"/>
            <w:shd w:fill="E8EDF1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Period</w:t>
            </w:r>
          </w:p>
        </w:tc>
        <w:tc>
          <w:tcPr>
            <w:tcW w:type="dxa" w:w="1806"/>
            <w:vAlign w:val="center"/>
            <w:shd w:fill="E8EDF1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N</w:t>
            </w:r>
          </w:p>
        </w:tc>
        <w:tc>
          <w:tcPr>
            <w:tcW w:type="dxa" w:w="1806"/>
            <w:vAlign w:val="center"/>
            <w:shd w:fill="E8EDF1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Mean monthly return</w:t>
            </w:r>
          </w:p>
        </w:tc>
        <w:tc>
          <w:tcPr>
            <w:tcW w:type="dxa" w:w="1806"/>
            <w:vAlign w:val="center"/>
            <w:shd w:fill="E8EDF1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t-stat</w:t>
            </w:r>
          </w:p>
        </w:tc>
      </w:tr>
      <w:tr>
        <w:tc>
          <w:tcPr>
            <w:tcW w:type="dxa" w:w="1806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Mkt-RF</w:t>
            </w:r>
          </w:p>
        </w:tc>
        <w:tc>
          <w:tcPr>
            <w:tcW w:type="dxa" w:w="1806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1927–1992</w:t>
            </w:r>
          </w:p>
        </w:tc>
        <w:tc>
          <w:tcPr>
            <w:tcW w:type="dxa" w:w="1806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792</w:t>
            </w:r>
          </w:p>
        </w:tc>
        <w:tc>
          <w:tcPr>
            <w:tcW w:type="dxa" w:w="1806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0.655%</w:t>
            </w:r>
          </w:p>
        </w:tc>
        <w:tc>
          <w:tcPr>
            <w:tcW w:type="dxa" w:w="1806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3.219*</w:t>
            </w:r>
          </w:p>
        </w:tc>
      </w:tr>
      <w:tr>
        <w:tc>
          <w:tcPr>
            <w:tcW w:type="dxa" w:w="1806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SMB</w:t>
            </w:r>
          </w:p>
        </w:tc>
        <w:tc>
          <w:tcPr>
            <w:tcW w:type="dxa" w:w="1806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1927–1992</w:t>
            </w:r>
          </w:p>
        </w:tc>
        <w:tc>
          <w:tcPr>
            <w:tcW w:type="dxa" w:w="1806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792</w:t>
            </w:r>
          </w:p>
        </w:tc>
        <w:tc>
          <w:tcPr>
            <w:tcW w:type="dxa" w:w="1806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0.240%</w:t>
            </w:r>
          </w:p>
        </w:tc>
        <w:tc>
          <w:tcPr>
            <w:tcW w:type="dxa" w:w="1806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2.126*</w:t>
            </w:r>
          </w:p>
        </w:tc>
      </w:tr>
      <w:tr>
        <w:tc>
          <w:tcPr>
            <w:tcW w:type="dxa" w:w="1806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HML</w:t>
            </w:r>
          </w:p>
        </w:tc>
        <w:tc>
          <w:tcPr>
            <w:tcW w:type="dxa" w:w="1806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1927–1992</w:t>
            </w:r>
          </w:p>
        </w:tc>
        <w:tc>
          <w:tcPr>
            <w:tcW w:type="dxa" w:w="1806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792</w:t>
            </w:r>
          </w:p>
        </w:tc>
        <w:tc>
          <w:tcPr>
            <w:tcW w:type="dxa" w:w="1806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0.435%</w:t>
            </w:r>
          </w:p>
        </w:tc>
        <w:tc>
          <w:tcPr>
            <w:tcW w:type="dxa" w:w="1806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3.333*</w:t>
            </w:r>
          </w:p>
        </w:tc>
      </w:tr>
      <w:tr>
        <w:tc>
          <w:tcPr>
            <w:tcW w:type="dxa" w:w="1806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Mkt-RF</w:t>
            </w:r>
          </w:p>
        </w:tc>
        <w:tc>
          <w:tcPr>
            <w:tcW w:type="dxa" w:w="1806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1993–Jul 2023</w:t>
            </w:r>
          </w:p>
        </w:tc>
        <w:tc>
          <w:tcPr>
            <w:tcW w:type="dxa" w:w="1806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367</w:t>
            </w:r>
          </w:p>
        </w:tc>
        <w:tc>
          <w:tcPr>
            <w:tcW w:type="dxa" w:w="1806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0.719%</w:t>
            </w:r>
          </w:p>
        </w:tc>
        <w:tc>
          <w:tcPr>
            <w:tcW w:type="dxa" w:w="1806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3.091*</w:t>
            </w:r>
          </w:p>
        </w:tc>
      </w:tr>
      <w:tr>
        <w:tc>
          <w:tcPr>
            <w:tcW w:type="dxa" w:w="1806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SMB</w:t>
            </w:r>
          </w:p>
        </w:tc>
        <w:tc>
          <w:tcPr>
            <w:tcW w:type="dxa" w:w="1806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1993–Jul 2023</w:t>
            </w:r>
          </w:p>
        </w:tc>
        <w:tc>
          <w:tcPr>
            <w:tcW w:type="dxa" w:w="1806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367</w:t>
            </w:r>
          </w:p>
        </w:tc>
        <w:tc>
          <w:tcPr>
            <w:tcW w:type="dxa" w:w="1806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0.100%</w:t>
            </w:r>
          </w:p>
        </w:tc>
        <w:tc>
          <w:tcPr>
            <w:tcW w:type="dxa" w:w="1806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0.599</w:t>
            </w:r>
          </w:p>
        </w:tc>
      </w:tr>
      <w:tr>
        <w:tc>
          <w:tcPr>
            <w:tcW w:type="dxa" w:w="1806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HML</w:t>
            </w:r>
          </w:p>
        </w:tc>
        <w:tc>
          <w:tcPr>
            <w:tcW w:type="dxa" w:w="1806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1993–Jul 2023</w:t>
            </w:r>
          </w:p>
        </w:tc>
        <w:tc>
          <w:tcPr>
            <w:tcW w:type="dxa" w:w="1806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367</w:t>
            </w:r>
          </w:p>
        </w:tc>
        <w:tc>
          <w:tcPr>
            <w:tcW w:type="dxa" w:w="1806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0.146%</w:t>
            </w:r>
          </w:p>
        </w:tc>
        <w:tc>
          <w:tcPr>
            <w:tcW w:type="dxa" w:w="1806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0.830</w:t>
            </w:r>
          </w:p>
        </w:tc>
      </w:tr>
    </w:tbl>
    <w:p>
      <w:pPr>
        <w:spacing w:before="60"/>
      </w:pPr>
      <w:r>
        <w:rPr>
          <w:rFonts w:ascii="Arial" w:hAnsi="Arial"/>
          <w:color w:val="5A5A5A"/>
          <w:sz w:val="14"/>
        </w:rPr>
        <w:t>Source and scope: Kenneth R. French Data Library; US monthly factor returns, Jan 1927–Jul 2023. Arithmetic mean monthly returns; t-statistics without autocorrelation adjustment. * = significant at 5% (two-sided, approximate critical value |t| &gt; 1.96).</w:t>
      </w:r>
    </w:p>
    <w:p>
      <w:pPr>
        <w:pStyle w:val="Heading1"/>
      </w:pPr>
      <w:r>
        <w:t>Table 1.2 Annualized performance of MSCI factor indexes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vAlign w:val="center"/>
            <w:shd w:fill="E8EDF1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Strategy</w:t>
            </w:r>
          </w:p>
        </w:tc>
        <w:tc>
          <w:tcPr>
            <w:tcW w:type="dxa" w:w="2257"/>
            <w:vAlign w:val="center"/>
            <w:shd w:fill="E8EDF1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Annualized return</w:t>
            </w:r>
          </w:p>
        </w:tc>
        <w:tc>
          <w:tcPr>
            <w:tcW w:type="dxa" w:w="2257"/>
            <w:vAlign w:val="center"/>
            <w:shd w:fill="E8EDF1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Annualized volatility</w:t>
            </w:r>
          </w:p>
        </w:tc>
        <w:tc>
          <w:tcPr>
            <w:tcW w:type="dxa" w:w="2257"/>
            <w:vAlign w:val="center"/>
            <w:shd w:fill="E8EDF1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Sharpe ratio</w:t>
            </w:r>
          </w:p>
        </w:tc>
      </w:tr>
      <w:tr>
        <w:tc>
          <w:tcPr>
            <w:tcW w:type="dxa" w:w="225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MSCI USA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11.22%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15.44%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0.587</w:t>
            </w:r>
          </w:p>
        </w:tc>
      </w:tr>
      <w:tr>
        <w:tc>
          <w:tcPr>
            <w:tcW w:type="dxa" w:w="225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Value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9.87%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15.27%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0.505</w:t>
            </w:r>
          </w:p>
        </w:tc>
      </w:tr>
      <w:tr>
        <w:tc>
          <w:tcPr>
            <w:tcW w:type="dxa" w:w="225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Minimum volatility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10.42%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12.09%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0.683</w:t>
            </w:r>
          </w:p>
        </w:tc>
      </w:tr>
      <w:tr>
        <w:tc>
          <w:tcPr>
            <w:tcW w:type="dxa" w:w="225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Equal weight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11.81%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17.13%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0.563</w:t>
            </w:r>
          </w:p>
        </w:tc>
      </w:tr>
      <w:tr>
        <w:tc>
          <w:tcPr>
            <w:tcW w:type="dxa" w:w="225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Momentum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13.38%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16.34%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0.686</w:t>
            </w:r>
          </w:p>
        </w:tc>
      </w:tr>
      <w:tr>
        <w:tc>
          <w:tcPr>
            <w:tcW w:type="dxa" w:w="225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Multi-factor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11.37%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14.40%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0.639</w:t>
            </w:r>
          </w:p>
        </w:tc>
      </w:tr>
      <w:tr>
        <w:tc>
          <w:tcPr>
            <w:tcW w:type="dxa" w:w="225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Risk-free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2.16%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0.61%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—</w:t>
            </w:r>
          </w:p>
        </w:tc>
      </w:tr>
    </w:tbl>
    <w:p>
      <w:pPr>
        <w:spacing w:before="60"/>
      </w:pPr>
      <w:r>
        <w:rPr>
          <w:rFonts w:ascii="Arial" w:hAnsi="Arial"/>
          <w:color w:val="5A5A5A"/>
          <w:sz w:val="14"/>
        </w:rPr>
        <w:t>Source and scope: MSCI and Kenneth French Data Library. MSCI USA large- and mid-cap equity universe; MSCI USA and four factor indexes, gross total returns in USD, Jan 1995–Jul 2023 (343 months). Multi-factor: equal-weighted across four factor indexes, rebalanced monthly. Annualized arithmetic returns = monthly mean × 12; annualized volatility = monthly sample standard deviation × sqrt(12). Sharpe ratios use the Fama-French risk-free rate.</w:t>
      </w:r>
    </w:p>
    <w:p>
      <w:pPr>
        <w:pStyle w:val="Heading1"/>
      </w:pPr>
      <w:r>
        <w:t>Figure 1.1 Annualized arithmetic returns by strategy</w:t>
      </w:r>
    </w:p>
    <w:p>
      <w:r>
        <w:drawing>
          <wp:inline xmlns:a="http://schemas.openxmlformats.org/drawingml/2006/main" xmlns:pic="http://schemas.openxmlformats.org/drawingml/2006/picture">
            <wp:extent cx="5486400" cy="26930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C_retur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3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Figure 1.2 Risk-adjusted performance by strategy</w:t>
      </w:r>
    </w:p>
    <w:p>
      <w:r>
        <w:drawing>
          <wp:inline xmlns:a="http://schemas.openxmlformats.org/drawingml/2006/main" xmlns:pic="http://schemas.openxmlformats.org/drawingml/2006/picture">
            <wp:extent cx="5486400" cy="26930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C_sharp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3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Table 1.3 Correlation between MSCI and academic factor spreads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  <w:vAlign w:val="center"/>
            <w:shd w:fill="E8EDF1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MSCI spread</w:t>
            </w:r>
          </w:p>
        </w:tc>
        <w:tc>
          <w:tcPr>
            <w:tcW w:type="dxa" w:w="1806"/>
            <w:vAlign w:val="center"/>
            <w:shd w:fill="E8EDF1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HML</w:t>
            </w:r>
          </w:p>
        </w:tc>
        <w:tc>
          <w:tcPr>
            <w:tcW w:type="dxa" w:w="1806"/>
            <w:vAlign w:val="center"/>
            <w:shd w:fill="E8EDF1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SMB</w:t>
            </w:r>
          </w:p>
        </w:tc>
        <w:tc>
          <w:tcPr>
            <w:tcW w:type="dxa" w:w="1806"/>
            <w:vAlign w:val="center"/>
            <w:shd w:fill="E8EDF1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Momentum</w:t>
            </w:r>
          </w:p>
        </w:tc>
        <w:tc>
          <w:tcPr>
            <w:tcW w:type="dxa" w:w="1806"/>
            <w:vAlign w:val="center"/>
            <w:shd w:fill="E8EDF1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Low-beta</w:t>
            </w:r>
          </w:p>
        </w:tc>
      </w:tr>
      <w:tr>
        <w:tc>
          <w:tcPr>
            <w:tcW w:type="dxa" w:w="1806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Value</w:t>
            </w:r>
          </w:p>
        </w:tc>
        <w:tc>
          <w:tcPr>
            <w:tcW w:type="dxa" w:w="1806"/>
            <w:vAlign w:val="center"/>
            <w:shd w:fill="D9EEE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0.728</w:t>
            </w:r>
          </w:p>
        </w:tc>
        <w:tc>
          <w:tcPr>
            <w:tcW w:type="dxa" w:w="1806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-0.177</w:t>
            </w:r>
          </w:p>
        </w:tc>
        <w:tc>
          <w:tcPr>
            <w:tcW w:type="dxa" w:w="1806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-0.244</w:t>
            </w:r>
          </w:p>
        </w:tc>
        <w:tc>
          <w:tcPr>
            <w:tcW w:type="dxa" w:w="1806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0.415</w:t>
            </w:r>
          </w:p>
        </w:tc>
      </w:tr>
      <w:tr>
        <w:tc>
          <w:tcPr>
            <w:tcW w:type="dxa" w:w="1806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Minimum volatility</w:t>
            </w:r>
          </w:p>
        </w:tc>
        <w:tc>
          <w:tcPr>
            <w:tcW w:type="dxa" w:w="1806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0.232</w:t>
            </w:r>
          </w:p>
        </w:tc>
        <w:tc>
          <w:tcPr>
            <w:tcW w:type="dxa" w:w="1806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-0.307</w:t>
            </w:r>
          </w:p>
        </w:tc>
        <w:tc>
          <w:tcPr>
            <w:tcW w:type="dxa" w:w="1806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0.303</w:t>
            </w:r>
          </w:p>
        </w:tc>
        <w:tc>
          <w:tcPr>
            <w:tcW w:type="dxa" w:w="1806"/>
            <w:vAlign w:val="center"/>
            <w:shd w:fill="D9EEE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0.815</w:t>
            </w:r>
          </w:p>
        </w:tc>
      </w:tr>
      <w:tr>
        <w:tc>
          <w:tcPr>
            <w:tcW w:type="dxa" w:w="1806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Equal weight</w:t>
            </w:r>
          </w:p>
        </w:tc>
        <w:tc>
          <w:tcPr>
            <w:tcW w:type="dxa" w:w="1806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0.431</w:t>
            </w:r>
          </w:p>
        </w:tc>
        <w:tc>
          <w:tcPr>
            <w:tcW w:type="dxa" w:w="1806"/>
            <w:vAlign w:val="center"/>
            <w:shd w:fill="D9EEE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0.322</w:t>
            </w:r>
          </w:p>
        </w:tc>
        <w:tc>
          <w:tcPr>
            <w:tcW w:type="dxa" w:w="1806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-0.449</w:t>
            </w:r>
          </w:p>
        </w:tc>
        <w:tc>
          <w:tcPr>
            <w:tcW w:type="dxa" w:w="1806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-0.200</w:t>
            </w:r>
          </w:p>
        </w:tc>
      </w:tr>
      <w:tr>
        <w:tc>
          <w:tcPr>
            <w:tcW w:type="dxa" w:w="1806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Momentum</w:t>
            </w:r>
          </w:p>
        </w:tc>
        <w:tc>
          <w:tcPr>
            <w:tcW w:type="dxa" w:w="1806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-0.223</w:t>
            </w:r>
          </w:p>
        </w:tc>
        <w:tc>
          <w:tcPr>
            <w:tcW w:type="dxa" w:w="1806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0.079</w:t>
            </w:r>
          </w:p>
        </w:tc>
        <w:tc>
          <w:tcPr>
            <w:tcW w:type="dxa" w:w="1806"/>
            <w:vAlign w:val="center"/>
            <w:shd w:fill="D9EEE8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0.642</w:t>
            </w:r>
          </w:p>
        </w:tc>
        <w:tc>
          <w:tcPr>
            <w:tcW w:type="dxa" w:w="1806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0.140</w:t>
            </w:r>
          </w:p>
        </w:tc>
      </w:tr>
    </w:tbl>
    <w:p>
      <w:pPr>
        <w:spacing w:before="60"/>
      </w:pPr>
      <w:r>
        <w:rPr>
          <w:rFonts w:ascii="Arial" w:hAnsi="Arial"/>
          <w:color w:val="5A5A5A"/>
          <w:sz w:val="14"/>
        </w:rPr>
        <w:t>Source and scope: MSCI and Kenneth French Data Library. MSCI USA large- and mid-cap equity universe; monthly US factor return spreads, Jan 1995–Jul 2023 (343 months). MSCI spreads are factor index returns minus MSCI USA returns. Academic spreads are HML, SMB, high-minus-low momentum and low-minus-high beta. Pearson correlations; corresponding factor pairs are highlighted in green.</w:t>
      </w:r>
    </w:p>
    <w:p>
      <w:pPr>
        <w:pStyle w:val="Heading1"/>
      </w:pPr>
      <w:r>
        <w:t>Table 1.4 Momentum performance by market volatility regime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vAlign w:val="center"/>
            <w:shd w:fill="E8EDF1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Regime</w:t>
            </w:r>
          </w:p>
        </w:tc>
        <w:tc>
          <w:tcPr>
            <w:tcW w:type="dxa" w:w="2257"/>
            <w:vAlign w:val="center"/>
            <w:shd w:fill="E8EDF1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Months</w:t>
            </w:r>
          </w:p>
        </w:tc>
        <w:tc>
          <w:tcPr>
            <w:tcW w:type="dxa" w:w="2257"/>
            <w:vAlign w:val="center"/>
            <w:shd w:fill="E8EDF1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Mean market vol.</w:t>
            </w:r>
          </w:p>
        </w:tc>
        <w:tc>
          <w:tcPr>
            <w:tcW w:type="dxa" w:w="2257"/>
            <w:vAlign w:val="center"/>
            <w:shd w:fill="E8EDF1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Mean momentum</w:t>
            </w:r>
          </w:p>
        </w:tc>
      </w:tr>
      <w:tr>
        <w:tc>
          <w:tcPr>
            <w:tcW w:type="dxa" w:w="225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Low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111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8.21%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+1.04%</w:t>
            </w:r>
          </w:p>
        </w:tc>
      </w:tr>
      <w:tr>
        <w:tc>
          <w:tcPr>
            <w:tcW w:type="dxa" w:w="225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Medium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110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14.19%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+1.86%</w:t>
            </w:r>
          </w:p>
        </w:tc>
      </w:tr>
      <w:tr>
        <w:tc>
          <w:tcPr>
            <w:tcW w:type="dxa" w:w="225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High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111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21.53%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-1.03%</w:t>
            </w:r>
          </w:p>
        </w:tc>
      </w:tr>
    </w:tbl>
    <w:p>
      <w:pPr>
        <w:spacing w:before="60"/>
      </w:pPr>
      <w:r>
        <w:rPr>
          <w:rFonts w:ascii="Arial" w:hAnsi="Arial"/>
          <w:color w:val="5A5A5A"/>
          <w:sz w:val="14"/>
        </w:rPr>
        <w:t>Source and scope: Kenneth French Data Library, US value-weighted momentum decile portfolios, Dec 1995–Jul 2023 (332 months). Market volatility is the annualized standard deviation of trailing 12 monthly Mkt-RF observations. Regimes are sample terciles. Momentum is the value-weighted highest-minus-lowest decile return spread. High-minus-low Welch test: p = 0.103.</w:t>
      </w:r>
    </w:p>
    <w:p>
      <w:r>
        <w:t>Regression: beta = -0.267; OLS p = 0.001; HAC(12) t = -2.297, p = 0.022; R-squared = 3.15%.</w:t>
      </w:r>
    </w:p>
    <w:p>
      <w:pPr>
        <w:pStyle w:val="Heading1"/>
      </w:pPr>
      <w:r>
        <w:t>Figure 1.3 Momentum returns across volatility regimes</w:t>
      </w:r>
    </w:p>
    <w:p>
      <w:r>
        <w:drawing>
          <wp:inline xmlns:a="http://schemas.openxmlformats.org/drawingml/2006/main" xmlns:pic="http://schemas.openxmlformats.org/drawingml/2006/picture">
            <wp:extent cx="5486400" cy="26930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E_regime_momentu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304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rial" w:hAnsi="Arial"/>
      <w:color w:val="23232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232323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32323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