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1 Factor Investing</w:t>
      </w:r>
    </w:p>
    <w:p>
      <w:pPr>
        <w:pStyle w:val="Heading1"/>
      </w:pPr>
      <w:r>
        <w:t>1A Factor Premiums and Factor Decay</w:t>
      </w:r>
    </w:p>
    <w:p>
      <w:r>
        <w:t>The Fama-French factors show different patterns before and after 1993. The market premium remains statistically significant in both periods, while monthly SMB and HML premiums fall from 0.240% to 0.100% and from 0.435% to 0.146%, respectively. Neither remains significant after 1993 (Table 1.1).</w:t>
      </w:r>
    </w:p>
    <w:p>
      <w:r>
        <w:t>Could greater investor attention explain the decline? As factor strategies become more widely adopted, demand for stocks with attractive characteristics may increase. For example, stronger demand for undervalued stocks may raise their prices and reduce future expected returns. However, the results cannot confirm this mechanism or establish a significant change in mean premiums between the two periods.</w:t>
      </w:r>
    </w:p>
    <w:p>
      <w:r>
        <w:t>The weaker post-1993 evidence makes SMB and HML less convincing as standalone investment strategies than their earlier performance suggested. The market premium, by contrast, remains statistically significant. Value-weighted momentum and low-beta decile spreads are also constructed for Sections 1D and 1E.</w:t>
      </w:r>
    </w:p>
    <w:p>
      <w:pPr>
        <w:pStyle w:val="Heading1"/>
      </w:pPr>
      <w:r>
        <w:t>1B Factor Index Construction in Practice</w:t>
      </w:r>
    </w:p>
    <w:p>
      <w:r>
        <w:t>Academic momentum strategies focus on past winners and losers. In practice, however, liquidity, trading costs, and concentration also matter. The MSCI USA Momentum Index illustrates these trade-offs. Its universe covers the large- and mid-cap US stocks in the MSCI USA parent index.</w:t>
      </w:r>
    </w:p>
    <w:p>
      <w:r>
        <w:t>Under the December 2013 methodology, the index uses 6- and 12-month momentum signals, excluding the most recent month. Each signal is adjusted for local risk-free rates and scaled by three-year annualized volatility based on weekly returns. The signals are standardized, combined equally, and standardized again. The resulting z-score is winsorized at +/-3 and converted into a positive Momentum Score. Stocks with the highest positive unwinsorized z-scores are selected, subject to a target constituent count.</w:t>
      </w:r>
    </w:p>
    <w:p>
      <w:r>
        <w:t>Weights depend on both Momentum Scores and parent-index market capitalization. Consider two stocks with similar momentum signals: the larger stock may receive more weight. This can reduce trading impact by favoring generally more liquid stocks and improve investment capacity. However, smaller stocks with stronger momentum may receive relatively low weights, weakening factor exposure.</w:t>
      </w:r>
    </w:p>
    <w:p>
      <w:r>
        <w:t>The index is normally rebalanced in May and November, with buffer rules to limit turnover. An additional rebalance is triggered when the monthly relative increase in market volatility exceeds the historical 95th percentile of changes for the MSCI World reference index. Only the 6-month momentum signal is then used, aiming to mitigate drawdowns during volatility spikes. A 5% issuer weight cap limits concentration. The resulting index therefore differs from an academic long-short momentum factor.</w:t>
      </w:r>
    </w:p>
    <w:p>
      <w:r>
        <w:t>Source: MSCI Momentum Indexes Methodology (December 2013), Sections 2-3 and Appendices II-III.</w:t>
      </w:r>
    </w:p>
    <w:p>
      <w:pPr>
        <w:pStyle w:val="Heading1"/>
      </w:pPr>
      <w:r>
        <w:t>1C Benefits of Factor Diversification</w:t>
      </w:r>
    </w:p>
    <w:p>
      <w:r>
        <w:t>Among the four MSCI factor indexes, Momentum delivers the highest annualized return (13.38%) and Sharpe ratio (0.686). Value performs worst, with the lowest return (9.87%) and Sharpe ratio (0.505). Why not simply invest in Momentum? Its position as the strongest performer is only known after observing the full sample.</w:t>
      </w:r>
    </w:p>
    <w:p>
      <w:r>
        <w:t>An equally weighted portfolio of Value, Minimum Volatility, Equal Weight, and Momentum provides an alternative, with monthly rebalancing. Compared with MSCI USA, its annualized return increases slightly from 11.22% to 11.37%, while volatility falls from 15.44% to 14.40%. This improves the Sharpe ratio from 0.587 to 0.639 (Table 1.2).</w:t>
      </w:r>
    </w:p>
    <w:p>
      <w:r>
        <w:t>The portfolio still trails Momentum and Minimum Volatility on a risk-adjusted basis. Yet it avoids relying entirely on a single factor. Given the weaker premiums observed in Section 1A, diversification may be preferable to selecting a strategy solely by its historical ranking. The historical results favor diversification relative to the market benchmark, although future performance may differ (Figures 1.1-1.2).</w:t>
      </w:r>
    </w:p>
    <w:p>
      <w:pPr>
        <w:pStyle w:val="Heading1"/>
      </w:pPr>
      <w:r>
        <w:t>1D Sensitivity to Factor Portfolio Construction</w:t>
      </w:r>
    </w:p>
    <w:p>
      <w:r>
        <w:t>The diversification results raise another question: do differently named factor indexes provide different sources of return? Monthly MSCI factor spreads relative to MSCI USA are compared with value-weighted academic factor spreads over January 1995-July 2023.</w:t>
      </w:r>
    </w:p>
    <w:p>
      <w:r>
        <w:t>The correlations generally reflect the intended strategies. Minimum Volatility and low-beta have a correlation of 0.815, while Value and HML reach 0.728. MSCI Momentum is also related to the academic momentum spread (0.642). These relationships remain visible despite differences in portfolio construction (Table 1.3).</w:t>
      </w:r>
    </w:p>
    <w:p>
      <w:r>
        <w:t>Equal Weight is less straightforward. Its correlation with SMB is only 0.322, lower than with HML (0.431). Although equal weighting gives smaller companies greater influence, it does not select stocks directly by size. Other characteristics may therefore contribute to its returns.</w:t>
      </w:r>
    </w:p>
    <w:p>
      <w:r>
        <w:t>This matters for the multi-factor portfolio in Section 1C. Different index labels do not guarantee independent return sources. The correlations suggest possible overlap, although factor regressions would be needed to measure exposures more directly.</w:t>
      </w:r>
    </w:p>
    <w:p>
      <w:pPr>
        <w:pStyle w:val="Heading1"/>
      </w:pPr>
      <w:r>
        <w:t>1E Regime Sensitivity of Factor Premia</w:t>
      </w:r>
    </w:p>
    <w:p>
      <w:r>
        <w:t>Momentum's historical performance may conceal periods of substantial weakness. Daniel and Moskowitz (2016) document momentum crashes during sharp market rebounds, when previous losers can recover faster than previous winners. The 2009 rebound is one example, although market reversals are not directly tested here.</w:t>
      </w:r>
    </w:p>
    <w:p>
      <w:r>
        <w:t>Momentum earns an average monthly return of 1.86% in medium-volatility periods but -1.03% in high-volatility periods. The low-volatility group earns only 1.04%, so the pattern is not strictly monotonic (Table 1.4). The high-minus-low difference is not statistically significant under the Welch test (p = 0.103).</w:t>
      </w:r>
    </w:p>
    <w:p>
      <w:r>
        <w:t>Using 332 months from December 1995 to July 2023, a regression on trailing 12-month annualized market volatility produces a negative coefficient (-0.267). It remains significant using Newey-West HAC standard errors with 12 lags (p = 0.022), although R-squared is only 3.15%. The regression suggests a negative linear association, while the regime comparison is less conclusive.</w:t>
      </w:r>
    </w:p>
    <w:p>
      <w:r>
        <w:t>Higher volatility may therefore warrant closer monitoring of momentum risk. However, volatility alone explains little of the variation in returns. Unlike Daniel and Moskowitz (2016), this analysis does not directly identify market reversals or momentum crashes. Since the volatility measure includes the current month, predictive value remains untested (Figure 1.3).</w:t>
      </w:r>
    </w:p>
    <w:p>
      <w:r>
        <w:t>Reference: Daniel, K., and Moskowitz, T. J. (2016). Momentum Crashes. Journal of Financial Economics, 122(2), 221-247.</w:t>
      </w:r>
    </w:p>
    <w:sectPr w:rsidR="00FC693F" w:rsidRPr="0006063C" w:rsidSect="00034616">
      <w:pgSz w:w="11909" w:h="16834"/>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23232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32323"/>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