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Part 3 Selected Exhibits</w:t>
      </w:r>
    </w:p>
    <w:p>
      <w:pPr>
        <w:pStyle w:val="Heading1"/>
      </w:pPr>
      <w:r>
        <w:t>Table 3.1 Optimal industry weights as of 31 December 2004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35"/>
        <w:gridCol w:w="893"/>
        <w:gridCol w:w="835"/>
        <w:gridCol w:w="1800"/>
        <w:gridCol w:w="835"/>
        <w:gridCol w:w="893"/>
        <w:gridCol w:w="835"/>
      </w:tblGrid>
      <w:tr>
        <w:trPr>
          <w:tblHeader/>
        </w:trP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E8EEF2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/>
                <w:sz w:val="15"/>
              </w:rPr>
              <w:t>Industry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E8EEF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sz w:val="15"/>
              </w:rPr>
              <w:t>Min-var (shorts)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E8EEF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sz w:val="15"/>
              </w:rPr>
              <w:t>Min-var (long-only)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E8EEF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sz w:val="15"/>
              </w:rPr>
              <w:t>Inverse vol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E8EEF2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/>
                <w:sz w:val="15"/>
              </w:rPr>
              <w:t xml:space="preserve">Industry 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E8EEF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sz w:val="15"/>
              </w:rPr>
              <w:t xml:space="preserve">Min-var (shorts) 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E8EEF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sz w:val="15"/>
              </w:rPr>
              <w:t xml:space="preserve">Min-var (long-only) 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E8EEF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sz w:val="15"/>
              </w:rPr>
              <w:t xml:space="preserve">Inverse vol 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Agriculture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6.4%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B2E2D5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10.7%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2.2%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Defense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13.7%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9.3%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1.7%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Food products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19.5%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9.1%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B2E2D5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2.9%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Precious metals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-1.1%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0.7%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F2CFB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1.0%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Candy &amp; soda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-5.1%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F2CFB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0.0%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1.5%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Non-precious mining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5.2%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F2CFB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0.0%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2.0%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Beer &amp; liquor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-1.8%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F2CFB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0.0%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2.1%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Coal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-1.7%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F2CFB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0.0%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F2CFB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1.0%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Tobacco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0.1%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F2CFB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0.0%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1.4%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Petroleum &amp; natural gas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19.3%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1.6%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2.5%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Recreation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-0.5%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F2CFB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0.0%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2.0%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Utilities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B2E2D5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21.5%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B2E2D5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16.7%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B2E2D5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2.8%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Entertainment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1.3%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F2CFB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0.0%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1.8%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Communication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0.2%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2.9%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2.0%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Printing &amp; publishing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B2E2D5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41.3%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7.7%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2.7%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Personal services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-13.5%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F2CFB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0.0%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2.2%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Consumer goods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21.2%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B2E2D5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12.3%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B2E2D5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2.7%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Business services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F2CFB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-32.3%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F2CFB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0.0%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2.4%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Apparel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2.3%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F2CFB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0.0%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2.0%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Computer hardware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2.0%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F2CFB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0.0%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F2CFB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1.2%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Healthcare services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-4.9%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F2CFB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0.0%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1.8%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Computer software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10.3%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F2CFB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0.0%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F2CFB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1.3%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Medical equipment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B2E2D5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25.2%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5.9%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B2E2D5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2.9%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Electronic equipment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1.3%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F2CFB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0.0%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F2CFB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1.2%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Pharmaceuticals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-1.2%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B2E2D5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9.5%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2.5%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Measuring &amp; control equip.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-4.2%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F2CFB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0.0%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1.6%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Chemicals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F2CFB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-28.4%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F2CFB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0.0%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2.4%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Business supplies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B2E2D5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26.0%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F2CFB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0.0%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2.5%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Rubber &amp; plastics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9.4%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F2CFB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0.0%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2.2%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Shipping containers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-3.3%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F2CFB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0.0%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1.9%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Textiles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0.1%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F2CFB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0.0%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2.1%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Transportation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7.8%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F2CFB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0.0%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2.4%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Construction materials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-3.8%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F2CFB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0.0%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2.4%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Wholesale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-5.3%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F2CFB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0.0%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2.6%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Construction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F2CFB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-17.8%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F2CFB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0.0%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1.9%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Retail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0.6%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F2CFB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0.0%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2.3%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Steel works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6.8%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F2CFB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0.0%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1.5%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Restaurants &amp; hotels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13.9%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F2CFB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0.0%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2.5%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Fabricated products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-2.4%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F2CFB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0.0%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1.7%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Banking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F2CFB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-16.6%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F2CFB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0.0%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2.3%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Machinery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-2.3%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F2CFB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0.0%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1.8%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Insurance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-4.0%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F2CFB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0.0%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2.5%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Electrical equipment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-8.1%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F2CFB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0.0%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2.0%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Real estate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B2E2D5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23.0%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B2E2D5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13.7%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B2E2D5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2.8%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Autos &amp; trucks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6.3%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F2CFB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0.0%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1.8%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Trading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-4.5%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F2CFB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0.0%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1.6%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Aircraft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F2CFB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-20.6%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F2CFB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0.0%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1.8%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Other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-0.3%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F2CFB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0.0%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1.8%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Ships &amp; rail equipment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-0.7%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F2CFB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0.0%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1.9%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/>
                <w:sz w:val="15"/>
              </w:rPr>
              <w:t>Sum of weights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sz w:val="15"/>
              </w:rPr>
              <w:t>100.0%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sz w:val="15"/>
              </w:rPr>
              <w:t>100.0%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sz w:val="15"/>
              </w:rPr>
              <w:t>100.0%</w:t>
            </w:r>
          </w:p>
        </w:tc>
      </w:tr>
    </w:tbl>
    <w:p>
      <w:pPr>
        <w:keepNext/>
        <w:spacing w:after="0" w:line="40" w:lineRule="exact"/>
      </w:pPr>
    </w:p>
    <w:p>
      <w:pPr>
        <w:spacing w:after="100"/>
      </w:pPr>
      <w:r>
        <w:rPr>
          <w:color w:val="555555"/>
          <w:sz w:val="13"/>
        </w:rPr>
        <w:t>Source and scope: Kenneth French Data Library; MSCI. 49 Fama-French industries, value-weighted total returns; covariance estimated Jan 1995 - Dec 2004. Fully invested. Green = 5 largest weights per portfolio; red = 5 smallest (long-only: all 37 zero-weight industries). Industries in Fama-French order.</w:t>
      </w:r>
    </w:p>
    <w:p>
      <w:pPr>
        <w:pStyle w:val="Heading1"/>
      </w:pPr>
      <w:r>
        <w:t>Table 3.2 Portfolio characteristics as of 31 December 2004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088"/>
        <w:gridCol w:w="2088"/>
        <w:gridCol w:w="2088"/>
      </w:tblGrid>
      <w:tr>
        <w:trPr>
          <w:tblHeader/>
        </w:trPr>
        <w:tc>
          <w:tcPr>
            <w:tcW w:type="dxa" w:w="27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E8EEF2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/>
                <w:sz w:val="16"/>
              </w:rPr>
              <w:t>Characteristic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E8EEF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>Min-var (shorts allowed)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E8EEF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>Min-var (long-only)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E8EEF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>Inverse volatility</w:t>
            </w:r>
          </w:p>
        </w:tc>
      </w:tr>
      <w:tr>
        <w:tc>
          <w:tcPr>
            <w:tcW w:type="dxa" w:w="27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6"/>
              </w:rPr>
              <w:t>Sum of weights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100.0%</w:t>
            </w:r>
          </w:p>
        </w:tc>
      </w:tr>
      <w:tr>
        <w:tc>
          <w:tcPr>
            <w:tcW w:type="dxa" w:w="27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6"/>
              </w:rPr>
              <w:t>Non-zero positions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49</w:t>
            </w:r>
          </w:p>
        </w:tc>
      </w:tr>
      <w:tr>
        <w:tc>
          <w:tcPr>
            <w:tcW w:type="dxa" w:w="27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6"/>
              </w:rPr>
              <w:t>Short positions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27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6"/>
              </w:rPr>
              <w:t>Largest weight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41.3%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16.7%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2.9%</w:t>
            </w:r>
          </w:p>
        </w:tc>
      </w:tr>
      <w:tr>
        <w:tc>
          <w:tcPr>
            <w:tcW w:type="dxa" w:w="27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6"/>
              </w:rPr>
              <w:t>Smallest weight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-32.3%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1.0%</w:t>
            </w:r>
          </w:p>
        </w:tc>
      </w:tr>
      <w:tr>
        <w:tc>
          <w:tcPr>
            <w:tcW w:type="dxa" w:w="27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6"/>
              </w:rPr>
              <w:t>Top-5 weight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137.0%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62.8%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14.1%</w:t>
            </w:r>
          </w:p>
        </w:tc>
      </w:tr>
      <w:tr>
        <w:tc>
          <w:tcPr>
            <w:tcW w:type="dxa" w:w="27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6"/>
              </w:rPr>
              <w:t>Effective N = 1/Σw²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1.1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9.1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46.3</w:t>
            </w:r>
          </w:p>
        </w:tc>
      </w:tr>
    </w:tbl>
    <w:p>
      <w:pPr>
        <w:keepNext/>
        <w:spacing w:after="0" w:line="40" w:lineRule="exact"/>
      </w:pPr>
    </w:p>
    <w:p>
      <w:pPr>
        <w:spacing w:after="100"/>
      </w:pPr>
      <w:r>
        <w:rPr>
          <w:color w:val="555555"/>
          <w:sz w:val="13"/>
        </w:rPr>
        <w:t>Source and scope: Kenneth French Data Library; MSCI. Weights from Table 3.1. Effective N equals 49 for equal weights; it is not meaningful for the portfolio with short positions.</w:t>
      </w:r>
    </w:p>
    <w:p>
      <w:pPr>
        <w:pStyle w:val="Heading1"/>
      </w:pPr>
      <w:r>
        <w:t>Table 3.3 In-sample versus out-of-sample annualized volatility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1800"/>
        <w:gridCol w:w="1944"/>
        <w:gridCol w:w="1584"/>
      </w:tblGrid>
      <w:tr>
        <w:trPr>
          <w:tblHeader/>
        </w:trPr>
        <w:tc>
          <w:tcPr>
            <w:tcW w:type="dxa" w:w="36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E8EEF2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/>
                <w:sz w:val="16"/>
              </w:rPr>
              <w:t>Portfolio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E8EEF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>In-sample vol, Jan 1995 - Dec 2004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E8EEF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>Out-of-sample vol, Jan 2005 - Jul 2023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E8EEF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>Ratio OOS / in-sample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6"/>
              </w:rPr>
              <w:t>Min-var (shorts allowed)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7.6%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16.7%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×2.21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6"/>
              </w:rPr>
              <w:t>Min-var (long-only)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10.3%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14.3%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×1.39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6"/>
              </w:rPr>
              <w:t>Inverse volatility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14.0%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17.2%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×1.23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6"/>
              </w:rPr>
              <w:t>Equal weight (49 industries)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14.6%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17.5%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×1.19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6"/>
              </w:rPr>
              <w:t>Lowest-vol industry in 1995–2004 (Food products)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15.2%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12.7%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×0.83</w:t>
            </w:r>
          </w:p>
        </w:tc>
      </w:tr>
    </w:tbl>
    <w:p>
      <w:pPr>
        <w:keepNext/>
        <w:spacing w:after="0" w:line="40" w:lineRule="exact"/>
      </w:pPr>
    </w:p>
    <w:p>
      <w:pPr>
        <w:spacing w:after="100"/>
      </w:pPr>
      <w:r>
        <w:rPr>
          <w:color w:val="555555"/>
          <w:sz w:val="13"/>
        </w:rPr>
        <w:t>Source and scope: Kenneth French Data Library; MSCI. Weights from Table 3.1 held constant and rebalanced monthly. Reference rows (equal weight; lowest-volatility industry in 1995-2004, Food products) use the same data and only information available at Dec 2004.</w:t>
      </w:r>
    </w:p>
    <w:p>
      <w:pPr>
        <w:pStyle w:val="Heading1"/>
      </w:pPr>
      <w:r>
        <w:t>Table 3.4 Out-of-sample volatility by sub-period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1584"/>
        <w:gridCol w:w="1584"/>
        <w:gridCol w:w="1584"/>
        <w:gridCol w:w="1584"/>
      </w:tblGrid>
      <w:tr>
        <w:trPr>
          <w:tblHeader/>
        </w:trPr>
        <w:tc>
          <w:tcPr>
            <w:tcW w:type="dxa" w:w="27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E8EEF2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/>
                <w:sz w:val="16"/>
              </w:rPr>
              <w:t>Out-of-sample sub-period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E8EEF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>Min-var (shorts)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E8EEF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>Min-var (long-only)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E8EEF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>Inverse vol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E8EEF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>Equal weight</w:t>
            </w:r>
          </w:p>
        </w:tc>
      </w:tr>
      <w:tr>
        <w:tc>
          <w:tcPr>
            <w:tcW w:type="dxa" w:w="27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6"/>
              </w:rPr>
              <w:t>2005–2014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16.9%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14.4%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17.3%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17.6%</w:t>
            </w:r>
          </w:p>
        </w:tc>
      </w:tr>
      <w:tr>
        <w:tc>
          <w:tcPr>
            <w:tcW w:type="dxa" w:w="27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6"/>
              </w:rPr>
              <w:t>2015–2023/07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16.7%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14.2%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17.2%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17.4%</w:t>
            </w:r>
          </w:p>
        </w:tc>
      </w:tr>
      <w:tr>
        <w:tc>
          <w:tcPr>
            <w:tcW w:type="dxa" w:w="27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6"/>
              </w:rPr>
              <w:t>2005–2007 (pre-GFC)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10.0%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7.5%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8.9%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9.3%</w:t>
            </w:r>
          </w:p>
        </w:tc>
      </w:tr>
      <w:tr>
        <w:tc>
          <w:tcPr>
            <w:tcW w:type="dxa" w:w="27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6"/>
              </w:rPr>
              <w:t>2008–2009 (GFC)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31.6%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24.3%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28.7%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29.0%</w:t>
            </w:r>
          </w:p>
        </w:tc>
      </w:tr>
    </w:tbl>
    <w:p>
      <w:pPr>
        <w:keepNext/>
        <w:spacing w:after="0" w:line="40" w:lineRule="exact"/>
      </w:pPr>
    </w:p>
    <w:p>
      <w:pPr>
        <w:spacing w:after="100"/>
      </w:pPr>
      <w:r>
        <w:rPr>
          <w:color w:val="555555"/>
          <w:sz w:val="13"/>
        </w:rPr>
        <w:t>Source and scope: Kenneth French Data Library; MSCI. Annualized volatility of monthly returns within each sub-period; 3A weights, no re-estimation. The long-only portfolio is the lowest of the three in every sub-period.</w:t>
      </w:r>
    </w:p>
    <w:p>
      <w:pPr>
        <w:pStyle w:val="Heading1"/>
      </w:pPr>
      <w:r>
        <w:t>Table 3.5 Long-only minimum-variance weights before and after re-optimization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1872"/>
        <w:gridCol w:w="1872"/>
        <w:gridCol w:w="1872"/>
      </w:tblGrid>
      <w:tr>
        <w:trPr>
          <w:tblHeader/>
        </w:trPr>
        <w:tc>
          <w:tcPr>
            <w:tcW w:type="dxa" w:w="31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E8EEF2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/>
                <w:sz w:val="16"/>
              </w:rPr>
              <w:t>Industry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E8EEF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>Weights as of Dec 2004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E8EEF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>Weights as of Dec 2015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E8EEF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>Change</w:t>
            </w:r>
          </w:p>
        </w:tc>
      </w:tr>
      <w:tr>
        <w:tc>
          <w:tcPr>
            <w:tcW w:type="dxa" w:w="31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6"/>
              </w:rPr>
              <w:t>Food products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9.1%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37.4%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+28.3 pp</w:t>
            </w:r>
          </w:p>
        </w:tc>
      </w:tr>
      <w:tr>
        <w:tc>
          <w:tcPr>
            <w:tcW w:type="dxa" w:w="31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6"/>
              </w:rPr>
              <w:t>Utilities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16.7%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23.3%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+6.6 pp</w:t>
            </w:r>
          </w:p>
        </w:tc>
      </w:tr>
      <w:tr>
        <w:tc>
          <w:tcPr>
            <w:tcW w:type="dxa" w:w="31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6"/>
              </w:rPr>
              <w:t>Beer &amp; liquor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21.2%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+21.2 pp</w:t>
            </w:r>
          </w:p>
        </w:tc>
      </w:tr>
      <w:tr>
        <w:tc>
          <w:tcPr>
            <w:tcW w:type="dxa" w:w="31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6"/>
              </w:rPr>
              <w:t>Retail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13.4%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+13.4 pp</w:t>
            </w:r>
          </w:p>
        </w:tc>
      </w:tr>
      <w:tr>
        <w:tc>
          <w:tcPr>
            <w:tcW w:type="dxa" w:w="31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6"/>
              </w:rPr>
              <w:t>Precious metals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0.7%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4.8%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+4.0 pp</w:t>
            </w:r>
          </w:p>
        </w:tc>
      </w:tr>
      <w:tr>
        <w:tc>
          <w:tcPr>
            <w:tcW w:type="dxa" w:w="31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6"/>
              </w:rPr>
              <w:t>Real estate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13.7%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-13.7 pp</w:t>
            </w:r>
          </w:p>
        </w:tc>
      </w:tr>
      <w:tr>
        <w:tc>
          <w:tcPr>
            <w:tcW w:type="dxa" w:w="31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6"/>
              </w:rPr>
              <w:t>Consumer goods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12.3%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-12.3 pp</w:t>
            </w:r>
          </w:p>
        </w:tc>
      </w:tr>
      <w:tr>
        <w:tc>
          <w:tcPr>
            <w:tcW w:type="dxa" w:w="31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6"/>
              </w:rPr>
              <w:t>Agriculture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10.7%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-10.7 pp</w:t>
            </w:r>
          </w:p>
        </w:tc>
      </w:tr>
      <w:tr>
        <w:tc>
          <w:tcPr>
            <w:tcW w:type="dxa" w:w="31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6"/>
              </w:rPr>
              <w:t>Pharmaceuticals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9.5%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-9.5 pp</w:t>
            </w:r>
          </w:p>
        </w:tc>
      </w:tr>
      <w:tr>
        <w:tc>
          <w:tcPr>
            <w:tcW w:type="dxa" w:w="31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6"/>
              </w:rPr>
              <w:t>Defense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9.3%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-9.3 pp</w:t>
            </w:r>
          </w:p>
        </w:tc>
      </w:tr>
      <w:tr>
        <w:tc>
          <w:tcPr>
            <w:tcW w:type="dxa" w:w="31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6"/>
              </w:rPr>
              <w:t>Printing &amp; publishing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7.7%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-7.7 pp</w:t>
            </w:r>
          </w:p>
        </w:tc>
      </w:tr>
      <w:tr>
        <w:tc>
          <w:tcPr>
            <w:tcW w:type="dxa" w:w="31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6"/>
              </w:rPr>
              <w:t>Medical equipment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5.9%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-5.9 pp</w:t>
            </w:r>
          </w:p>
        </w:tc>
      </w:tr>
      <w:tr>
        <w:tc>
          <w:tcPr>
            <w:tcW w:type="dxa" w:w="31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6"/>
              </w:rPr>
              <w:t>Communication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2.9%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-2.9 pp</w:t>
            </w:r>
          </w:p>
        </w:tc>
      </w:tr>
      <w:tr>
        <w:tc>
          <w:tcPr>
            <w:tcW w:type="dxa" w:w="31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6"/>
              </w:rPr>
              <w:t>Petroleum &amp; natural gas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1.6%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-1.6 pp</w:t>
            </w:r>
          </w:p>
        </w:tc>
      </w:tr>
      <w:tr>
        <w:tc>
          <w:tcPr>
            <w:tcW w:type="dxa" w:w="31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/>
                <w:sz w:val="16"/>
              </w:rPr>
              <w:t>Turnover (½Σ|Δw|)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>73.5%</w:t>
            </w:r>
          </w:p>
        </w:tc>
      </w:tr>
    </w:tbl>
    <w:p>
      <w:pPr>
        <w:keepNext/>
        <w:spacing w:after="0" w:line="40" w:lineRule="exact"/>
      </w:pPr>
    </w:p>
    <w:p>
      <w:pPr>
        <w:spacing w:after="100"/>
      </w:pPr>
      <w:r>
        <w:rPr>
          <w:color w:val="555555"/>
          <w:sz w:val="13"/>
        </w:rPr>
        <w:t>Source and scope: Kenneth French Data Library; MSCI. Dec 2004: covariance Jan 1995 - Dec 2004 (Table 3.1). Dec 2015: same method, covariance Jan 2006 - Dec 2015. Industries with a non-zero weight in at least one portfolio.</w:t>
      </w:r>
    </w:p>
    <w:p>
      <w:pPr>
        <w:pStyle w:val="Heading1"/>
      </w:pPr>
      <w:r>
        <w:t>Table 3.6 Annualized volatility, January 2016 - July 2023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31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E8EEF2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/>
                <w:sz w:val="16"/>
              </w:rPr>
              <w:t>Period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E8EEF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>Dec 2004 weights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E8EEF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>Dec 2015 weights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E8EEF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>Equal weight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E8EEF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>New − old</w:t>
            </w:r>
          </w:p>
        </w:tc>
      </w:tr>
      <w:tr>
        <w:tc>
          <w:tcPr>
            <w:tcW w:type="dxa" w:w="31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6"/>
              </w:rPr>
              <w:t>Full: Jan 2016 - Jul 2023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14.5%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12.8%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17.8%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-1.7 pp</w:t>
            </w:r>
          </w:p>
        </w:tc>
      </w:tr>
      <w:tr>
        <w:tc>
          <w:tcPr>
            <w:tcW w:type="dxa" w:w="31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6"/>
              </w:rPr>
              <w:t>Pre-COVID: 2016 - 2019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10.8%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10.3%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12.9%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-0.5 pp</w:t>
            </w:r>
          </w:p>
        </w:tc>
      </w:tr>
      <w:tr>
        <w:tc>
          <w:tcPr>
            <w:tcW w:type="dxa" w:w="31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6"/>
              </w:rPr>
              <w:t>COVID and after: 2020 - Jul 2023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17.9%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15.2%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22.2%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-2.7 pp</w:t>
            </w:r>
          </w:p>
        </w:tc>
      </w:tr>
      <w:tr>
        <w:tc>
          <w:tcPr>
            <w:tcW w:type="dxa" w:w="31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6"/>
              </w:rPr>
              <w:t>Cumulative return, Feb - Mar 2020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-21.2%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-15.1%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-24.6%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+6.2 pp</w:t>
            </w:r>
          </w:p>
        </w:tc>
      </w:tr>
    </w:tbl>
    <w:p>
      <w:pPr>
        <w:keepNext/>
        <w:spacing w:after="0" w:line="40" w:lineRule="exact"/>
      </w:pPr>
    </w:p>
    <w:p>
      <w:pPr>
        <w:spacing w:after="100"/>
      </w:pPr>
      <w:r>
        <w:rPr>
          <w:color w:val="555555"/>
          <w:sz w:val="13"/>
        </w:rPr>
        <w:t>Source and scope: Kenneth French Data Library; MSCI. Both portfolios out-of-sample; weights held constant and rebalanced monthly. Last row: compounded return over Feb - Mar 2020 (two months are too few for a volatility estimate).</w:t>
      </w:r>
    </w:p>
    <w:p>
      <w:pPr>
        <w:pStyle w:val="Heading1"/>
      </w:pPr>
      <w:r>
        <w:t>Table 3.7 Performance of the Dec 2004 long-only minimum-variance portfolio and MSCI USA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2088"/>
        <w:gridCol w:w="2088"/>
      </w:tblGrid>
      <w:tr>
        <w:trPr>
          <w:tblHeader/>
        </w:trPr>
        <w:tc>
          <w:tcPr>
            <w:tcW w:type="dxa" w:w="47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E8EEF2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/>
                <w:sz w:val="16"/>
              </w:rPr>
              <w:t>Jan 2005 - Jul 2023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E8EEF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>Long-only min-var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E8EEF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>MSCI USA</w:t>
            </w:r>
          </w:p>
        </w:tc>
      </w:tr>
      <w:tr>
        <w:tc>
          <w:tcPr>
            <w:tcW w:type="dxa" w:w="47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6"/>
              </w:rPr>
              <w:t>Final value of $1 (Jul 2023)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$4.79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$5.53</w:t>
            </w:r>
          </w:p>
        </w:tc>
      </w:tr>
      <w:tr>
        <w:tc>
          <w:tcPr>
            <w:tcW w:type="dxa" w:w="47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6"/>
              </w:rPr>
              <w:t>Annualized return (geometric)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8.8%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9.6%</w:t>
            </w:r>
          </w:p>
        </w:tc>
      </w:tr>
      <w:tr>
        <w:tc>
          <w:tcPr>
            <w:tcW w:type="dxa" w:w="47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6"/>
              </w:rPr>
              <w:t>Annualized volatility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14.3%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15.3%</w:t>
            </w:r>
          </w:p>
        </w:tc>
      </w:tr>
      <w:tr>
        <w:tc>
          <w:tcPr>
            <w:tcW w:type="dxa" w:w="47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6"/>
              </w:rPr>
              <w:t>Maximum drawdown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-45.7%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-50.6%</w:t>
            </w:r>
          </w:p>
        </w:tc>
      </w:tr>
      <w:tr>
        <w:tc>
          <w:tcPr>
            <w:tcW w:type="dxa" w:w="47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6"/>
              </w:rPr>
              <w:t>Cumulative return, GFC (Sep 2008 - Feb 2009)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-40.3%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-41.8%</w:t>
            </w:r>
          </w:p>
        </w:tc>
      </w:tr>
      <w:tr>
        <w:tc>
          <w:tcPr>
            <w:tcW w:type="dxa" w:w="47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6"/>
              </w:rPr>
              <w:t>Cumulative return, COVID (Feb - Mar 2020)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-21.2%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-19.8%</w:t>
            </w:r>
          </w:p>
        </w:tc>
      </w:tr>
    </w:tbl>
    <w:p>
      <w:pPr>
        <w:keepNext/>
        <w:spacing w:after="0" w:line="40" w:lineRule="exact"/>
      </w:pPr>
    </w:p>
    <w:p>
      <w:pPr>
        <w:spacing w:after="100"/>
      </w:pPr>
      <w:r>
        <w:rPr>
          <w:color w:val="555555"/>
          <w:sz w:val="13"/>
        </w:rPr>
        <w:t>Source and scope: Kenneth French Data Library; MSCI. Fama-French 49 industries (all CRSP stocks, value-weighted) and MSCI USA Standard (large + mid cap), gross, USD. Annualized return is geometric (compound growth). Crisis returns compounded over the stated months.</w:t>
      </w:r>
    </w:p>
    <w:p>
      <w:pPr>
        <w:pStyle w:val="Heading1"/>
      </w:pPr>
      <w:r>
        <w:t>Table 3.8 Crisis returns of the portfolio's holdings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080"/>
        <w:gridCol w:w="1224"/>
        <w:gridCol w:w="1368"/>
        <w:gridCol w:w="1224"/>
        <w:gridCol w:w="1368"/>
      </w:tblGrid>
      <w:tr>
        <w:trPr>
          <w:tblHeader/>
        </w:trPr>
        <w:tc>
          <w:tcPr>
            <w:tcW w:type="dxa" w:w="24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E8EEF2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/>
                <w:sz w:val="16"/>
              </w:rPr>
              <w:t>Industry held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E8EEF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>Weight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E8EEF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>GFC return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E8EEF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>GFC contribution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E8EEF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>COVID return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E8EEF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sz w:val="16"/>
              </w:rPr>
              <w:t>COVID contribution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6"/>
              </w:rPr>
              <w:t>Utilities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16.7%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-33%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-5.5%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-22%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-3.6%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F2CFB2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6"/>
              </w:rPr>
              <w:t>Real estate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F2CFB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13.7%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F2CFB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-67%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F2CFB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-9.2%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F2CFB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-42%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F2CFB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-5.8%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6"/>
              </w:rPr>
              <w:t>Consumer goods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12.3%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-35%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-4.3%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-15%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-1.8%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6"/>
              </w:rPr>
              <w:t>Agriculture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10.7%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-33%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-3.6%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-17%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-1.8%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6"/>
              </w:rPr>
              <w:t>Pharmaceuticals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9.5%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-24%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-2.3%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-7%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-0.7%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6"/>
              </w:rPr>
              <w:t>Defense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9.3%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-44%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-4.1%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-20%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-1.8%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6"/>
              </w:rPr>
              <w:t>Food products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9.1%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-24%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-2.2%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-13%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-1.2%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6"/>
              </w:rPr>
              <w:t>Printing &amp; publishing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7.7%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-56%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-4.4%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-28%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-2.2%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6"/>
              </w:rPr>
              <w:t>Medical equipment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5.9%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-42%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-2.5%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-18%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-1.1%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6"/>
              </w:rPr>
              <w:t>Communication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2.9%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-37%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-1.1%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-19%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-0.5%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6"/>
              </w:rPr>
              <w:t>Petroleum &amp; natural gas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1.6%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-38%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-0.6%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-45%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-0.7%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6"/>
              </w:rPr>
              <w:t>Precious metals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0.7%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-12%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-0.1%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-3%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6"/>
              </w:rPr>
              <w:t>-0.0%</w:t>
            </w:r>
          </w:p>
        </w:tc>
      </w:tr>
    </w:tbl>
    <w:p>
      <w:pPr>
        <w:keepNext/>
        <w:spacing w:after="0" w:line="40" w:lineRule="exact"/>
      </w:pPr>
    </w:p>
    <w:p>
      <w:pPr>
        <w:spacing w:after="100"/>
      </w:pPr>
      <w:r>
        <w:rPr>
          <w:color w:val="555555"/>
          <w:sz w:val="13"/>
        </w:rPr>
        <w:t>Source and scope: Kenneth French Data Library; MSCI. GFC: Sep 2008 - Feb 2009; COVID: Feb - Mar 2020. Contribution ≈ weight × industry crisis return (approximate, as the portfolio is rebalanced monthly). Real estate (shaded) was among the five worst industries in both crises.</w:t>
      </w:r>
    </w:p>
    <w:p>
      <w:pPr>
        <w:pStyle w:val="Heading1"/>
      </w:pPr>
      <w:r>
        <w:t>Table 3.9 Ten best-performing industries in each crisis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92"/>
        <w:gridCol w:w="864"/>
        <w:gridCol w:w="792"/>
        <w:gridCol w:w="1800"/>
        <w:gridCol w:w="792"/>
        <w:gridCol w:w="864"/>
        <w:gridCol w:w="792"/>
      </w:tblGrid>
      <w:tr>
        <w:trPr>
          <w:tblHeader/>
        </w:trP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E8EEF2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/>
                <w:sz w:val="15"/>
              </w:rPr>
              <w:t>Industry (GFC)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E8EEF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sz w:val="15"/>
              </w:rPr>
              <w:t>Return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E8EEF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sz w:val="15"/>
              </w:rPr>
              <w:t>Vol rank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E8EEF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sz w:val="15"/>
              </w:rPr>
              <w:t>Weight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E8EEF2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/>
                <w:sz w:val="15"/>
              </w:rPr>
              <w:t>Industry (COVID)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E8EEF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sz w:val="15"/>
              </w:rPr>
              <w:t xml:space="preserve">Return 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E8EEF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sz w:val="15"/>
              </w:rPr>
              <w:t xml:space="preserve">Vol rank 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E8EEF2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sz w:val="15"/>
              </w:rPr>
              <w:t xml:space="preserve">Weight 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Precious metals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-12%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48 / 48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0.7%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Precious metals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-3%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48 / 48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0.7%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Beer &amp; liquor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-22%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22 / 11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–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Pharmaceuticals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-7%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8 / 9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9.5%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Personal services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-24%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21 / 20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–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Retail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-10%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17 / 10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–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Pharmaceuticals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-24%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8 / 4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9.5%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Tobacco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-13%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44 / 23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–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Food products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-24%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1 / 2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9.1%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Food products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-13%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1 / 4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9.1%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Restaurants &amp; hotels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-26%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11 / 13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–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Computer software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-15%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45 / 14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–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Candy &amp; soda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-29%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42 / 42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–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Consumer goods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-15%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5 / 2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12.3%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Tobacco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-30%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44 / 43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–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Measuring &amp; control equip.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-16%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41 / 20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–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Retail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-30%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17 / 17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–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Shipping containers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-16%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31 / 22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–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Utilities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-33%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3 / 5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16.7%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b w:val="0"/>
                <w:sz w:val="15"/>
              </w:rPr>
              <w:t>Business supplies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-16%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10 / 16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 w:val="0"/>
                <w:sz w:val="15"/>
              </w:rPr>
              <w:t>–</w:t>
            </w:r>
          </w:p>
        </w:tc>
      </w:tr>
    </w:tbl>
    <w:p>
      <w:pPr>
        <w:keepNext/>
        <w:spacing w:after="0" w:line="40" w:lineRule="exact"/>
      </w:pPr>
    </w:p>
    <w:p>
      <w:pPr>
        <w:spacing w:after="100"/>
      </w:pPr>
      <w:r>
        <w:rPr>
          <w:color w:val="555555"/>
          <w:sz w:val="13"/>
        </w:rPr>
        <w:t>Source and scope: Kenneth French Data Library; MSCI. Vol rank = rank of annualized volatility among 49 industries (1 = lowest): Jan 1995 - Dec 2004 / ten years before the crisis. Weight = Dec 2004 long-only minimum-variance weight (– = not held).</w:t>
      </w:r>
    </w:p>
    <w:p>
      <w:r>
        <w:br w:type="page"/>
      </w:r>
    </w:p>
    <w:p>
      <w:pPr>
        <w:pStyle w:val="Heading1"/>
      </w:pPr>
      <w:r>
        <w:t>Figure 3.1 Sorted industry weights of the three portfolios (3A)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501640" cy="27005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A_weight_profi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2700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Figure 3.2 In-sample volatility, Jan 1995 - Dec 2004 (3B)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731184" cy="27057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B_insample_vo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184" cy="2705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Figure 3.3 In-sample versus out-of-sample volatility (3B-3C)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550408" cy="39044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C_oos_vo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0408" cy="3904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Figure 3.4 Rolling 36-month out-of-sample volatility (3C)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526024" cy="27858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C_rolling_vo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6024" cy="2785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Figure 3.5 Value of re-optimization: volatility, Jan 2016 - Jul 2023 (3D)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501640" cy="28895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D_reopt_vo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2889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Figure 3.6 Weights before and after re-optimization (3D)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501640" cy="27858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D_weigh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2785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Figure 3.7 Growth of $1 invested on 31 Dec 2004, log2 scale (3E)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501640" cy="286816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E_cumulativ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2868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Figure 3.8 Ten best-performing industries in each crisis (3E)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731184" cy="371208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E_top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184" cy="371208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5" w:h="16838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Arial" w:hAnsi="Arial" w:eastAsia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1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FE5108 Part 3 Selected Exhibits</dc:title>
  <dc:subject/>
  <dc:creator>FE5108 Part 3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