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3 Portfolio Construction</w:t>
      </w:r>
    </w:p>
    <w:p>
      <w:pPr>
        <w:pStyle w:val="Heading1"/>
      </w:pPr>
      <w:r>
        <w:t>3A Minimum-variance and inverse-volatility portfolios</w:t>
      </w:r>
    </w:p>
    <w:p>
      <w:r>
        <w:t>We use value-weighted monthly total returns of the 49 Fama-French industry portfolios, January 1995 to July 2023; the -99.99/-999 missing-value codes do not occur in this window. Weights are set once at the close of 31 December 2004 from the sample covariance matrix of January 1995-December 2004 (120 months) and then held constant, rebalanced monthly to target. Volatility is the sample standard deviation of monthly returns times √12.</w:t>
      </w:r>
    </w:p>
    <w:p>
      <w:r>
        <w:t>The long-only minimum-variance portfolio solves: minimise w′Σw subject to Σᵢwᵢ = 1 and wᵢ ≥ 0 for all 49 industries. Σ is positive definite (condition number 711), so this convex quadratic programme has a unique solution. We solve it with cvxpy (CLARABEL interior-point solver), confirm it with SciPy SLSQP (largest weight difference below 10⁻⁷) and verify the KKT conditions: every held industry has the same marginal contribution to portfolio variance and every excluded industry a higher one. The minimum-variance portfolio with shorting uses the closed form w = Σ⁻¹1/(1′Σ⁻¹1); the inverse-volatility portfolio sets wᵢ proportional to 1/σᵢ. Code is in the appendix.</w:t>
      </w:r>
    </w:p>
    <w:p>
      <w:r>
        <w:t>Allowing shorts produces an extreme portfolio: 25 long and 24 short positions, 284% long and -184% short, led by Printing &amp; publishing (41.3%) and Business services (-32.3%). The long-only solution is a corner solution with only 12 industries, led by Utilities (16.7%), Real estate (13.7%) and Consumer goods (12.3%); the other 37 weights are zero. Inverse volatility holds all 49 industries at 1.0%-2.9%. Utilities and Real estate are among the five largest weights under all three methods. See Tables 3.1-3.2 and Figure 3.1.</w:t>
      </w:r>
    </w:p>
    <w:p>
      <w:pPr>
        <w:pStyle w:val="Heading1"/>
      </w:pPr>
      <w:r>
        <w:t>3B In-sample effectiveness</w:t>
      </w:r>
    </w:p>
    <w:p>
      <w:r>
        <w:t>In-sample annualized volatility is 7.6% with shorts, 10.3% long-only and 14.0% for inverse volatility, against 14.6% for an equally weighted portfolio. The ordering is as expected and in fact guaranteed: because Σ was estimated on these same returns, realized in-sample volatility equals the optimizer's objective, and each restriction (no shorting) or simplification (ignoring correlations) can only raise the attainable minimum. The figure therefore rewards fitting the sample, including its estimation error: 120 observations are few for a 49×49 covariance matrix, and the unconstrained optimizer exploits that error most aggressively. See Table 3.3 and Figure 3.2.</w:t>
      </w:r>
    </w:p>
    <w:p>
      <w:pPr>
        <w:pStyle w:val="Heading1"/>
      </w:pPr>
      <w:r>
        <w:t>3C Out-of-sample effectiveness</w:t>
      </w:r>
    </w:p>
    <w:p>
      <w:r>
        <w:t>Out-of-sample, January 2005-July 2023, the long-only portfolio is lowest at 14.3%, followed by shorts allowed at 16.7% and inverse volatility at 17.2% (equal weight 17.5%). The deterioration follows how freely each method uses the estimated covariances: volatility rises ×2.21, ×1.39 and ×1.23, versus ×1.19 for equal weight. This is the error-maximization effect discussed in class. With 4.7× gross leverage, a small drop in the correlation between the long and short legs (0.980 to 0.965) more than doubles risk. The long-only constraint acts as shrinkage of the covariance estimate (Jagannathan and Ma, 2003). Average pairwise industry correlation also rose from 0.40 to 0.59, while median industry volatility was unchanged (21.9% vs 21.8%), weakening diversification for every portfolio. The long-only portfolio is lowest in all four sub-periods and in 85% of 188 rolling 36-month windows; in 2008-2009 the unconstrained portfolio (31.6%) was even riskier than equal weight (29.0%). See Tables 3.3-3.4 and Figures 3.3-3.4.</w:t>
      </w:r>
    </w:p>
    <w:p>
      <w:pPr>
        <w:pStyle w:val="Heading1"/>
      </w:pPr>
      <w:r>
        <w:t>3D The value of re-optimization</w:t>
      </w:r>
    </w:p>
    <w:p>
      <w:r>
        <w:t>Re-optimizing at end-2015 on January 2006-December 2015 returns gives a portfolio of 5 industries: Food products 37.4%, Utilities 23.3%, Beer &amp; liquor 21.2%, Retail 13.4%, Precious metals 4.8%. Turnover from the 2004 weights is 73.5% and Real estate is dropped entirely. Over January 2016-July 2023 its volatility is 12.8% versus 14.5% for the 2004 portfolio (17.8% equal weight), a 12% relative reduction. This is expected because covariances are not stable: over 2006-2015 the stale 2004 weights had 14.7% volatility against 10.3% for the re-optimized ones. The gain is concentrated in the COVID period, however: before 2020 the two are close (10.3% vs 10.8%), whereas in February-March 2020 the new portfolio lost 15.1% against 21.2%. Re-optimization is no free lunch: estimation error remains (out-of-sample volatility 24% above in-sample), 37.4% sits in one industry, and transaction costs are ignored. See Tables 3.5-3.6 and Figures 3.5-3.6.</w:t>
      </w:r>
    </w:p>
    <w:p>
      <w:pPr>
        <w:pStyle w:val="Heading1"/>
      </w:pPr>
      <w:r>
        <w:t>3E Performance expectations</w:t>
      </w:r>
    </w:p>
    <w:p>
      <w:r>
        <w:t>$1 invested on 31 December 2004 grew to $4.79, versus $5.53 in the MSCI USA index, with lower volatility (14.3% vs 15.3%) and a smaller maximum drawdown (-45.7% vs -50.6%). The defensive strategy did not, however, deliver as expected in the two crises: it lost 40.3% in the GFC against 41.8% for the market, and 21.2% in February-March 2020, more than the market's 19.8%. The main reason is the 13.7% weight in Real estate, a low-volatility industry in 1995-2004 but among the five worst in both crises (-67% and -42%), costing roughly 9.2% and 5.8% of portfolio return. Utilities, the largest weight, fell 22% in the COVID sell-off. See Tables 3.7-3.8 and Figure 3.7.</w:t>
      </w:r>
    </w:p>
    <w:p>
      <w:r>
        <w:t>The industries that held up best in the GFC were mostly traditional defensives (food, beverages, pharmaceuticals, tobacco, utilities, retail), plus Precious metals, the best performer (-12%) although it ranked 48 of 49 by volatility: a safe haven is not a low-volatility asset. The COVID list adds stay-at-home beneficiaries such as Computer software, Retail, Shipping containers and Measuring &amp; control equipment. Software ranked 45 and Measuring &amp; control equipment 41 of 49 by 1995-2004 volatility, so a minimum-variance portfolio excludes them by design; only 4 of the ten best industries in each crisis were held. Historical low volatility is therefore no guarantee of crisis protection: which industries are defensive depends on the nature of the shock, and both covariances and the set of low-volatility industries change over time. See Table 3.9 and Figure 3.8.</w:t>
      </w:r>
    </w:p>
    <w:p>
      <w:r>
        <w:rPr>
          <w:sz w:val="16"/>
        </w:rPr>
        <w:t>Reference: Jagannathan, R. and Ma, T. (2003). Risk reduction in large portfolios: Why imposing the wrong constraints helps. Journal of Finance, 58(4).</w:t>
      </w:r>
    </w:p>
    <w:sectPr w:rsidR="00FC693F" w:rsidRPr="0006063C" w:rsidSect="00034616">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eastAsia="Arial"/>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FE5108 Part 3 Portfolio Construction</dc:title>
  <dc:subject/>
  <dc:creator>FE5108 Part 3</dc:creator>
  <cp:keywords/>
  <dc:description>generated by python-docx</dc:description>
  <cp:lastModifiedBy/>
  <cp:revision>1</cp:revision>
  <dcterms:created xsi:type="dcterms:W3CDTF">2013-12-23T23:15:00Z</dcterms:created>
  <dcterms:modified xsi:type="dcterms:W3CDTF">2013-12-23T23:15:00Z</dcterms:modified>
  <cp:category/>
</cp:coreProperties>
</file>